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14873">
      <w:pPr>
        <w:pStyle w:val="2"/>
      </w:pPr>
    </w:p>
    <w:p w14:paraId="1BA24703">
      <w:pPr>
        <w:pStyle w:val="2"/>
      </w:pPr>
    </w:p>
    <w:p w14:paraId="5DFF0095">
      <w:pPr>
        <w:pStyle w:val="2"/>
      </w:pPr>
    </w:p>
    <w:p w14:paraId="52E8007A">
      <w:pPr>
        <w:pStyle w:val="2"/>
      </w:pPr>
    </w:p>
    <w:p w14:paraId="6E679233">
      <w:pPr>
        <w:pStyle w:val="2"/>
      </w:pPr>
    </w:p>
    <w:p w14:paraId="5C820145">
      <w:pPr>
        <w:pStyle w:val="2"/>
      </w:pPr>
    </w:p>
    <w:p w14:paraId="31093644">
      <w:pPr>
        <w:pStyle w:val="2"/>
      </w:pPr>
    </w:p>
    <w:p w14:paraId="040D256F">
      <w:pPr>
        <w:pStyle w:val="2"/>
      </w:pPr>
    </w:p>
    <w:p w14:paraId="3E1FAE30">
      <w:pPr>
        <w:pStyle w:val="2"/>
      </w:pPr>
      <w:r>
        <w:pict>
          <v:shape id="_x0000_s1026" o:spid="_x0000_s1026" o:spt="202" type="#_x0000_t202" style="position:absolute;left:0pt;margin-left:199.7pt;margin-top:7.3pt;height:254.45pt;width:28.7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 w14:paraId="55FAC79E">
                  <w:pPr>
                    <w:spacing w:before="21" w:line="199" w:lineRule="auto"/>
                    <w:ind w:left="20"/>
                    <w:outlineLvl w:val="0"/>
                    <w:rPr>
                      <w:rFonts w:ascii="宋体" w:hAnsi="宋体" w:eastAsia="宋体" w:cs="宋体"/>
                      <w:sz w:val="48"/>
                      <w:szCs w:val="48"/>
                    </w:rPr>
                  </w:pP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结</w:t>
                  </w:r>
                  <w:r>
                    <w:rPr>
                      <w:rFonts w:ascii="宋体" w:hAnsi="宋体" w:eastAsia="宋体" w:cs="宋体"/>
                      <w:spacing w:val="-68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构</w:t>
                  </w:r>
                  <w:r>
                    <w:rPr>
                      <w:rFonts w:ascii="宋体" w:hAnsi="宋体" w:eastAsia="宋体" w:cs="宋体"/>
                      <w:spacing w:val="-68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承</w:t>
                  </w:r>
                  <w:r>
                    <w:rPr>
                      <w:rFonts w:ascii="宋体" w:hAnsi="宋体" w:eastAsia="宋体" w:cs="宋体"/>
                      <w:spacing w:val="-67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重</w:t>
                  </w:r>
                  <w:r>
                    <w:rPr>
                      <w:rFonts w:ascii="宋体" w:hAnsi="宋体" w:eastAsia="宋体" w:cs="宋体"/>
                      <w:spacing w:val="-68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复</w:t>
                  </w:r>
                  <w:r>
                    <w:rPr>
                      <w:rFonts w:ascii="宋体" w:hAnsi="宋体" w:eastAsia="宋体" w:cs="宋体"/>
                      <w:spacing w:val="-67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核</w:t>
                  </w:r>
                  <w:r>
                    <w:rPr>
                      <w:rFonts w:ascii="宋体" w:hAnsi="宋体" w:eastAsia="宋体" w:cs="宋体"/>
                      <w:spacing w:val="-67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报</w:t>
                  </w:r>
                  <w:r>
                    <w:rPr>
                      <w:rFonts w:ascii="宋体" w:hAnsi="宋体" w:eastAsia="宋体" w:cs="宋体"/>
                      <w:spacing w:val="-68"/>
                      <w:sz w:val="48"/>
                      <w:szCs w:val="4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48"/>
                      <w:szCs w:val="48"/>
                    </w:rPr>
                    <w:t>告</w:t>
                  </w:r>
                </w:p>
              </w:txbxContent>
            </v:textbox>
          </v:shape>
        </w:pict>
      </w:r>
    </w:p>
    <w:p w14:paraId="7472FFFD">
      <w:pPr>
        <w:pStyle w:val="2"/>
        <w:spacing w:line="241" w:lineRule="auto"/>
      </w:pPr>
    </w:p>
    <w:p w14:paraId="478CF262">
      <w:pPr>
        <w:pStyle w:val="2"/>
        <w:spacing w:line="241" w:lineRule="auto"/>
      </w:pPr>
    </w:p>
    <w:p w14:paraId="1D55ED49">
      <w:pPr>
        <w:pStyle w:val="2"/>
        <w:spacing w:line="241" w:lineRule="auto"/>
      </w:pPr>
    </w:p>
    <w:p w14:paraId="23CDFFB7">
      <w:pPr>
        <w:pStyle w:val="2"/>
        <w:spacing w:line="241" w:lineRule="auto"/>
      </w:pPr>
    </w:p>
    <w:p w14:paraId="19E09B9A">
      <w:pPr>
        <w:pStyle w:val="2"/>
        <w:spacing w:line="241" w:lineRule="auto"/>
      </w:pPr>
    </w:p>
    <w:p w14:paraId="414BE8B5">
      <w:pPr>
        <w:pStyle w:val="2"/>
        <w:spacing w:line="241" w:lineRule="auto"/>
      </w:pPr>
    </w:p>
    <w:p w14:paraId="69DFAD67">
      <w:pPr>
        <w:pStyle w:val="2"/>
        <w:spacing w:line="241" w:lineRule="auto"/>
      </w:pPr>
    </w:p>
    <w:p w14:paraId="0A8A04B7">
      <w:pPr>
        <w:pStyle w:val="2"/>
        <w:spacing w:line="241" w:lineRule="auto"/>
      </w:pPr>
    </w:p>
    <w:p w14:paraId="4DEE18C4">
      <w:pPr>
        <w:pStyle w:val="2"/>
        <w:spacing w:line="241" w:lineRule="auto"/>
      </w:pPr>
    </w:p>
    <w:p w14:paraId="25F30361">
      <w:pPr>
        <w:pStyle w:val="2"/>
        <w:spacing w:line="241" w:lineRule="auto"/>
      </w:pPr>
    </w:p>
    <w:p w14:paraId="1BA2D097">
      <w:pPr>
        <w:pStyle w:val="2"/>
        <w:spacing w:line="241" w:lineRule="auto"/>
      </w:pPr>
    </w:p>
    <w:p w14:paraId="3894D571">
      <w:pPr>
        <w:pStyle w:val="2"/>
        <w:spacing w:line="241" w:lineRule="auto"/>
      </w:pPr>
    </w:p>
    <w:p w14:paraId="773CF3F6">
      <w:pPr>
        <w:pStyle w:val="2"/>
        <w:spacing w:line="241" w:lineRule="auto"/>
      </w:pPr>
    </w:p>
    <w:p w14:paraId="3357D28E">
      <w:pPr>
        <w:pStyle w:val="2"/>
        <w:spacing w:line="241" w:lineRule="auto"/>
      </w:pPr>
    </w:p>
    <w:p w14:paraId="3279720B">
      <w:pPr>
        <w:pStyle w:val="2"/>
        <w:spacing w:line="241" w:lineRule="auto"/>
      </w:pPr>
    </w:p>
    <w:p w14:paraId="566A9490">
      <w:pPr>
        <w:pStyle w:val="2"/>
        <w:spacing w:line="241" w:lineRule="auto"/>
      </w:pPr>
    </w:p>
    <w:p w14:paraId="15165EFA">
      <w:pPr>
        <w:pStyle w:val="2"/>
        <w:spacing w:line="241" w:lineRule="auto"/>
      </w:pPr>
    </w:p>
    <w:p w14:paraId="008AFE9B">
      <w:pPr>
        <w:pStyle w:val="2"/>
        <w:spacing w:line="241" w:lineRule="auto"/>
      </w:pPr>
    </w:p>
    <w:p w14:paraId="020B07D9">
      <w:pPr>
        <w:pStyle w:val="2"/>
        <w:spacing w:line="241" w:lineRule="auto"/>
      </w:pPr>
    </w:p>
    <w:p w14:paraId="1DC32457">
      <w:pPr>
        <w:pStyle w:val="2"/>
        <w:spacing w:line="241" w:lineRule="auto"/>
      </w:pPr>
    </w:p>
    <w:p w14:paraId="7229BC12">
      <w:pPr>
        <w:pStyle w:val="2"/>
        <w:spacing w:line="241" w:lineRule="auto"/>
      </w:pPr>
    </w:p>
    <w:p w14:paraId="7A23B7E6">
      <w:pPr>
        <w:pStyle w:val="2"/>
        <w:spacing w:line="241" w:lineRule="auto"/>
      </w:pPr>
    </w:p>
    <w:p w14:paraId="332C52C4">
      <w:pPr>
        <w:pStyle w:val="2"/>
        <w:spacing w:line="241" w:lineRule="auto"/>
      </w:pPr>
    </w:p>
    <w:p w14:paraId="1EE29004">
      <w:pPr>
        <w:pStyle w:val="2"/>
        <w:spacing w:line="241" w:lineRule="auto"/>
      </w:pPr>
    </w:p>
    <w:p w14:paraId="26271967">
      <w:pPr>
        <w:pStyle w:val="2"/>
        <w:spacing w:line="241" w:lineRule="auto"/>
      </w:pPr>
    </w:p>
    <w:p w14:paraId="2A95D795">
      <w:pPr>
        <w:pStyle w:val="2"/>
        <w:spacing w:line="241" w:lineRule="auto"/>
      </w:pPr>
    </w:p>
    <w:p w14:paraId="6DD286B2">
      <w:pPr>
        <w:pStyle w:val="2"/>
        <w:spacing w:line="241" w:lineRule="auto"/>
      </w:pPr>
    </w:p>
    <w:p w14:paraId="46E5F0AA">
      <w:pPr>
        <w:pStyle w:val="2"/>
        <w:spacing w:line="241" w:lineRule="auto"/>
      </w:pPr>
    </w:p>
    <w:p w14:paraId="1D4CA84A">
      <w:pPr>
        <w:pStyle w:val="2"/>
        <w:spacing w:line="241" w:lineRule="auto"/>
      </w:pPr>
    </w:p>
    <w:p w14:paraId="10DA7291">
      <w:pPr>
        <w:pStyle w:val="2"/>
        <w:spacing w:line="241" w:lineRule="auto"/>
      </w:pPr>
    </w:p>
    <w:p w14:paraId="0A864DE0">
      <w:pPr>
        <w:pStyle w:val="2"/>
        <w:spacing w:line="241" w:lineRule="auto"/>
      </w:pPr>
    </w:p>
    <w:p w14:paraId="73E9D978">
      <w:pPr>
        <w:pStyle w:val="2"/>
        <w:spacing w:line="241" w:lineRule="auto"/>
      </w:pPr>
    </w:p>
    <w:p w14:paraId="68A1F598">
      <w:pPr>
        <w:pStyle w:val="2"/>
        <w:spacing w:line="241" w:lineRule="auto"/>
      </w:pPr>
    </w:p>
    <w:p w14:paraId="2AE432D1">
      <w:pPr>
        <w:pStyle w:val="2"/>
        <w:spacing w:line="241" w:lineRule="auto"/>
      </w:pPr>
    </w:p>
    <w:p w14:paraId="52CCD0B4">
      <w:pPr>
        <w:pStyle w:val="2"/>
        <w:spacing w:line="241" w:lineRule="auto"/>
      </w:pPr>
    </w:p>
    <w:p w14:paraId="75A0A946">
      <w:pPr>
        <w:pStyle w:val="2"/>
        <w:spacing w:line="241" w:lineRule="auto"/>
      </w:pPr>
    </w:p>
    <w:p w14:paraId="2CD8A84E">
      <w:pPr>
        <w:pStyle w:val="2"/>
        <w:spacing w:line="241" w:lineRule="auto"/>
      </w:pPr>
    </w:p>
    <w:p w14:paraId="1C465093">
      <w:pPr>
        <w:spacing w:before="85" w:line="218" w:lineRule="auto"/>
        <w:ind w:left="30"/>
        <w:jc w:val="center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4"/>
          <w:sz w:val="26"/>
          <w:szCs w:val="26"/>
        </w:rPr>
        <w:t>评估单位：</w:t>
      </w:r>
      <w:r>
        <w:rPr>
          <w:rFonts w:hint="eastAsia" w:ascii="宋体" w:hAnsi="宋体" w:eastAsia="宋体" w:cs="宋体"/>
          <w:spacing w:val="4"/>
          <w:sz w:val="26"/>
          <w:szCs w:val="26"/>
        </w:rPr>
        <w:t>司晨设计集团有限公司</w:t>
      </w:r>
    </w:p>
    <w:p w14:paraId="5037A7A9">
      <w:pPr>
        <w:pStyle w:val="2"/>
        <w:spacing w:line="286" w:lineRule="auto"/>
        <w:jc w:val="center"/>
      </w:pPr>
    </w:p>
    <w:p w14:paraId="644E8AF8">
      <w:pPr>
        <w:spacing w:before="85" w:line="218" w:lineRule="auto"/>
        <w:ind w:left="30"/>
        <w:jc w:val="center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19"/>
          <w:sz w:val="26"/>
          <w:szCs w:val="26"/>
        </w:rPr>
        <w:t>评估日期：202</w:t>
      </w:r>
      <w:r>
        <w:rPr>
          <w:rFonts w:hint="eastAsia" w:ascii="宋体" w:hAnsi="宋体" w:eastAsia="宋体" w:cs="宋体"/>
          <w:spacing w:val="19"/>
          <w:sz w:val="26"/>
          <w:szCs w:val="26"/>
          <w:lang w:val="en-US" w:eastAsia="zh-CN"/>
        </w:rPr>
        <w:t>6</w:t>
      </w:r>
      <w:r>
        <w:rPr>
          <w:rFonts w:ascii="宋体" w:hAnsi="宋体" w:eastAsia="宋体" w:cs="宋体"/>
          <w:spacing w:val="19"/>
          <w:sz w:val="26"/>
          <w:szCs w:val="26"/>
        </w:rPr>
        <w:t>年</w:t>
      </w:r>
      <w:r>
        <w:rPr>
          <w:rFonts w:hint="eastAsia" w:ascii="宋体" w:hAnsi="宋体" w:eastAsia="宋体" w:cs="宋体"/>
          <w:spacing w:val="19"/>
          <w:sz w:val="26"/>
          <w:szCs w:val="26"/>
          <w:lang w:val="en-US" w:eastAsia="zh-CN"/>
        </w:rPr>
        <w:t xml:space="preserve"> </w:t>
      </w:r>
      <w:r>
        <w:rPr>
          <w:rFonts w:ascii="宋体" w:hAnsi="宋体" w:eastAsia="宋体" w:cs="宋体"/>
          <w:spacing w:val="19"/>
          <w:sz w:val="26"/>
          <w:szCs w:val="26"/>
        </w:rPr>
        <w:t>0</w:t>
      </w:r>
      <w:r>
        <w:rPr>
          <w:rFonts w:hint="eastAsia" w:ascii="宋体" w:hAnsi="宋体" w:eastAsia="宋体" w:cs="宋体"/>
          <w:spacing w:val="19"/>
          <w:sz w:val="26"/>
          <w:szCs w:val="26"/>
          <w:lang w:val="en-US" w:eastAsia="zh-CN"/>
        </w:rPr>
        <w:t>5</w:t>
      </w:r>
      <w:r>
        <w:rPr>
          <w:rFonts w:ascii="宋体" w:hAnsi="宋体" w:eastAsia="宋体" w:cs="宋体"/>
          <w:spacing w:val="-22"/>
          <w:sz w:val="26"/>
          <w:szCs w:val="26"/>
        </w:rPr>
        <w:t xml:space="preserve"> </w:t>
      </w:r>
      <w:r>
        <w:rPr>
          <w:rFonts w:ascii="宋体" w:hAnsi="宋体" w:eastAsia="宋体" w:cs="宋体"/>
          <w:spacing w:val="19"/>
          <w:sz w:val="26"/>
          <w:szCs w:val="26"/>
        </w:rPr>
        <w:t>月</w:t>
      </w:r>
      <w:r>
        <w:rPr>
          <w:rFonts w:ascii="宋体" w:hAnsi="宋体" w:eastAsia="宋体" w:cs="宋体"/>
          <w:spacing w:val="-24"/>
          <w:sz w:val="26"/>
          <w:szCs w:val="26"/>
        </w:rPr>
        <w:t xml:space="preserve"> </w:t>
      </w:r>
      <w:r>
        <w:rPr>
          <w:rFonts w:hint="eastAsia" w:ascii="宋体" w:hAnsi="宋体" w:eastAsia="宋体" w:cs="宋体"/>
          <w:spacing w:val="19"/>
          <w:sz w:val="26"/>
          <w:szCs w:val="26"/>
          <w:lang w:val="en-US" w:eastAsia="zh-CN"/>
        </w:rPr>
        <w:t>18</w:t>
      </w:r>
      <w:r>
        <w:rPr>
          <w:rFonts w:ascii="宋体" w:hAnsi="宋体" w:eastAsia="宋体" w:cs="宋体"/>
          <w:spacing w:val="19"/>
          <w:sz w:val="26"/>
          <w:szCs w:val="26"/>
        </w:rPr>
        <w:t xml:space="preserve"> 日</w:t>
      </w:r>
    </w:p>
    <w:p w14:paraId="23FCD245">
      <w:pPr>
        <w:spacing w:line="218" w:lineRule="auto"/>
        <w:rPr>
          <w:rFonts w:ascii="宋体" w:hAnsi="宋体" w:eastAsia="宋体" w:cs="宋体"/>
          <w:sz w:val="26"/>
          <w:szCs w:val="26"/>
        </w:rPr>
        <w:sectPr>
          <w:pgSz w:w="11860" w:h="16800"/>
          <w:pgMar w:top="1428" w:right="1779" w:bottom="0" w:left="1779" w:header="0" w:footer="0" w:gutter="0"/>
          <w:cols w:space="720" w:num="1"/>
        </w:sectPr>
      </w:pPr>
    </w:p>
    <w:p w14:paraId="5C7450DD">
      <w:pPr>
        <w:spacing w:before="84" w:line="212" w:lineRule="auto"/>
        <w:ind w:left="630"/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桐庐县富春江派出所60kW屋顶分布式光伏发电项目</w:t>
      </w:r>
    </w:p>
    <w:p w14:paraId="3F8E6DD4">
      <w:pPr>
        <w:spacing w:before="209" w:line="219" w:lineRule="auto"/>
        <w:ind w:left="63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建设地址：杭州市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 w:eastAsia="zh-CN"/>
        </w:rPr>
        <w:t>桐庐县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(混凝土屋面)</w:t>
      </w:r>
    </w:p>
    <w:p w14:paraId="455AB31D">
      <w:pPr>
        <w:spacing w:before="217" w:line="219" w:lineRule="auto"/>
        <w:ind w:left="63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复核内容：增加屋面光伏组件发电系统-屋面承重复核</w:t>
      </w:r>
    </w:p>
    <w:p w14:paraId="027E5BF0">
      <w:pPr>
        <w:spacing w:before="187" w:line="332" w:lineRule="auto"/>
        <w:ind w:left="141" w:right="528" w:firstLine="489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复核准则：本次复核仅根据委托方提供的项</w:t>
      </w:r>
      <w:r>
        <w:rPr>
          <w:rFonts w:hint="eastAsia" w:asciiTheme="minorEastAsia" w:hAnsiTheme="minorEastAsia" w:eastAsiaTheme="minorEastAsia" w:cstheme="minorEastAsia"/>
          <w:spacing w:val="-13"/>
          <w:sz w:val="24"/>
          <w:szCs w:val="24"/>
        </w:rPr>
        <w:t>目原结构施工图和屋顶增加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光伏的电气及光伏支架施工图电子版资料进行复核。铺设光伏</w:t>
      </w:r>
      <w:r>
        <w:rPr>
          <w:rFonts w:hint="eastAsia" w:asciiTheme="minorEastAsia" w:hAnsiTheme="minorEastAsia" w:eastAsiaTheme="minorEastAsia" w:cstheme="minorEastAsia"/>
          <w:spacing w:val="-13"/>
          <w:sz w:val="24"/>
          <w:szCs w:val="24"/>
        </w:rPr>
        <w:t>系统条件下建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16"/>
          <w:sz w:val="24"/>
          <w:szCs w:val="24"/>
        </w:rPr>
        <w:t>筑设计使用年限：不超过原建筑设计剩余使用年限且不超过光伏系统使用年限</w:t>
      </w:r>
      <w:r>
        <w:rPr>
          <w:rFonts w:hint="eastAsia" w:asciiTheme="minorEastAsia" w:hAnsiTheme="minorEastAsia" w:eastAsiaTheme="minorEastAsia" w:cstheme="minorEastAsia"/>
          <w:spacing w:val="15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25年。</w:t>
      </w:r>
    </w:p>
    <w:p w14:paraId="49C6EBB4">
      <w:pPr>
        <w:spacing w:before="65" w:line="333" w:lineRule="auto"/>
        <w:ind w:left="141" w:right="438" w:firstLine="489"/>
        <w:rPr>
          <w:rFonts w:hint="default" w:asciiTheme="minorEastAsia" w:hAnsiTheme="minorEastAsia" w:eastAsiaTheme="minorEastAsia" w:cstheme="minorEastAsia"/>
          <w:spacing w:val="-11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本项目采用标准光伏组件，太阳能支架系统与水泥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屋顶预埋水泥墩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(水泥墩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lang w:val="en-US" w:eastAsia="zh-CN"/>
        </w:rPr>
        <w:t>直径5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00mm, 高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pacing w:val="-11"/>
          <w:sz w:val="24"/>
          <w:szCs w:val="24"/>
        </w:rPr>
        <w:t>00mm) 固定于混凝土屋面。</w:t>
      </w:r>
    </w:p>
    <w:p w14:paraId="0CEF7F23">
      <w:pPr>
        <w:pStyle w:val="2"/>
        <w:spacing w:line="303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9CDFF4B">
      <w:pPr>
        <w:pStyle w:val="2"/>
        <w:spacing w:line="304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3998091">
      <w:pPr>
        <w:spacing w:before="72" w:line="219" w:lineRule="auto"/>
        <w:ind w:left="14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一</w:t>
      </w:r>
      <w:r>
        <w:rPr>
          <w:rFonts w:hint="eastAsia" w:asciiTheme="minorEastAsia" w:hAnsiTheme="minorEastAsia" w:eastAsiaTheme="minorEastAsia" w:cstheme="minorEastAsia"/>
          <w:spacing w:val="-3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8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5"/>
          <w:sz w:val="24"/>
          <w:szCs w:val="24"/>
        </w:rPr>
        <w:t>工程概况结构安全等级及使用年限。</w:t>
      </w:r>
    </w:p>
    <w:p w14:paraId="6ACFBE15">
      <w:pPr>
        <w:pStyle w:val="2"/>
        <w:spacing w:line="286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6146745">
      <w:pPr>
        <w:spacing w:before="72" w:line="220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6"/>
          <w:sz w:val="24"/>
          <w:szCs w:val="24"/>
        </w:rPr>
        <w:t>1.  房屋原设计标准</w:t>
      </w:r>
    </w:p>
    <w:p w14:paraId="079D71EB">
      <w:pPr>
        <w:spacing w:before="208" w:line="219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 w:cstheme="minorEastAsia"/>
          <w:spacing w:val="24"/>
          <w:w w:val="101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建筑合理使用年限：50年</w:t>
      </w:r>
    </w:p>
    <w:p w14:paraId="45E65AA5">
      <w:pPr>
        <w:spacing w:before="185" w:line="219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3.  抗震设防等级：丙级</w:t>
      </w:r>
    </w:p>
    <w:p w14:paraId="15B6493C">
      <w:pPr>
        <w:pStyle w:val="2"/>
        <w:spacing w:line="289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4E69D67">
      <w:pPr>
        <w:pStyle w:val="2"/>
        <w:spacing w:line="29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46BFBC8">
      <w:pPr>
        <w:spacing w:before="75" w:line="219" w:lineRule="auto"/>
        <w:ind w:left="14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二</w:t>
      </w:r>
      <w:r>
        <w:rPr>
          <w:rFonts w:hint="eastAsia" w:asciiTheme="minorEastAsia" w:hAnsiTheme="minorEastAsia" w:eastAsiaTheme="minorEastAsia" w:cstheme="minorEastAsia"/>
          <w:spacing w:val="-6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7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基本自然条件</w:t>
      </w:r>
    </w:p>
    <w:p w14:paraId="6DF7F94D">
      <w:pPr>
        <w:pStyle w:val="2"/>
        <w:spacing w:line="263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0ED662F">
      <w:pPr>
        <w:spacing w:before="79" w:line="212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1.</w:t>
      </w:r>
      <w:r>
        <w:rPr>
          <w:rFonts w:hint="eastAsia" w:asciiTheme="minorEastAsia" w:hAnsiTheme="minorEastAsia" w:eastAsiaTheme="minorEastAsia" w:cstheme="minorEastAsia"/>
          <w:spacing w:val="18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基本风压：0.45kN/m²;</w:t>
      </w:r>
      <w:r>
        <w:rPr>
          <w:rFonts w:hint="eastAsia" w:asciiTheme="minorEastAsia" w:hAnsiTheme="minorEastAsia" w:eastAsiaTheme="minorEastAsia" w:cstheme="minorEastAsia"/>
          <w:spacing w:val="14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地面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粗糙类别：B</w:t>
      </w:r>
    </w:p>
    <w:p w14:paraId="277E9ED0">
      <w:pPr>
        <w:spacing w:before="188" w:line="219" w:lineRule="auto"/>
        <w:ind w:left="35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9"/>
          <w:sz w:val="24"/>
          <w:szCs w:val="24"/>
        </w:rPr>
        <w:t>2.  基本雪压：0.45kN/m²。</w:t>
      </w:r>
    </w:p>
    <w:p w14:paraId="217052E9">
      <w:pPr>
        <w:pStyle w:val="2"/>
        <w:spacing w:line="278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8DAC903">
      <w:pPr>
        <w:pStyle w:val="2"/>
        <w:spacing w:line="278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892DF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60" w:lineRule="auto"/>
        <w:ind w:left="141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三.</w:t>
      </w:r>
      <w:r>
        <w:rPr>
          <w:rFonts w:hint="eastAsia" w:asciiTheme="minorEastAsia" w:hAnsiTheme="minorEastAsia" w:eastAsiaTheme="minorEastAsia" w:cstheme="minorEastAsia"/>
          <w:spacing w:val="68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现行的国家规范，规程和规定</w:t>
      </w:r>
    </w:p>
    <w:p w14:paraId="6070E03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1E254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(1)《工程建设标准强制性条文》(房屋建筑部分)</w:t>
      </w:r>
    </w:p>
    <w:p w14:paraId="01EB2B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)《工程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结构通用规范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》GB 55001-2021</w:t>
      </w:r>
    </w:p>
    <w:p w14:paraId="5DFA16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3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)《建筑与市政工程抗震通用规范》GB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5500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-2021</w:t>
      </w:r>
    </w:p>
    <w:p w14:paraId="72F4C76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(4)《组合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结构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通用规范》GB 55004-2021</w:t>
      </w:r>
    </w:p>
    <w:p w14:paraId="1AC32F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(5)《钢结构通用规范》GB 55006-2021</w:t>
      </w:r>
    </w:p>
    <w:p w14:paraId="14DE46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(6)《混凝土结构通用规范》GB 55008-2021</w:t>
      </w:r>
    </w:p>
    <w:p w14:paraId="196FFB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(7)《工程结构可靠性设计统一标准》GB/T 50153-2008</w:t>
      </w:r>
    </w:p>
    <w:p w14:paraId="61D870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(8)《建筑结构可靠性设计统一标准》GB/T 50068-2018</w:t>
      </w:r>
    </w:p>
    <w:p w14:paraId="677C0F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(9)  《建筑结构荷载规范》 GB 50009-2012</w:t>
      </w:r>
    </w:p>
    <w:p w14:paraId="084B41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(10)  《砌体结构设计规范》GB 50003-2011</w:t>
      </w:r>
    </w:p>
    <w:p w14:paraId="42EB051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(11)  《混凝土结构设计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标准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》GB 50010-2010(20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 xml:space="preserve"> 年版)</w:t>
      </w:r>
    </w:p>
    <w:p w14:paraId="7C66C64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(12)  《建筑结构制图标准》 GB/T 50105-2010</w:t>
      </w:r>
    </w:p>
    <w:p w14:paraId="23EA5DB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(13) 《建筑抗震设计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标准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》GB/T 50011-2010(20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 xml:space="preserve"> 年版)</w:t>
      </w:r>
    </w:p>
    <w:p w14:paraId="35EA132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) 《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钢结构设计标准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 xml:space="preserve">》GB  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50017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-20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17</w:t>
      </w:r>
    </w:p>
    <w:p w14:paraId="0A5133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left="420" w:leftChars="200" w:firstLine="0" w:firstLineChars="0"/>
        <w:jc w:val="left"/>
        <w:textAlignment w:val="baseline"/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</w:pP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(1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5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) 《光伏发电站设计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标准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>》GB  50797-2012(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zh-CN" w:bidi="ar-SA"/>
        </w:rPr>
        <w:t>2024</w:t>
      </w:r>
      <w:r>
        <w:rPr>
          <w:rFonts w:hint="eastAsia" w:asciiTheme="minorEastAsia" w:hAnsiTheme="minorEastAsia" w:eastAsiaTheme="minorEastAsia" w:cstheme="minorEastAsia"/>
          <w:snapToGrid w:val="0"/>
          <w:color w:val="000000"/>
          <w:spacing w:val="-7"/>
          <w:kern w:val="0"/>
          <w:sz w:val="24"/>
          <w:szCs w:val="24"/>
          <w:lang w:val="en-US" w:eastAsia="en-US" w:bidi="ar-SA"/>
        </w:rPr>
        <w:t xml:space="preserve"> 年版)</w:t>
      </w:r>
    </w:p>
    <w:p w14:paraId="19AFC66E">
      <w:pPr>
        <w:spacing w:before="44" w:line="220" w:lineRule="auto"/>
      </w:pPr>
    </w:p>
    <w:p w14:paraId="02E2B437">
      <w:pPr>
        <w:spacing w:line="240" w:lineRule="auto"/>
        <w:ind w:left="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3CF54BE">
      <w:pPr>
        <w:spacing w:before="78" w:line="219" w:lineRule="auto"/>
        <w:ind w:left="1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四</w:t>
      </w:r>
      <w:r>
        <w:rPr>
          <w:rFonts w:hint="eastAsia" w:asciiTheme="minorEastAsia" w:hAnsiTheme="minorEastAsia" w:eastAsiaTheme="minorEastAsia" w:cstheme="minorEastAsia"/>
          <w:spacing w:val="-41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7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屋面设计荷载</w:t>
      </w:r>
    </w:p>
    <w:p w14:paraId="1006F1B2">
      <w:pPr>
        <w:pStyle w:val="2"/>
        <w:spacing w:line="308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04AC58D">
      <w:pPr>
        <w:spacing w:before="75" w:line="219" w:lineRule="auto"/>
        <w:ind w:left="6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12"/>
          <w:sz w:val="24"/>
          <w:szCs w:val="24"/>
        </w:rPr>
        <w:t>经查，原设计建筑物均为框架结构，原设计屋面均为上人屋面，原屋面设计</w:t>
      </w:r>
    </w:p>
    <w:p w14:paraId="272AC7DB">
      <w:pPr>
        <w:spacing w:before="147" w:line="219" w:lineRule="auto"/>
        <w:ind w:left="1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荷载：</w:t>
      </w:r>
    </w:p>
    <w:p w14:paraId="58E1DCF0">
      <w:pPr>
        <w:pStyle w:val="2"/>
        <w:spacing w:line="248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842E0F0">
      <w:pPr>
        <w:spacing w:before="78" w:line="219" w:lineRule="auto"/>
        <w:ind w:left="8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</w:rPr>
        <w:t>活荷载为：</w:t>
      </w: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  <w:u w:val="single" w:color="auto"/>
        </w:rPr>
        <w:t>2.0</w:t>
      </w:r>
      <w:r>
        <w:rPr>
          <w:rFonts w:hint="eastAsia" w:asciiTheme="minorEastAsia" w:hAnsiTheme="minorEastAsia" w:eastAsiaTheme="minorEastAsia" w:cstheme="minorEastAsia"/>
          <w:spacing w:val="7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6"/>
          <w:sz w:val="24"/>
          <w:szCs w:val="24"/>
        </w:rPr>
        <w:t>N/m²</w:t>
      </w:r>
    </w:p>
    <w:p w14:paraId="5D0094C0">
      <w:pPr>
        <w:spacing w:before="309" w:line="212" w:lineRule="auto"/>
        <w:ind w:left="82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9"/>
          <w:sz w:val="24"/>
          <w:szCs w:val="24"/>
        </w:rPr>
        <w:t>雪荷载为</w:t>
      </w:r>
      <w:r>
        <w:rPr>
          <w:rFonts w:hint="eastAsia" w:asciiTheme="minorEastAsia" w:hAnsiTheme="minorEastAsia" w:eastAsiaTheme="minorEastAsia" w:cstheme="minorEastAsia"/>
          <w:spacing w:val="-4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9"/>
          <w:sz w:val="24"/>
          <w:szCs w:val="24"/>
          <w:u w:val="single" w:color="auto"/>
        </w:rPr>
        <w:t>0.45</w:t>
      </w:r>
      <w:r>
        <w:rPr>
          <w:rFonts w:hint="eastAsia" w:asciiTheme="minorEastAsia" w:hAnsiTheme="minorEastAsia" w:eastAsiaTheme="minorEastAsia" w:cstheme="minorEastAsia"/>
          <w:spacing w:val="16"/>
          <w:sz w:val="24"/>
          <w:szCs w:val="24"/>
          <w:u w:val="single" w:color="auto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9"/>
          <w:sz w:val="24"/>
          <w:szCs w:val="24"/>
        </w:rPr>
        <w:t>kN/m²;</w:t>
      </w:r>
    </w:p>
    <w:p w14:paraId="2DF9743A">
      <w:pPr>
        <w:pStyle w:val="2"/>
        <w:spacing w:line="27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924A02D">
      <w:pPr>
        <w:spacing w:before="79" w:line="219" w:lineRule="auto"/>
        <w:ind w:left="820"/>
        <w:rPr>
          <w:rFonts w:hint="eastAsia" w:asciiTheme="minorEastAsia" w:hAnsiTheme="minorEastAsia" w:eastAsiaTheme="minorEastAsia" w:cstheme="minorEastAsia"/>
          <w:sz w:val="24"/>
          <w:szCs w:val="24"/>
        </w:rPr>
        <w:sectPr>
          <w:pgSz w:w="11860" w:h="16800"/>
          <w:pgMar w:top="1145" w:right="1779" w:bottom="0" w:left="1779" w:header="0" w:footer="0" w:gutter="0"/>
          <w:cols w:space="720" w:num="1"/>
        </w:sectPr>
      </w:pP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风荷载为</w:t>
      </w:r>
      <w:r>
        <w:rPr>
          <w:rFonts w:hint="eastAsia" w:asciiTheme="minorEastAsia" w:hAnsiTheme="minorEastAsia" w:eastAsiaTheme="minorEastAsia" w:cstheme="minorEastAsia"/>
          <w:spacing w:val="-5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  <w:u w:val="single" w:color="auto"/>
        </w:rPr>
        <w:t>0.45 k</w:t>
      </w:r>
      <w:r>
        <w:rPr>
          <w:rFonts w:hint="eastAsia" w:asciiTheme="minorEastAsia" w:hAnsiTheme="minorEastAsia" w:eastAsiaTheme="minorEastAsia" w:cstheme="minorEastAsia"/>
          <w:spacing w:val="-7"/>
          <w:sz w:val="24"/>
          <w:szCs w:val="24"/>
        </w:rPr>
        <w:t>N/m²</w:t>
      </w:r>
    </w:p>
    <w:p w14:paraId="47A9C220">
      <w:pPr>
        <w:spacing w:line="240" w:lineRule="auto"/>
        <w:rPr>
          <w:rFonts w:hint="eastAsia" w:asciiTheme="minorEastAsia" w:hAnsiTheme="minorEastAsia" w:eastAsiaTheme="minorEastAsia" w:cstheme="minorEastAsia"/>
          <w:spacing w:val="-2"/>
          <w:sz w:val="24"/>
          <w:szCs w:val="24"/>
          <w:lang w:val="en-US" w:eastAsia="zh-CN"/>
        </w:rPr>
      </w:pPr>
    </w:p>
    <w:p w14:paraId="5D0B651E">
      <w:pPr>
        <w:spacing w:before="241" w:line="219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五</w:t>
      </w:r>
      <w:r>
        <w:rPr>
          <w:rFonts w:hint="eastAsia" w:asciiTheme="minorEastAsia" w:hAnsiTheme="minorEastAsia" w:eastAsiaTheme="minorEastAsia" w:cstheme="minorEastAsia"/>
          <w:spacing w:val="-4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.</w:t>
      </w:r>
      <w:r>
        <w:rPr>
          <w:rFonts w:hint="eastAsia" w:asciiTheme="minorEastAsia" w:hAnsiTheme="minorEastAsia" w:eastAsiaTheme="minorEastAsia" w:cstheme="minorEastAsia"/>
          <w:spacing w:val="72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屋顶活荷载复核</w:t>
      </w:r>
    </w:p>
    <w:p w14:paraId="31843A73">
      <w:pPr>
        <w:pStyle w:val="2"/>
        <w:spacing w:line="30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1A07D6F">
      <w:pPr>
        <w:spacing w:before="75" w:line="347" w:lineRule="auto"/>
        <w:ind w:left="261" w:right="929" w:firstLine="470"/>
        <w:jc w:val="both"/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根据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val="en-US" w:eastAsia="zh-CN"/>
        </w:rPr>
        <w:t>河北聚微工程勘察设计有限公司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202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  <w:lang w:val="en-US" w:eastAsia="zh-CN"/>
        </w:rPr>
        <w:t>04</w:t>
      </w: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月设计的《</w:t>
      </w:r>
      <w:r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  <w:t>桐庐县富春江派出所60kW屋顶分布式光伏发电项目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》施工图，计算得到新增光伏项目荷载统计如下表所示：</w:t>
      </w:r>
    </w:p>
    <w:p w14:paraId="77C0273E">
      <w:pPr>
        <w:spacing w:before="75" w:line="347" w:lineRule="auto"/>
        <w:ind w:left="261" w:right="929" w:firstLine="470"/>
        <w:jc w:val="both"/>
        <w:rPr>
          <w:rFonts w:hint="eastAsia" w:asciiTheme="minorEastAsia" w:hAnsiTheme="minorEastAsia" w:eastAsiaTheme="minorEastAsia" w:cstheme="minorEastAsia"/>
          <w:spacing w:val="-4"/>
          <w:sz w:val="24"/>
          <w:szCs w:val="24"/>
          <w:lang w:val="en-US" w:eastAsia="zh-CN"/>
        </w:rPr>
      </w:pPr>
    </w:p>
    <w:p w14:paraId="511EB71A">
      <w:pPr>
        <w:spacing w:before="75" w:line="347" w:lineRule="auto"/>
        <w:ind w:right="929" w:firstLine="232" w:firstLineChars="100"/>
        <w:jc w:val="left"/>
        <w:rPr>
          <w:rFonts w:hint="default" w:asciiTheme="minorEastAsia" w:hAnsiTheme="minorEastAsia" w:eastAsiaTheme="minorEastAsia" w:cstheme="minorEastAsia"/>
          <w:spacing w:val="-4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  <w:lang w:val="en-US" w:eastAsia="zh-CN"/>
        </w:rPr>
        <w:t>混凝土屋面（水泥墩配重）</w:t>
      </w:r>
    </w:p>
    <w:tbl>
      <w:tblPr>
        <w:tblStyle w:val="5"/>
        <w:tblW w:w="8100" w:type="dxa"/>
        <w:tblInd w:w="2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4"/>
        <w:gridCol w:w="2397"/>
        <w:gridCol w:w="2477"/>
        <w:gridCol w:w="2282"/>
      </w:tblGrid>
      <w:tr w14:paraId="56D71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44" w:type="dxa"/>
            <w:vAlign w:val="top"/>
          </w:tcPr>
          <w:p w14:paraId="225FB3DC">
            <w:pPr>
              <w:pStyle w:val="6"/>
              <w:spacing w:before="115" w:line="221" w:lineRule="auto"/>
              <w:ind w:left="35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2397" w:type="dxa"/>
            <w:vAlign w:val="top"/>
          </w:tcPr>
          <w:p w14:paraId="61760261">
            <w:pPr>
              <w:pStyle w:val="6"/>
              <w:spacing w:before="115" w:line="220" w:lineRule="auto"/>
              <w:ind w:left="96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7"/>
                <w:sz w:val="24"/>
                <w:szCs w:val="24"/>
              </w:rPr>
              <w:t>项 目</w:t>
            </w:r>
          </w:p>
        </w:tc>
        <w:tc>
          <w:tcPr>
            <w:tcW w:w="2477" w:type="dxa"/>
            <w:vAlign w:val="top"/>
          </w:tcPr>
          <w:p w14:paraId="72F68457">
            <w:pPr>
              <w:pStyle w:val="6"/>
              <w:spacing w:before="115" w:line="221" w:lineRule="auto"/>
              <w:ind w:left="82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3"/>
                <w:sz w:val="24"/>
                <w:szCs w:val="24"/>
              </w:rPr>
              <w:t>小计(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KN</w:t>
            </w:r>
            <w:r>
              <w:rPr>
                <w:rFonts w:hint="eastAsia" w:asciiTheme="minorEastAsia" w:hAnsiTheme="minorEastAsia" w:eastAsiaTheme="minorEastAsia" w:cstheme="minorEastAsia"/>
                <w:spacing w:val="23"/>
                <w:sz w:val="24"/>
                <w:szCs w:val="24"/>
              </w:rPr>
              <w:t>/m²)</w:t>
            </w:r>
          </w:p>
        </w:tc>
        <w:tc>
          <w:tcPr>
            <w:tcW w:w="2282" w:type="dxa"/>
            <w:vAlign w:val="top"/>
          </w:tcPr>
          <w:p w14:paraId="37457958">
            <w:pPr>
              <w:pStyle w:val="6"/>
              <w:spacing w:before="115" w:line="221" w:lineRule="auto"/>
              <w:ind w:left="90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5"/>
                <w:sz w:val="24"/>
                <w:szCs w:val="24"/>
              </w:rPr>
              <w:t>备注</w:t>
            </w:r>
          </w:p>
        </w:tc>
      </w:tr>
      <w:tr w14:paraId="7B5B3B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44" w:type="dxa"/>
            <w:vAlign w:val="top"/>
          </w:tcPr>
          <w:p w14:paraId="1D35C7B2">
            <w:pPr>
              <w:pStyle w:val="6"/>
              <w:spacing w:before="183" w:line="213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2397" w:type="dxa"/>
            <w:vAlign w:val="top"/>
          </w:tcPr>
          <w:p w14:paraId="1ADA6391">
            <w:pPr>
              <w:pStyle w:val="6"/>
              <w:spacing w:before="169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光伏组件</w:t>
            </w:r>
          </w:p>
        </w:tc>
        <w:tc>
          <w:tcPr>
            <w:tcW w:w="2477" w:type="dxa"/>
            <w:vAlign w:val="top"/>
          </w:tcPr>
          <w:p w14:paraId="3187605F">
            <w:pPr>
              <w:pStyle w:val="6"/>
              <w:spacing w:before="193" w:line="205" w:lineRule="auto"/>
              <w:ind w:left="1004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0.0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282" w:type="dxa"/>
            <w:vAlign w:val="top"/>
          </w:tcPr>
          <w:p w14:paraId="55475C42">
            <w:pPr>
              <w:pStyle w:val="6"/>
              <w:spacing w:before="142"/>
              <w:ind w:left="616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11E60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0AC4C231">
            <w:pPr>
              <w:pStyle w:val="6"/>
              <w:spacing w:before="194" w:line="196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2397" w:type="dxa"/>
            <w:vAlign w:val="top"/>
          </w:tcPr>
          <w:p w14:paraId="4EB5BABF">
            <w:pPr>
              <w:pStyle w:val="6"/>
              <w:spacing w:before="151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支架横梁</w:t>
            </w:r>
          </w:p>
        </w:tc>
        <w:tc>
          <w:tcPr>
            <w:tcW w:w="2477" w:type="dxa"/>
            <w:vMerge w:val="restart"/>
            <w:tcBorders>
              <w:bottom w:val="nil"/>
            </w:tcBorders>
            <w:vAlign w:val="top"/>
          </w:tcPr>
          <w:p w14:paraId="3A65D920">
            <w:pPr>
              <w:spacing w:line="25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F4DC294">
            <w:pPr>
              <w:spacing w:line="25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4E1436C">
            <w:pPr>
              <w:spacing w:line="25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E9F42F2">
            <w:pPr>
              <w:spacing w:line="25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57FD51A">
            <w:pPr>
              <w:spacing w:line="251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AD63C65">
            <w:pPr>
              <w:pStyle w:val="6"/>
              <w:spacing w:before="75" w:line="239" w:lineRule="auto"/>
              <w:ind w:left="10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0.09</w:t>
            </w:r>
          </w:p>
        </w:tc>
        <w:tc>
          <w:tcPr>
            <w:tcW w:w="2282" w:type="dxa"/>
            <w:vAlign w:val="top"/>
          </w:tcPr>
          <w:p w14:paraId="79B6CC9B">
            <w:pPr>
              <w:pStyle w:val="6"/>
              <w:spacing w:before="149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27205E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3BDC0786">
            <w:pPr>
              <w:pStyle w:val="6"/>
              <w:spacing w:before="194" w:line="196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2397" w:type="dxa"/>
            <w:vAlign w:val="top"/>
          </w:tcPr>
          <w:p w14:paraId="517A8446">
            <w:pPr>
              <w:pStyle w:val="6"/>
              <w:spacing w:before="152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支架斜梁</w:t>
            </w:r>
          </w:p>
        </w:tc>
        <w:tc>
          <w:tcPr>
            <w:tcW w:w="2477" w:type="dxa"/>
            <w:vMerge w:val="continue"/>
            <w:tcBorders>
              <w:top w:val="nil"/>
              <w:bottom w:val="nil"/>
            </w:tcBorders>
            <w:vAlign w:val="top"/>
          </w:tcPr>
          <w:p w14:paraId="510243B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682E9219">
            <w:pPr>
              <w:pStyle w:val="6"/>
              <w:spacing w:before="150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0E0B55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944" w:type="dxa"/>
            <w:vAlign w:val="top"/>
          </w:tcPr>
          <w:p w14:paraId="7B6E9AB8">
            <w:pPr>
              <w:pStyle w:val="6"/>
              <w:spacing w:before="206" w:line="187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2397" w:type="dxa"/>
            <w:vAlign w:val="top"/>
          </w:tcPr>
          <w:p w14:paraId="5C669D90">
            <w:pPr>
              <w:pStyle w:val="6"/>
              <w:spacing w:before="113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支架斜撑</w:t>
            </w:r>
          </w:p>
        </w:tc>
        <w:tc>
          <w:tcPr>
            <w:tcW w:w="2477" w:type="dxa"/>
            <w:vMerge w:val="continue"/>
            <w:tcBorders>
              <w:top w:val="nil"/>
              <w:bottom w:val="nil"/>
            </w:tcBorders>
            <w:vAlign w:val="top"/>
          </w:tcPr>
          <w:p w14:paraId="06E09EC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623B43C4">
            <w:pPr>
              <w:pStyle w:val="6"/>
              <w:spacing w:before="151" w:line="219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5DC3F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944" w:type="dxa"/>
            <w:vAlign w:val="top"/>
          </w:tcPr>
          <w:p w14:paraId="7CD55EEC">
            <w:pPr>
              <w:pStyle w:val="6"/>
              <w:spacing w:before="187" w:line="202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</w:t>
            </w:r>
          </w:p>
        </w:tc>
        <w:tc>
          <w:tcPr>
            <w:tcW w:w="2397" w:type="dxa"/>
            <w:vAlign w:val="top"/>
          </w:tcPr>
          <w:p w14:paraId="04EB587D">
            <w:pPr>
              <w:pStyle w:val="6"/>
              <w:spacing w:before="164" w:line="220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"/>
                <w:sz w:val="24"/>
                <w:szCs w:val="24"/>
              </w:rPr>
              <w:t>支架立柱</w:t>
            </w:r>
          </w:p>
        </w:tc>
        <w:tc>
          <w:tcPr>
            <w:tcW w:w="2477" w:type="dxa"/>
            <w:vMerge w:val="continue"/>
            <w:tcBorders>
              <w:top w:val="nil"/>
              <w:bottom w:val="nil"/>
            </w:tcBorders>
            <w:vAlign w:val="top"/>
          </w:tcPr>
          <w:p w14:paraId="6E8C59E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1ED9779F">
            <w:pPr>
              <w:pStyle w:val="6"/>
              <w:spacing w:before="173" w:line="213" w:lineRule="auto"/>
              <w:ind w:left="44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"/>
                <w:sz w:val="24"/>
                <w:szCs w:val="24"/>
              </w:rPr>
              <w:t>热镀锌钢型材</w:t>
            </w:r>
          </w:p>
        </w:tc>
      </w:tr>
      <w:tr w14:paraId="2D685C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944" w:type="dxa"/>
            <w:vAlign w:val="top"/>
          </w:tcPr>
          <w:p w14:paraId="35B4B0C1">
            <w:pPr>
              <w:pStyle w:val="6"/>
              <w:spacing w:before="147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7</w:t>
            </w:r>
          </w:p>
        </w:tc>
        <w:tc>
          <w:tcPr>
            <w:tcW w:w="2397" w:type="dxa"/>
            <w:vAlign w:val="top"/>
          </w:tcPr>
          <w:p w14:paraId="6A108451">
            <w:pPr>
              <w:pStyle w:val="6"/>
              <w:spacing w:before="125" w:line="219" w:lineRule="auto"/>
              <w:ind w:left="50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压块及连接件</w:t>
            </w:r>
          </w:p>
        </w:tc>
        <w:tc>
          <w:tcPr>
            <w:tcW w:w="2477" w:type="dxa"/>
            <w:vMerge w:val="continue"/>
            <w:tcBorders>
              <w:top w:val="nil"/>
            </w:tcBorders>
            <w:vAlign w:val="top"/>
          </w:tcPr>
          <w:p w14:paraId="536F3FD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282" w:type="dxa"/>
            <w:vAlign w:val="top"/>
          </w:tcPr>
          <w:p w14:paraId="7DB14A6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56C9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944" w:type="dxa"/>
            <w:vAlign w:val="top"/>
          </w:tcPr>
          <w:p w14:paraId="2294B0E8">
            <w:pPr>
              <w:pStyle w:val="6"/>
              <w:spacing w:before="308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8</w:t>
            </w:r>
          </w:p>
        </w:tc>
        <w:tc>
          <w:tcPr>
            <w:tcW w:w="2397" w:type="dxa"/>
            <w:vAlign w:val="top"/>
          </w:tcPr>
          <w:p w14:paraId="3F1C6E0C">
            <w:pPr>
              <w:pStyle w:val="6"/>
              <w:spacing w:before="240" w:line="223" w:lineRule="auto"/>
              <w:ind w:left="61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基础总配重</w:t>
            </w:r>
          </w:p>
        </w:tc>
        <w:tc>
          <w:tcPr>
            <w:tcW w:w="2477" w:type="dxa"/>
            <w:vAlign w:val="top"/>
          </w:tcPr>
          <w:p w14:paraId="68DF0C22">
            <w:pPr>
              <w:pStyle w:val="6"/>
              <w:spacing w:before="309" w:line="239" w:lineRule="auto"/>
              <w:ind w:left="10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8</w:t>
            </w:r>
          </w:p>
        </w:tc>
        <w:tc>
          <w:tcPr>
            <w:tcW w:w="2282" w:type="dxa"/>
            <w:vAlign w:val="top"/>
          </w:tcPr>
          <w:p w14:paraId="3E79D3F1">
            <w:pPr>
              <w:pStyle w:val="6"/>
              <w:spacing w:before="127" w:line="220" w:lineRule="auto"/>
              <w:ind w:left="15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>00*400(预埋U</w:t>
            </w:r>
          </w:p>
          <w:p w14:paraId="1FCB4C45">
            <w:pPr>
              <w:pStyle w:val="6"/>
              <w:spacing w:before="26" w:line="193" w:lineRule="auto"/>
              <w:ind w:left="72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3"/>
                <w:sz w:val="24"/>
                <w:szCs w:val="24"/>
              </w:rPr>
              <w:t>型螺栓)</w:t>
            </w:r>
          </w:p>
        </w:tc>
      </w:tr>
      <w:tr w14:paraId="3B4792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44" w:type="dxa"/>
            <w:vAlign w:val="top"/>
          </w:tcPr>
          <w:p w14:paraId="4908E24D">
            <w:pPr>
              <w:pStyle w:val="6"/>
              <w:spacing w:before="201" w:line="195" w:lineRule="auto"/>
              <w:ind w:left="4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9</w:t>
            </w:r>
          </w:p>
        </w:tc>
        <w:tc>
          <w:tcPr>
            <w:tcW w:w="2397" w:type="dxa"/>
            <w:vAlign w:val="top"/>
          </w:tcPr>
          <w:p w14:paraId="7C44A0AC">
            <w:pPr>
              <w:pStyle w:val="6"/>
              <w:spacing w:before="156" w:line="219" w:lineRule="auto"/>
              <w:ind w:left="7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均布荷载</w:t>
            </w:r>
          </w:p>
        </w:tc>
        <w:tc>
          <w:tcPr>
            <w:tcW w:w="2477" w:type="dxa"/>
            <w:vAlign w:val="top"/>
          </w:tcPr>
          <w:p w14:paraId="75A64AA6">
            <w:pPr>
              <w:pStyle w:val="6"/>
              <w:spacing w:before="211" w:line="187" w:lineRule="auto"/>
              <w:ind w:left="1004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0.</w:t>
            </w: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2282" w:type="dxa"/>
            <w:vAlign w:val="top"/>
          </w:tcPr>
          <w:p w14:paraId="074C5435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3CA11322">
      <w:pPr>
        <w:pStyle w:val="2"/>
        <w:spacing w:line="258" w:lineRule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E3F6E58">
      <w:pPr>
        <w:spacing w:before="75" w:line="352" w:lineRule="auto"/>
        <w:ind w:left="201" w:right="970" w:firstLine="489"/>
        <w:jc w:val="both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</w:p>
    <w:p w14:paraId="334001DF">
      <w:pPr>
        <w:spacing w:before="75" w:line="352" w:lineRule="auto"/>
        <w:ind w:left="201" w:right="970" w:firstLine="489"/>
        <w:jc w:val="both"/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根据业主所提供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新增光伏屋面建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筑结构施工图，本项目混凝土屋面设计活载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荷为</w:t>
      </w:r>
      <w:r>
        <w:rPr>
          <w:rFonts w:hint="eastAsia" w:asciiTheme="minorEastAsia" w:hAnsiTheme="minorEastAsia" w:eastAsiaTheme="minorEastAsia" w:cstheme="minorEastAsia"/>
          <w:spacing w:val="-44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>2.0kN/m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²,</w:t>
      </w:r>
      <w:r>
        <w:rPr>
          <w:rFonts w:hint="eastAsia" w:asciiTheme="minorEastAsia" w:hAnsiTheme="minorEastAsia" w:eastAsiaTheme="minorEastAsia" w:cstheme="minorEastAsia"/>
          <w:spacing w:val="-63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新增光伏荷载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>0.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  <w:lang w:val="en-US" w:eastAsia="zh-CN"/>
        </w:rPr>
        <w:t>85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 w:color="auto"/>
        </w:rPr>
        <w:t>kN/m²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 混凝土屋顶安装太阳能方阵后</w:t>
      </w:r>
      <w:r>
        <w:rPr>
          <w:rFonts w:hint="eastAsia" w:asciiTheme="minorEastAsia" w:hAnsiTheme="minorEastAsia" w:eastAsiaTheme="minorEastAsia" w:cstheme="minorEastAsia"/>
          <w:spacing w:val="-4"/>
          <w:sz w:val="24"/>
          <w:szCs w:val="24"/>
        </w:rPr>
        <w:t>载荷远小于设计活载荷。</w:t>
      </w:r>
    </w:p>
    <w:p w14:paraId="38569602">
      <w:pPr>
        <w:spacing w:before="74" w:line="333" w:lineRule="auto"/>
        <w:ind w:right="1063" w:firstLine="472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复核验算结论：新建光伏项目满足原设计结构屋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-2"/>
          <w:sz w:val="24"/>
          <w:szCs w:val="24"/>
        </w:rPr>
        <w:t>面载荷要求，可进行后</w:t>
      </w:r>
      <w:r>
        <w:rPr>
          <w:rFonts w:hint="eastAsia" w:asciiTheme="minorEastAsia" w:hAnsiTheme="minorEastAsia" w:eastAsiaTheme="minorEastAsia" w:cstheme="minorEastAsia"/>
          <w:spacing w:val="7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</w:rPr>
        <w:t>续施工作业。</w:t>
      </w:r>
    </w:p>
    <w:p w14:paraId="77E4144C">
      <w:pPr>
        <w:pStyle w:val="2"/>
        <w:spacing w:line="291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1E43EE4">
      <w:pPr>
        <w:pStyle w:val="2"/>
        <w:spacing w:line="291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CF4A8C2">
      <w:pPr>
        <w:spacing w:before="74" w:line="219" w:lineRule="auto"/>
        <w:ind w:firstLine="234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复核验算单位：</w:t>
      </w:r>
      <w:r>
        <w:rPr>
          <w:rFonts w:hint="eastAsia" w:ascii="宋体" w:hAnsi="宋体" w:eastAsia="宋体" w:cs="宋体"/>
          <w:spacing w:val="4"/>
          <w:sz w:val="26"/>
          <w:szCs w:val="26"/>
        </w:rPr>
        <w:t>司晨设计集团有限公司</w:t>
      </w:r>
    </w:p>
    <w:p w14:paraId="7876DEF9">
      <w:pPr>
        <w:spacing w:line="197" w:lineRule="auto"/>
        <w:ind w:left="5461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22"/>
          <w:w w:val="101"/>
          <w:sz w:val="24"/>
          <w:szCs w:val="24"/>
        </w:rPr>
        <w:t xml:space="preserve">  </w:t>
      </w:r>
    </w:p>
    <w:p w14:paraId="1F9DB804">
      <w:pPr>
        <w:spacing w:before="74" w:line="219" w:lineRule="auto"/>
        <w:ind w:firstLine="234" w:firstLineChars="100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复核时间：202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年0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 xml:space="preserve">月 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 xml:space="preserve"> 日</w:t>
      </w:r>
    </w:p>
    <w:sectPr>
      <w:headerReference r:id="rId5" w:type="default"/>
      <w:pgSz w:w="11860" w:h="16800"/>
      <w:pgMar w:top="400" w:right="1779" w:bottom="0" w:left="177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5C4CD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187340"/>
    <w:rsid w:val="04446B1C"/>
    <w:rsid w:val="0736405C"/>
    <w:rsid w:val="0CAC0DEC"/>
    <w:rsid w:val="0CD95E41"/>
    <w:rsid w:val="0D750844"/>
    <w:rsid w:val="0DED6FC6"/>
    <w:rsid w:val="11CD13A8"/>
    <w:rsid w:val="129A66BB"/>
    <w:rsid w:val="14450AE8"/>
    <w:rsid w:val="169F1079"/>
    <w:rsid w:val="1E0068A1"/>
    <w:rsid w:val="1F1D4D66"/>
    <w:rsid w:val="1F2729AA"/>
    <w:rsid w:val="22FF181D"/>
    <w:rsid w:val="25001304"/>
    <w:rsid w:val="26415CA9"/>
    <w:rsid w:val="2A4C4B00"/>
    <w:rsid w:val="2A5F2BA2"/>
    <w:rsid w:val="2AA44A58"/>
    <w:rsid w:val="32427DA8"/>
    <w:rsid w:val="33933FAE"/>
    <w:rsid w:val="343479E4"/>
    <w:rsid w:val="347D4361"/>
    <w:rsid w:val="34AC732B"/>
    <w:rsid w:val="3CFE624A"/>
    <w:rsid w:val="3F7F634B"/>
    <w:rsid w:val="42016373"/>
    <w:rsid w:val="471F082C"/>
    <w:rsid w:val="4A425349"/>
    <w:rsid w:val="4E157897"/>
    <w:rsid w:val="502D4A1E"/>
    <w:rsid w:val="5322508C"/>
    <w:rsid w:val="5928008E"/>
    <w:rsid w:val="595B0854"/>
    <w:rsid w:val="5D086F45"/>
    <w:rsid w:val="5D612480"/>
    <w:rsid w:val="608A5EC3"/>
    <w:rsid w:val="65DF0A5F"/>
    <w:rsid w:val="69D34437"/>
    <w:rsid w:val="6B4334ED"/>
    <w:rsid w:val="6DDB5FC9"/>
    <w:rsid w:val="6E082836"/>
    <w:rsid w:val="6F54601A"/>
    <w:rsid w:val="74F97613"/>
    <w:rsid w:val="75D05B57"/>
    <w:rsid w:val="75E5678F"/>
    <w:rsid w:val="7979497F"/>
    <w:rsid w:val="79D636B3"/>
    <w:rsid w:val="7C835849"/>
    <w:rsid w:val="7F801079"/>
    <w:rsid w:val="7FFA40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941</Words>
  <Characters>1256</Characters>
  <TotalTime>4</TotalTime>
  <ScaleCrop>false</ScaleCrop>
  <LinksUpToDate>false</LinksUpToDate>
  <CharactersWithSpaces>1335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2026-05-18T14:56:00Z</dcterms:created>
  <dc:creator>Administrator</dc:creator>
  <cp:lastModifiedBy>茉莉柚子茶</cp:lastModifiedBy>
  <dcterms:modified xsi:type="dcterms:W3CDTF">2026-05-18T08:14:37Z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2026-05-18T14:56:43Z</vt:filetime>
  </property>
  <property fmtid="{D5CDD505-2E9C-101B-9397-08002B2CF9AE}" pid="4" name="UsrData">
    <vt:lpwstr>6a0ab823115626001f4349fawl</vt:lpwstr>
  </property>
  <property fmtid="{D5CDD505-2E9C-101B-9397-08002B2CF9AE}" pid="5" name="KSOTemplateDocerSaveRecord">
    <vt:lpwstr>eyJoZGlkIjoiZDU5ZjEwZWJlNTcyMmQ0MGJiOTU1NWY0NDAxMDVmZDMiLCJ1c2VySWQiOiI3MzY3ODUxNzAifQ==</vt:lpwstr>
  </property>
  <property fmtid="{D5CDD505-2E9C-101B-9397-08002B2CF9AE}" pid="6" name="KSOProductBuildVer">
    <vt:lpwstr>2052-12.1.0.26375</vt:lpwstr>
  </property>
  <property fmtid="{D5CDD505-2E9C-101B-9397-08002B2CF9AE}" pid="7" name="ICV">
    <vt:lpwstr>9BC3D2061AA640B098AF19E455E12BF6_13</vt:lpwstr>
  </property>
</Properties>
</file>