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49D51">
      <w:pPr>
        <w:pStyle w:val="2"/>
        <w:spacing w:before="120" w:after="120"/>
        <w:jc w:val="center"/>
        <w:rPr>
          <w:rFonts w:ascii="黑体" w:hAnsi="黑体"/>
          <w:b/>
          <w:iCs w:val="0"/>
          <w:sz w:val="32"/>
          <w:szCs w:val="32"/>
        </w:rPr>
      </w:pPr>
      <w:bookmarkStart w:id="0" w:name="_Toc179472552"/>
      <w:bookmarkStart w:id="1" w:name="_Toc187143917"/>
      <w:r>
        <w:rPr>
          <w:rFonts w:hint="eastAsia" w:ascii="黑体" w:hAnsi="黑体"/>
          <w:b/>
          <w:iCs w:val="0"/>
          <w:sz w:val="32"/>
          <w:szCs w:val="32"/>
        </w:rPr>
        <w:t>第三章  评标办法(</w:t>
      </w:r>
      <w:bookmarkStart w:id="2" w:name="OLE_LINK2"/>
      <w:r>
        <w:rPr>
          <w:rFonts w:hint="eastAsia" w:ascii="黑体" w:hAnsi="黑体"/>
          <w:b/>
          <w:iCs w:val="0"/>
          <w:sz w:val="32"/>
          <w:szCs w:val="32"/>
        </w:rPr>
        <w:t>技术评分最低标价法</w:t>
      </w:r>
      <w:bookmarkEnd w:id="2"/>
      <w:r>
        <w:rPr>
          <w:rFonts w:hint="eastAsia" w:ascii="黑体" w:hAnsi="黑体"/>
          <w:b/>
          <w:iCs w:val="0"/>
          <w:sz w:val="32"/>
          <w:szCs w:val="32"/>
        </w:rPr>
        <w:t>)</w:t>
      </w:r>
      <w:bookmarkEnd w:id="0"/>
      <w:bookmarkEnd w:id="1"/>
    </w:p>
    <w:p w14:paraId="391A4ED9">
      <w:pPr>
        <w:autoSpaceDE w:val="0"/>
        <w:autoSpaceDN w:val="0"/>
        <w:spacing w:before="1"/>
        <w:ind w:left="424"/>
        <w:jc w:val="left"/>
        <w:rPr>
          <w:rFonts w:hAnsi="宋体" w:cs="宋体"/>
          <w:b/>
          <w:sz w:val="14"/>
          <w:lang w:val="zh-CN" w:bidi="zh-CN"/>
        </w:rPr>
      </w:pPr>
      <w:r>
        <w:rPr>
          <w:rFonts w:hint="eastAsia" w:ascii="黑体" w:hAnsi="黑体" w:eastAsia="黑体" w:cs="宋体"/>
          <w:lang w:val="zh-CN" w:bidi="zh-CN"/>
        </w:rPr>
        <w:t xml:space="preserve">评标办法前附表 </w:t>
      </w:r>
    </w:p>
    <w:tbl>
      <w:tblPr>
        <w:tblStyle w:val="6"/>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7688"/>
      </w:tblGrid>
      <w:tr w14:paraId="1E98B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23" w:type="dxa"/>
            <w:gridSpan w:val="2"/>
            <w:noWrap w:val="0"/>
            <w:vAlign w:val="center"/>
          </w:tcPr>
          <w:p w14:paraId="289ADC86">
            <w:pPr>
              <w:autoSpaceDE w:val="0"/>
              <w:autoSpaceDN w:val="0"/>
              <w:jc w:val="center"/>
              <w:rPr>
                <w:rFonts w:hAnsi="宋体" w:cs="宋体"/>
                <w:b/>
                <w:szCs w:val="22"/>
                <w:lang w:val="zh-CN" w:bidi="zh-CN"/>
              </w:rPr>
            </w:pPr>
            <w:r>
              <w:rPr>
                <w:rFonts w:hAnsi="宋体" w:cs="宋体"/>
                <w:b/>
                <w:szCs w:val="22"/>
                <w:lang w:val="zh-CN" w:bidi="zh-CN"/>
              </w:rPr>
              <w:t>条款号</w:t>
            </w:r>
          </w:p>
        </w:tc>
        <w:tc>
          <w:tcPr>
            <w:tcW w:w="7688" w:type="dxa"/>
            <w:noWrap w:val="0"/>
            <w:vAlign w:val="center"/>
          </w:tcPr>
          <w:p w14:paraId="614CBFEA">
            <w:pPr>
              <w:autoSpaceDE w:val="0"/>
              <w:autoSpaceDN w:val="0"/>
              <w:jc w:val="center"/>
              <w:rPr>
                <w:rFonts w:hAnsi="宋体" w:cs="宋体"/>
                <w:b/>
                <w:szCs w:val="22"/>
                <w:lang w:val="zh-CN" w:bidi="zh-CN"/>
              </w:rPr>
            </w:pPr>
            <w:r>
              <w:rPr>
                <w:rFonts w:hAnsi="宋体" w:cs="宋体"/>
                <w:b/>
                <w:szCs w:val="22"/>
                <w:lang w:val="zh-CN" w:bidi="zh-CN"/>
              </w:rPr>
              <w:t>评审因素与评审标准</w:t>
            </w:r>
          </w:p>
        </w:tc>
      </w:tr>
      <w:tr w14:paraId="1505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jc w:val="center"/>
        </w:trPr>
        <w:tc>
          <w:tcPr>
            <w:tcW w:w="900" w:type="dxa"/>
            <w:noWrap w:val="0"/>
            <w:vAlign w:val="center"/>
          </w:tcPr>
          <w:p w14:paraId="4B18F241">
            <w:pPr>
              <w:autoSpaceDE w:val="0"/>
              <w:autoSpaceDN w:val="0"/>
              <w:spacing w:before="187"/>
              <w:ind w:left="7"/>
              <w:jc w:val="center"/>
              <w:rPr>
                <w:rFonts w:hAnsi="宋体" w:cs="宋体"/>
                <w:szCs w:val="21"/>
                <w:lang w:val="zh-CN" w:bidi="zh-CN"/>
              </w:rPr>
            </w:pPr>
            <w:r>
              <w:rPr>
                <w:rFonts w:hint="eastAsia" w:hAnsi="宋体" w:cs="宋体"/>
                <w:szCs w:val="21"/>
                <w:lang w:val="zh-CN" w:bidi="zh-CN"/>
              </w:rPr>
              <w:t>1</w:t>
            </w:r>
          </w:p>
        </w:tc>
        <w:tc>
          <w:tcPr>
            <w:tcW w:w="1123" w:type="dxa"/>
            <w:noWrap w:val="0"/>
            <w:vAlign w:val="center"/>
          </w:tcPr>
          <w:p w14:paraId="21B98E4F">
            <w:pPr>
              <w:autoSpaceDE w:val="0"/>
              <w:autoSpaceDN w:val="0"/>
              <w:rPr>
                <w:rFonts w:hAnsi="宋体" w:cs="宋体"/>
                <w:szCs w:val="21"/>
                <w:lang w:val="zh-CN" w:bidi="zh-CN"/>
              </w:rPr>
            </w:pPr>
            <w:r>
              <w:rPr>
                <w:rFonts w:hAnsi="宋体" w:cs="宋体"/>
                <w:szCs w:val="21"/>
                <w:lang w:val="zh-CN" w:bidi="zh-CN"/>
              </w:rPr>
              <w:t>评标方法</w:t>
            </w:r>
          </w:p>
        </w:tc>
        <w:tc>
          <w:tcPr>
            <w:tcW w:w="7688" w:type="dxa"/>
            <w:noWrap w:val="0"/>
            <w:vAlign w:val="top"/>
          </w:tcPr>
          <w:p w14:paraId="42270CB5">
            <w:pPr>
              <w:autoSpaceDE w:val="0"/>
              <w:autoSpaceDN w:val="0"/>
              <w:spacing w:before="89" w:line="280" w:lineRule="exact"/>
              <w:ind w:right="96"/>
              <w:jc w:val="left"/>
              <w:rPr>
                <w:rFonts w:hAnsi="宋体" w:cs="宋体"/>
                <w:szCs w:val="21"/>
                <w:lang w:val="zh-CN" w:bidi="zh-CN"/>
              </w:rPr>
            </w:pPr>
            <w:r>
              <w:rPr>
                <w:rFonts w:hint="eastAsia" w:hAnsi="宋体" w:cs="宋体"/>
                <w:szCs w:val="21"/>
                <w:lang w:bidi="zh-CN"/>
              </w:rPr>
              <w:t>评标价</w:t>
            </w:r>
            <w:r>
              <w:rPr>
                <w:rFonts w:hAnsi="宋体" w:cs="宋体"/>
                <w:szCs w:val="21"/>
                <w:lang w:val="zh-CN" w:bidi="zh-CN"/>
              </w:rPr>
              <w:t>相等时，评标委员会依次按照以下优先顺序推荐中标候选人或确定中标人：</w:t>
            </w:r>
          </w:p>
          <w:p w14:paraId="21244E3E">
            <w:pPr>
              <w:autoSpaceDE w:val="0"/>
              <w:autoSpaceDN w:val="0"/>
              <w:spacing w:before="89" w:line="280" w:lineRule="exact"/>
              <w:ind w:right="96"/>
              <w:jc w:val="left"/>
              <w:rPr>
                <w:rFonts w:hAnsi="宋体" w:cs="宋体"/>
                <w:spacing w:val="-3"/>
                <w:szCs w:val="21"/>
                <w:lang w:val="zh-CN" w:bidi="zh-CN"/>
              </w:rPr>
            </w:pPr>
            <w:r>
              <w:rPr>
                <w:rFonts w:hint="eastAsia" w:hAnsi="宋体" w:cs="宋体"/>
                <w:spacing w:val="-3"/>
                <w:szCs w:val="21"/>
                <w:lang w:val="zh-CN" w:bidi="zh-CN"/>
              </w:rPr>
              <w:t>（1）投标报价</w:t>
            </w:r>
            <w:r>
              <w:rPr>
                <w:rFonts w:hAnsi="宋体" w:cs="宋体"/>
                <w:spacing w:val="-3"/>
                <w:szCs w:val="21"/>
                <w:lang w:val="zh-CN" w:bidi="zh-CN"/>
              </w:rPr>
              <w:t>低的投标人优先；</w:t>
            </w:r>
          </w:p>
          <w:p w14:paraId="6CC88622">
            <w:pPr>
              <w:autoSpaceDE w:val="0"/>
              <w:autoSpaceDN w:val="0"/>
              <w:spacing w:before="89" w:line="280" w:lineRule="exact"/>
              <w:ind w:right="96"/>
              <w:jc w:val="left"/>
              <w:rPr>
                <w:rFonts w:hAnsi="宋体" w:cs="宋体"/>
                <w:spacing w:val="-3"/>
                <w:szCs w:val="21"/>
                <w:lang w:val="zh-CN" w:bidi="zh-CN"/>
              </w:rPr>
            </w:pPr>
            <w:r>
              <w:rPr>
                <w:rFonts w:hint="eastAsia" w:hAnsi="宋体" w:cs="宋体"/>
                <w:spacing w:val="-3"/>
                <w:szCs w:val="21"/>
                <w:lang w:val="zh-CN" w:bidi="zh-CN"/>
              </w:rPr>
              <w:t>（2）</w:t>
            </w:r>
            <w:r>
              <w:rPr>
                <w:rFonts w:hAnsi="宋体" w:cs="宋体"/>
                <w:spacing w:val="-3"/>
                <w:szCs w:val="21"/>
                <w:lang w:val="zh-CN" w:bidi="zh-CN"/>
              </w:rPr>
              <w:t>被招标项目所在地省级交通运输主管部门评为较高信用等级的投标人优先；</w:t>
            </w:r>
            <w:bookmarkStart w:id="3" w:name="_Toc85545364"/>
          </w:p>
          <w:p w14:paraId="4B4B7BDC">
            <w:pPr>
              <w:autoSpaceDE w:val="0"/>
              <w:autoSpaceDN w:val="0"/>
              <w:spacing w:before="89" w:line="280" w:lineRule="exact"/>
              <w:ind w:right="96"/>
              <w:jc w:val="left"/>
              <w:rPr>
                <w:szCs w:val="21"/>
                <w:lang w:val="zh-CN" w:bidi="zh-CN"/>
              </w:rPr>
            </w:pPr>
            <w:r>
              <w:rPr>
                <w:rFonts w:hint="eastAsia"/>
                <w:spacing w:val="-3"/>
                <w:szCs w:val="24"/>
                <w:lang w:val="zh-CN" w:bidi="zh-CN"/>
              </w:rPr>
              <w:t>（3）</w:t>
            </w:r>
            <w:r>
              <w:rPr>
                <w:rFonts w:hint="eastAsia" w:hAnsi="宋体" w:cs="宋体"/>
                <w:spacing w:val="-3"/>
                <w:szCs w:val="21"/>
                <w:lang w:val="zh-CN" w:bidi="zh-CN"/>
              </w:rPr>
              <w:t>商务和技术得分较高的投标人优先</w:t>
            </w:r>
            <w:bookmarkEnd w:id="3"/>
            <w:r>
              <w:rPr>
                <w:rFonts w:hint="eastAsia" w:hAnsi="宋体" w:cs="宋体"/>
                <w:spacing w:val="-3"/>
                <w:szCs w:val="21"/>
                <w:lang w:val="zh-CN" w:bidi="zh-CN"/>
              </w:rPr>
              <w:t>。</w:t>
            </w:r>
          </w:p>
        </w:tc>
      </w:tr>
      <w:tr w14:paraId="5C86C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2" w:hRule="atLeast"/>
          <w:jc w:val="center"/>
        </w:trPr>
        <w:tc>
          <w:tcPr>
            <w:tcW w:w="900" w:type="dxa"/>
            <w:noWrap w:val="0"/>
            <w:vAlign w:val="center"/>
          </w:tcPr>
          <w:p w14:paraId="21835EAD">
            <w:pPr>
              <w:spacing w:line="480" w:lineRule="exact"/>
              <w:jc w:val="center"/>
              <w:rPr>
                <w:rFonts w:hAnsi="宋体"/>
                <w:szCs w:val="21"/>
              </w:rPr>
            </w:pPr>
            <w:r>
              <w:rPr>
                <w:rFonts w:hAnsi="宋体"/>
                <w:szCs w:val="21"/>
              </w:rPr>
              <w:t>2.1.1</w:t>
            </w:r>
          </w:p>
          <w:p w14:paraId="1FACC9D8">
            <w:pPr>
              <w:autoSpaceDE w:val="0"/>
              <w:autoSpaceDN w:val="0"/>
              <w:spacing w:before="159"/>
              <w:jc w:val="center"/>
              <w:rPr>
                <w:rFonts w:hAnsi="宋体" w:cs="宋体"/>
                <w:szCs w:val="21"/>
                <w:lang w:val="zh-CN" w:bidi="zh-CN"/>
              </w:rPr>
            </w:pPr>
            <w:r>
              <w:rPr>
                <w:rFonts w:hAnsi="宋体"/>
                <w:szCs w:val="21"/>
              </w:rPr>
              <w:t>2.1.3</w:t>
            </w:r>
          </w:p>
        </w:tc>
        <w:tc>
          <w:tcPr>
            <w:tcW w:w="1123" w:type="dxa"/>
            <w:noWrap w:val="0"/>
            <w:vAlign w:val="center"/>
          </w:tcPr>
          <w:p w14:paraId="3627E783">
            <w:pPr>
              <w:autoSpaceDE w:val="0"/>
              <w:autoSpaceDN w:val="0"/>
              <w:spacing w:line="357" w:lineRule="auto"/>
              <w:ind w:left="141" w:right="127"/>
              <w:jc w:val="center"/>
              <w:rPr>
                <w:rFonts w:hAnsi="宋体" w:cs="宋体"/>
                <w:szCs w:val="21"/>
                <w:lang w:val="zh-CN" w:bidi="zh-CN"/>
              </w:rPr>
            </w:pPr>
            <w:r>
              <w:rPr>
                <w:rFonts w:hAnsi="宋体" w:cs="宋体"/>
                <w:szCs w:val="21"/>
                <w:lang w:val="zh-CN" w:bidi="zh-CN"/>
              </w:rPr>
              <w:t>形式评审与响应性评审标准</w:t>
            </w:r>
          </w:p>
        </w:tc>
        <w:tc>
          <w:tcPr>
            <w:tcW w:w="7688" w:type="dxa"/>
            <w:noWrap w:val="0"/>
            <w:vAlign w:val="top"/>
          </w:tcPr>
          <w:p w14:paraId="67D94F73">
            <w:pPr>
              <w:autoSpaceDE w:val="0"/>
              <w:autoSpaceDN w:val="0"/>
              <w:spacing w:line="276" w:lineRule="auto"/>
              <w:ind w:right="50"/>
              <w:jc w:val="left"/>
              <w:rPr>
                <w:b/>
                <w:bCs/>
                <w:lang w:val="zh-CN"/>
              </w:rPr>
            </w:pPr>
            <w:r>
              <w:rPr>
                <w:b/>
                <w:bCs/>
                <w:lang w:val="zh-CN"/>
              </w:rPr>
              <w:t>第一个信封（商务及技术文件）评审标准：</w:t>
            </w:r>
          </w:p>
          <w:p w14:paraId="600FA54A">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（1）投标文件按照招标文件规定的格式、内容填写：</w:t>
            </w:r>
          </w:p>
          <w:p w14:paraId="7878E5CF">
            <w:pPr>
              <w:spacing w:line="276" w:lineRule="auto"/>
              <w:ind w:right="50" w:firstLine="468" w:firstLineChars="200"/>
              <w:rPr>
                <w:lang w:val="zh-CN"/>
              </w:rPr>
            </w:pPr>
            <w:r>
              <w:rPr>
                <w:rFonts w:hint="eastAsia" w:hAnsi="宋体" w:cs="宋体"/>
                <w:spacing w:val="-3"/>
                <w:szCs w:val="21"/>
                <w:lang w:val="zh-CN" w:bidi="zh-CN"/>
              </w:rPr>
              <w:t>a.投标函按招标文件规定填报了项目名称、标段号、补遗书编号（如有）、工期、工程质量要</w:t>
            </w:r>
            <w:r>
              <w:rPr>
                <w:rFonts w:hint="eastAsia"/>
                <w:lang w:val="zh-CN"/>
              </w:rPr>
              <w:t>求及安全目标；</w:t>
            </w:r>
          </w:p>
          <w:p w14:paraId="27E399DA">
            <w:pPr>
              <w:spacing w:line="276" w:lineRule="auto"/>
              <w:ind w:right="50" w:firstLine="480" w:firstLineChars="200"/>
              <w:rPr>
                <w:lang w:val="zh-CN"/>
              </w:rPr>
            </w:pPr>
            <w:r>
              <w:rPr>
                <w:rFonts w:hint="eastAsia"/>
                <w:lang w:val="zh-CN"/>
              </w:rPr>
              <w:t>b.投标函附录的所有数据均符合招标文件规定；</w:t>
            </w:r>
          </w:p>
          <w:p w14:paraId="78772A52">
            <w:pPr>
              <w:spacing w:line="276" w:lineRule="auto"/>
              <w:ind w:right="50" w:firstLine="480" w:firstLineChars="200"/>
              <w:rPr>
                <w:lang w:val="zh-CN"/>
              </w:rPr>
            </w:pPr>
            <w:r>
              <w:rPr>
                <w:rFonts w:hint="eastAsia"/>
                <w:lang w:val="zh-CN"/>
              </w:rPr>
              <w:t>c.投标文件组成齐全完整，内容均按规定填写。</w:t>
            </w:r>
          </w:p>
          <w:p w14:paraId="57D3ED15">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（2）投标文件上法定代表人或其委托代理人的签字、投标人的单位章盖章齐全，符合招标文件规定。</w:t>
            </w:r>
          </w:p>
          <w:p w14:paraId="6C2A544A">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（3）投标人法定代表人授权委托代理人签署投标文件的，须提交授权委托书，且授权人和被授权人均在授权委托书上签名（或电子制版签名），未使用印章、签名章代替。</w:t>
            </w:r>
          </w:p>
          <w:p w14:paraId="2704EBE3">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（4）投标人法定代表人亲自签署投标文件的，提供了法定代表人身份证明，且法定代表人在法定代表人身份证明上签名（或电子制版签名），未使用印章、签名章代替。</w:t>
            </w:r>
          </w:p>
          <w:p w14:paraId="64157E99">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（5）投标人未以联合体形式投标。</w:t>
            </w:r>
          </w:p>
          <w:p w14:paraId="1D9C1C86">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（6）投标人无分包计划。</w:t>
            </w:r>
          </w:p>
          <w:p w14:paraId="6239E77F">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（7）同一投标人未提交两个以上不同的投标文件。</w:t>
            </w:r>
          </w:p>
          <w:p w14:paraId="72C91CF7">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（8）投标文件未出现有关投标报价的内容。</w:t>
            </w:r>
          </w:p>
          <w:p w14:paraId="39B02821">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（9）投标文件载明的招标项目完成期限未超过招标文件规定的时限。</w:t>
            </w:r>
          </w:p>
          <w:p w14:paraId="726F057A">
            <w:pPr>
              <w:autoSpaceDE w:val="0"/>
              <w:autoSpaceDN w:val="0"/>
              <w:spacing w:line="276" w:lineRule="auto"/>
              <w:ind w:right="96"/>
              <w:jc w:val="left"/>
              <w:rPr>
                <w:rFonts w:hAnsi="宋体" w:cs="宋体"/>
                <w:spacing w:val="-3"/>
                <w:szCs w:val="21"/>
                <w:lang w:val="zh-CN" w:bidi="zh-CN"/>
              </w:rPr>
            </w:pPr>
            <w:r>
              <w:rPr>
                <w:rFonts w:hint="eastAsia" w:hAnsi="宋体" w:cs="宋体"/>
                <w:spacing w:val="-3"/>
                <w:szCs w:val="21"/>
                <w:lang w:val="zh-CN" w:bidi="zh-CN"/>
              </w:rPr>
              <w:t>（10）投标文件对招标文件的实质性要求和条件做出响应。</w:t>
            </w:r>
          </w:p>
          <w:p w14:paraId="34983CC2">
            <w:pPr>
              <w:autoSpaceDE w:val="0"/>
              <w:autoSpaceDN w:val="0"/>
              <w:spacing w:line="276" w:lineRule="auto"/>
              <w:ind w:right="96"/>
              <w:jc w:val="left"/>
              <w:rPr>
                <w:lang w:val="zh-CN"/>
              </w:rPr>
            </w:pPr>
            <w:r>
              <w:rPr>
                <w:rFonts w:hint="eastAsia" w:hAnsi="宋体" w:cs="宋体"/>
                <w:spacing w:val="-3"/>
                <w:szCs w:val="21"/>
                <w:lang w:val="zh-CN" w:bidi="zh-CN"/>
              </w:rPr>
              <w:t>（11）权利义务符合招标文件规</w:t>
            </w:r>
            <w:r>
              <w:rPr>
                <w:rFonts w:hint="eastAsia"/>
                <w:lang w:val="zh-CN"/>
              </w:rPr>
              <w:t>定：</w:t>
            </w:r>
          </w:p>
          <w:p w14:paraId="2CA3199F">
            <w:pPr>
              <w:spacing w:line="276" w:lineRule="auto"/>
              <w:ind w:right="50" w:firstLine="480" w:firstLineChars="200"/>
              <w:rPr>
                <w:lang w:val="zh-CN"/>
              </w:rPr>
            </w:pPr>
            <w:r>
              <w:rPr>
                <w:rFonts w:hint="eastAsia"/>
                <w:lang w:val="zh-CN"/>
              </w:rPr>
              <w:t>a.投标人应接受招标文件规定的风险划分原则，未提出新的风险划分办法；</w:t>
            </w:r>
          </w:p>
          <w:p w14:paraId="506B59A7">
            <w:pPr>
              <w:spacing w:line="276" w:lineRule="auto"/>
              <w:ind w:right="50" w:firstLine="480" w:firstLineChars="200"/>
              <w:rPr>
                <w:lang w:val="zh-CN"/>
              </w:rPr>
            </w:pPr>
            <w:r>
              <w:rPr>
                <w:rFonts w:hint="eastAsia"/>
                <w:lang w:val="zh-CN"/>
              </w:rPr>
              <w:t>b.投标人未增加发包人的责任范围，或减少投标人义务；</w:t>
            </w:r>
          </w:p>
          <w:p w14:paraId="6B2C0D30">
            <w:pPr>
              <w:spacing w:line="276" w:lineRule="auto"/>
              <w:ind w:right="50" w:firstLine="480" w:firstLineChars="200"/>
              <w:rPr>
                <w:lang w:val="zh-CN"/>
              </w:rPr>
            </w:pPr>
            <w:r>
              <w:rPr>
                <w:rFonts w:hint="eastAsia"/>
                <w:lang w:val="zh-CN"/>
              </w:rPr>
              <w:t>c.投标人未提出不同的工程验收、计量、支付办法；</w:t>
            </w:r>
          </w:p>
          <w:p w14:paraId="56FB329A">
            <w:pPr>
              <w:spacing w:line="276" w:lineRule="auto"/>
              <w:ind w:right="50" w:firstLine="480" w:firstLineChars="200"/>
              <w:rPr>
                <w:lang w:val="zh-CN"/>
              </w:rPr>
            </w:pPr>
            <w:r>
              <w:rPr>
                <w:rFonts w:hint="eastAsia"/>
                <w:lang w:val="zh-CN"/>
              </w:rPr>
              <w:t>d.投标人对合同纠纷、事故处理办法未提出异议；</w:t>
            </w:r>
          </w:p>
          <w:p w14:paraId="5A24C3B0">
            <w:pPr>
              <w:spacing w:line="276" w:lineRule="auto"/>
              <w:ind w:right="50" w:firstLine="480" w:firstLineChars="200"/>
              <w:rPr>
                <w:lang w:val="zh-CN"/>
              </w:rPr>
            </w:pPr>
            <w:r>
              <w:rPr>
                <w:rFonts w:hint="eastAsia"/>
                <w:lang w:val="zh-CN"/>
              </w:rPr>
              <w:t>e.投标人在投标活动中无欺诈行为；</w:t>
            </w:r>
          </w:p>
          <w:p w14:paraId="5553FD99">
            <w:pPr>
              <w:spacing w:line="276" w:lineRule="auto"/>
              <w:ind w:right="50" w:firstLine="480" w:firstLineChars="200"/>
              <w:rPr>
                <w:lang w:val="zh-CN"/>
              </w:rPr>
            </w:pPr>
            <w:r>
              <w:rPr>
                <w:rFonts w:hint="eastAsia"/>
                <w:lang w:val="zh-CN"/>
              </w:rPr>
              <w:t>f.投标人未对合同条款有重要保留。</w:t>
            </w:r>
          </w:p>
        </w:tc>
      </w:tr>
    </w:tbl>
    <w:p w14:paraId="5F630AE3">
      <w:pPr>
        <w:autoSpaceDE w:val="0"/>
        <w:autoSpaceDN w:val="0"/>
        <w:spacing w:before="12"/>
        <w:jc w:val="left"/>
        <w:rPr>
          <w:rFonts w:hAnsi="宋体" w:cs="宋体"/>
          <w:sz w:val="20"/>
          <w:lang w:val="zh-CN" w:bidi="zh-CN"/>
        </w:rPr>
      </w:pPr>
      <w:r>
        <w:rPr>
          <w:rFonts w:hAnsi="宋体" w:cs="宋体"/>
          <w:b/>
          <w:lang w:val="zh-CN" w:bidi="zh-CN"/>
        </w:rPr>
        <w:t xml:space="preserve"> </w:t>
      </w:r>
    </w:p>
    <w:p w14:paraId="44C1793D">
      <w:pPr>
        <w:autoSpaceDE w:val="0"/>
        <w:autoSpaceDN w:val="0"/>
        <w:spacing w:before="72"/>
        <w:ind w:right="526"/>
        <w:jc w:val="right"/>
        <w:rPr>
          <w:rFonts w:hAnsi="宋体" w:cs="宋体"/>
          <w:b/>
          <w:szCs w:val="22"/>
          <w:lang w:val="zh-CN" w:bidi="zh-CN"/>
        </w:rPr>
      </w:pPr>
      <w:r>
        <w:rPr>
          <w:rFonts w:hAnsi="宋体" w:cs="宋体"/>
          <w:b/>
          <w:szCs w:val="22"/>
          <w:lang w:val="zh-CN" w:bidi="zh-CN"/>
        </w:rPr>
        <w:t>续上表</w:t>
      </w:r>
    </w:p>
    <w:tbl>
      <w:tblPr>
        <w:tblStyle w:val="6"/>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30"/>
        <w:gridCol w:w="7039"/>
      </w:tblGrid>
      <w:tr w14:paraId="1FB8A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2030" w:type="dxa"/>
            <w:gridSpan w:val="2"/>
            <w:noWrap w:val="0"/>
            <w:vAlign w:val="center"/>
          </w:tcPr>
          <w:p w14:paraId="169702FE">
            <w:pPr>
              <w:autoSpaceDE w:val="0"/>
              <w:autoSpaceDN w:val="0"/>
              <w:spacing w:before="109" w:line="252" w:lineRule="exact"/>
              <w:ind w:right="669"/>
              <w:jc w:val="center"/>
              <w:rPr>
                <w:rFonts w:hAnsi="宋体" w:cs="宋体"/>
                <w:b/>
                <w:szCs w:val="22"/>
                <w:lang w:val="zh-CN" w:bidi="zh-CN"/>
              </w:rPr>
            </w:pPr>
            <w:r>
              <w:rPr>
                <w:rFonts w:hAnsi="宋体" w:cs="宋体"/>
                <w:b/>
                <w:szCs w:val="22"/>
                <w:lang w:val="zh-CN" w:bidi="zh-CN"/>
              </w:rPr>
              <w:t>条款号</w:t>
            </w:r>
          </w:p>
        </w:tc>
        <w:tc>
          <w:tcPr>
            <w:tcW w:w="7039" w:type="dxa"/>
            <w:noWrap w:val="0"/>
            <w:vAlign w:val="center"/>
          </w:tcPr>
          <w:p w14:paraId="4F9D65C1">
            <w:pPr>
              <w:autoSpaceDE w:val="0"/>
              <w:autoSpaceDN w:val="0"/>
              <w:spacing w:before="109" w:line="252" w:lineRule="exact"/>
              <w:ind w:left="2331" w:right="2332"/>
              <w:jc w:val="center"/>
              <w:rPr>
                <w:rFonts w:hAnsi="宋体" w:cs="宋体"/>
                <w:b/>
                <w:szCs w:val="22"/>
                <w:lang w:val="zh-CN" w:bidi="zh-CN"/>
              </w:rPr>
            </w:pPr>
            <w:r>
              <w:rPr>
                <w:rFonts w:hAnsi="宋体" w:cs="宋体"/>
                <w:b/>
                <w:szCs w:val="22"/>
                <w:lang w:val="zh-CN" w:bidi="zh-CN"/>
              </w:rPr>
              <w:t>评审因素与评审标准</w:t>
            </w:r>
          </w:p>
        </w:tc>
      </w:tr>
      <w:tr w14:paraId="1FF9E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0" w:hRule="atLeast"/>
          <w:jc w:val="center"/>
        </w:trPr>
        <w:tc>
          <w:tcPr>
            <w:tcW w:w="900" w:type="dxa"/>
            <w:noWrap w:val="0"/>
            <w:vAlign w:val="center"/>
          </w:tcPr>
          <w:p w14:paraId="7720DF38">
            <w:pPr>
              <w:spacing w:line="276" w:lineRule="auto"/>
              <w:jc w:val="center"/>
              <w:rPr>
                <w:rFonts w:hAnsi="宋体"/>
                <w:szCs w:val="21"/>
              </w:rPr>
            </w:pPr>
            <w:r>
              <w:rPr>
                <w:rFonts w:hAnsi="宋体"/>
                <w:szCs w:val="21"/>
              </w:rPr>
              <w:t>2.1.1</w:t>
            </w:r>
          </w:p>
          <w:p w14:paraId="2B7C3B52">
            <w:pPr>
              <w:autoSpaceDE w:val="0"/>
              <w:autoSpaceDN w:val="0"/>
              <w:spacing w:line="276" w:lineRule="auto"/>
              <w:jc w:val="center"/>
              <w:rPr>
                <w:rFonts w:hAnsi="宋体" w:cs="宋体"/>
                <w:szCs w:val="21"/>
                <w:lang w:val="zh-CN" w:bidi="zh-CN"/>
              </w:rPr>
            </w:pPr>
            <w:r>
              <w:rPr>
                <w:rFonts w:hAnsi="宋体"/>
                <w:szCs w:val="21"/>
              </w:rPr>
              <w:t>2.1.3</w:t>
            </w:r>
          </w:p>
        </w:tc>
        <w:tc>
          <w:tcPr>
            <w:tcW w:w="1130" w:type="dxa"/>
            <w:noWrap w:val="0"/>
            <w:vAlign w:val="center"/>
          </w:tcPr>
          <w:p w14:paraId="5F73889E">
            <w:pPr>
              <w:autoSpaceDE w:val="0"/>
              <w:autoSpaceDN w:val="0"/>
              <w:spacing w:line="276" w:lineRule="auto"/>
              <w:jc w:val="center"/>
              <w:rPr>
                <w:rFonts w:hAnsi="宋体" w:cs="宋体"/>
                <w:szCs w:val="21"/>
                <w:lang w:val="zh-CN" w:bidi="zh-CN"/>
              </w:rPr>
            </w:pPr>
            <w:r>
              <w:rPr>
                <w:rFonts w:hAnsi="宋体" w:cs="宋体"/>
                <w:szCs w:val="21"/>
                <w:lang w:val="zh-CN" w:bidi="zh-CN"/>
              </w:rPr>
              <w:t>形式评审与响应性评审标准</w:t>
            </w:r>
          </w:p>
        </w:tc>
        <w:tc>
          <w:tcPr>
            <w:tcW w:w="7039" w:type="dxa"/>
            <w:noWrap w:val="0"/>
            <w:vAlign w:val="top"/>
          </w:tcPr>
          <w:p w14:paraId="3184A40B">
            <w:pPr>
              <w:autoSpaceDE w:val="0"/>
              <w:autoSpaceDN w:val="0"/>
              <w:spacing w:line="276" w:lineRule="auto"/>
              <w:jc w:val="left"/>
              <w:rPr>
                <w:b/>
                <w:bCs/>
                <w:lang w:val="zh-CN"/>
              </w:rPr>
            </w:pPr>
            <w:r>
              <w:rPr>
                <w:b/>
                <w:bCs/>
                <w:lang w:val="zh-CN"/>
              </w:rPr>
              <w:t>第二个信封（报价文件）评审标准：</w:t>
            </w:r>
          </w:p>
          <w:p w14:paraId="7CF8986A">
            <w:pPr>
              <w:autoSpaceDE w:val="0"/>
              <w:autoSpaceDN w:val="0"/>
              <w:spacing w:line="276" w:lineRule="auto"/>
              <w:ind w:right="50"/>
              <w:jc w:val="left"/>
              <w:rPr>
                <w:lang w:val="zh-CN"/>
              </w:rPr>
            </w:pPr>
            <w:r>
              <w:rPr>
                <w:lang w:val="zh-CN"/>
              </w:rPr>
              <w:t>（1）投标文件按照招标文件规定的格式、内容填写：</w:t>
            </w:r>
          </w:p>
          <w:p w14:paraId="39849995">
            <w:pPr>
              <w:tabs>
                <w:tab w:val="left" w:pos="677"/>
              </w:tabs>
              <w:autoSpaceDE w:val="0"/>
              <w:autoSpaceDN w:val="0"/>
              <w:spacing w:line="276" w:lineRule="auto"/>
              <w:ind w:left="-40" w:right="93" w:firstLine="480" w:firstLineChars="200"/>
              <w:jc w:val="left"/>
              <w:rPr>
                <w:lang w:val="zh-CN"/>
              </w:rPr>
            </w:pPr>
            <w:r>
              <w:rPr>
                <w:rFonts w:hint="eastAsia"/>
                <w:lang w:val="zh-CN"/>
              </w:rPr>
              <w:t>a.</w:t>
            </w:r>
            <w:r>
              <w:rPr>
                <w:lang w:val="zh-CN"/>
              </w:rPr>
              <w:t>投标函按招标文件规定填报了项目名称、标段号、补遗书编号（如有）</w:t>
            </w:r>
            <w:r>
              <w:rPr>
                <w:rFonts w:hint="eastAsia"/>
                <w:lang w:val="zh-CN"/>
              </w:rPr>
              <w:t>）、</w:t>
            </w:r>
            <w:r>
              <w:rPr>
                <w:lang w:val="zh-CN"/>
              </w:rPr>
              <w:t>投标价（包括大写金额和小写金额）</w:t>
            </w:r>
            <w:r>
              <w:rPr>
                <w:rFonts w:hint="eastAsia"/>
                <w:lang w:val="zh-CN"/>
              </w:rPr>
              <w:t>）</w:t>
            </w:r>
          </w:p>
          <w:p w14:paraId="322ACF4E">
            <w:pPr>
              <w:tabs>
                <w:tab w:val="left" w:pos="689"/>
              </w:tabs>
              <w:autoSpaceDE w:val="0"/>
              <w:autoSpaceDN w:val="0"/>
              <w:spacing w:line="276" w:lineRule="auto"/>
              <w:ind w:left="-40" w:right="93" w:firstLine="480" w:firstLineChars="200"/>
              <w:jc w:val="left"/>
              <w:rPr>
                <w:lang w:val="zh-CN"/>
              </w:rPr>
            </w:pPr>
            <w:r>
              <w:rPr>
                <w:rFonts w:hint="eastAsia"/>
                <w:lang w:val="zh-CN"/>
              </w:rPr>
              <w:t>b.</w:t>
            </w:r>
            <w:r>
              <w:rPr>
                <w:lang w:val="zh-CN"/>
              </w:rPr>
              <w:t>已标价工程量清单说明文字与招标文件规定一致，未进行实质性修改和删减；</w:t>
            </w:r>
          </w:p>
          <w:p w14:paraId="28A6D92D">
            <w:pPr>
              <w:tabs>
                <w:tab w:val="left" w:pos="677"/>
              </w:tabs>
              <w:autoSpaceDE w:val="0"/>
              <w:autoSpaceDN w:val="0"/>
              <w:spacing w:line="276" w:lineRule="auto"/>
              <w:ind w:left="-40" w:right="93" w:firstLine="480" w:firstLineChars="200"/>
              <w:jc w:val="left"/>
              <w:rPr>
                <w:lang w:val="zh-CN"/>
              </w:rPr>
            </w:pPr>
            <w:r>
              <w:rPr>
                <w:rFonts w:hint="eastAsia"/>
                <w:lang w:val="zh-CN"/>
              </w:rPr>
              <w:t>c.</w:t>
            </w:r>
            <w:r>
              <w:rPr>
                <w:lang w:val="zh-CN"/>
              </w:rPr>
              <w:t>投标文件组成齐全完整，内容均按规定填写。</w:t>
            </w:r>
          </w:p>
          <w:p w14:paraId="5BA6AFB7">
            <w:pPr>
              <w:tabs>
                <w:tab w:val="left" w:pos="1056"/>
              </w:tabs>
              <w:autoSpaceDE w:val="0"/>
              <w:autoSpaceDN w:val="0"/>
              <w:spacing w:line="276" w:lineRule="auto"/>
              <w:ind w:right="91"/>
              <w:jc w:val="left"/>
              <w:rPr>
                <w:lang w:val="zh-CN"/>
              </w:rPr>
            </w:pPr>
            <w:r>
              <w:rPr>
                <w:lang w:val="zh-CN"/>
              </w:rPr>
              <w:t>（</w:t>
            </w:r>
            <w:r>
              <w:rPr>
                <w:rFonts w:hint="eastAsia"/>
                <w:lang w:val="zh-CN"/>
              </w:rPr>
              <w:t>2</w:t>
            </w:r>
            <w:r>
              <w:rPr>
                <w:lang w:val="zh-CN"/>
              </w:rPr>
              <w:t>）投标文件上法定代表人或其委托代理人的签字、投标人的单位章盖章齐全，符合招标文件规定。</w:t>
            </w:r>
          </w:p>
          <w:p w14:paraId="2E24B826">
            <w:pPr>
              <w:tabs>
                <w:tab w:val="left" w:pos="1058"/>
              </w:tabs>
              <w:autoSpaceDE w:val="0"/>
              <w:autoSpaceDN w:val="0"/>
              <w:spacing w:line="276" w:lineRule="auto"/>
              <w:ind w:right="90"/>
              <w:jc w:val="left"/>
              <w:rPr>
                <w:lang w:val="zh-CN"/>
              </w:rPr>
            </w:pPr>
            <w:r>
              <w:rPr>
                <w:lang w:val="zh-CN"/>
              </w:rPr>
              <w:t>（</w:t>
            </w:r>
            <w:r>
              <w:rPr>
                <w:rFonts w:hint="eastAsia"/>
                <w:lang w:val="zh-CN"/>
              </w:rPr>
              <w:t>3</w:t>
            </w:r>
            <w:r>
              <w:rPr>
                <w:lang w:val="zh-CN"/>
              </w:rPr>
              <w:t>）投标报价中的报价未超过招标文件设定的最高投标限价</w:t>
            </w:r>
            <w:r>
              <w:rPr>
                <w:rFonts w:hint="eastAsia"/>
                <w:lang w:val="zh-CN"/>
              </w:rPr>
              <w:t>（如有）。</w:t>
            </w:r>
          </w:p>
          <w:p w14:paraId="692493B7">
            <w:pPr>
              <w:tabs>
                <w:tab w:val="left" w:pos="1058"/>
              </w:tabs>
              <w:autoSpaceDE w:val="0"/>
              <w:autoSpaceDN w:val="0"/>
              <w:spacing w:line="276" w:lineRule="auto"/>
              <w:jc w:val="left"/>
              <w:rPr>
                <w:lang w:val="zh-CN"/>
              </w:rPr>
            </w:pPr>
            <w:r>
              <w:rPr>
                <w:lang w:val="zh-CN"/>
              </w:rPr>
              <w:t>（</w:t>
            </w:r>
            <w:r>
              <w:rPr>
                <w:rFonts w:hint="eastAsia"/>
                <w:lang w:val="zh-CN"/>
              </w:rPr>
              <w:t>4</w:t>
            </w:r>
            <w:r>
              <w:rPr>
                <w:lang w:val="zh-CN"/>
              </w:rPr>
              <w:t>）投标报价中报价的大写金额能够确定具体数值。</w:t>
            </w:r>
          </w:p>
          <w:p w14:paraId="06CC17C3">
            <w:pPr>
              <w:tabs>
                <w:tab w:val="left" w:pos="1056"/>
              </w:tabs>
              <w:autoSpaceDE w:val="0"/>
              <w:autoSpaceDN w:val="0"/>
              <w:spacing w:line="276" w:lineRule="auto"/>
              <w:ind w:right="93"/>
              <w:jc w:val="left"/>
              <w:rPr>
                <w:lang w:val="zh-CN"/>
              </w:rPr>
            </w:pPr>
            <w:r>
              <w:rPr>
                <w:lang w:val="zh-CN"/>
              </w:rPr>
              <w:t>（</w:t>
            </w:r>
            <w:r>
              <w:rPr>
                <w:rFonts w:hint="eastAsia"/>
                <w:lang w:val="zh-CN"/>
              </w:rPr>
              <w:t>5</w:t>
            </w:r>
            <w:r>
              <w:rPr>
                <w:lang w:val="zh-CN"/>
              </w:rPr>
              <w:t>）同一投标人未提交两个以上不同的投标报价</w:t>
            </w:r>
            <w:r>
              <w:rPr>
                <w:rFonts w:hint="eastAsia"/>
                <w:lang w:val="zh-CN"/>
              </w:rPr>
              <w:t>，但招标文件要求提交备选投标的除外。</w:t>
            </w:r>
          </w:p>
          <w:p w14:paraId="562A9BC3">
            <w:pPr>
              <w:tabs>
                <w:tab w:val="left" w:pos="1058"/>
              </w:tabs>
              <w:autoSpaceDE w:val="0"/>
              <w:autoSpaceDN w:val="0"/>
              <w:spacing w:line="276" w:lineRule="auto"/>
              <w:ind w:right="91"/>
              <w:jc w:val="left"/>
              <w:rPr>
                <w:lang w:val="zh-CN"/>
              </w:rPr>
            </w:pPr>
            <w:r>
              <w:rPr>
                <w:lang w:val="zh-CN"/>
              </w:rPr>
              <w:t>（</w:t>
            </w:r>
            <w:r>
              <w:rPr>
                <w:rFonts w:hint="eastAsia"/>
                <w:lang w:val="zh-CN"/>
              </w:rPr>
              <w:t>6</w:t>
            </w:r>
            <w:r>
              <w:rPr>
                <w:lang w:val="zh-CN"/>
              </w:rPr>
              <w:t>）投标人</w:t>
            </w:r>
            <w:r>
              <w:rPr>
                <w:rFonts w:hint="eastAsia"/>
              </w:rPr>
              <w:t>未</w:t>
            </w:r>
            <w:r>
              <w:rPr>
                <w:lang w:val="zh-CN"/>
              </w:rPr>
              <w:t>提交调价函</w:t>
            </w:r>
            <w:r>
              <w:rPr>
                <w:rFonts w:hint="eastAsia"/>
                <w:lang w:val="zh-CN"/>
              </w:rPr>
              <w:t>。</w:t>
            </w:r>
          </w:p>
          <w:p w14:paraId="303A4CB5">
            <w:pPr>
              <w:tabs>
                <w:tab w:val="left" w:pos="1056"/>
              </w:tabs>
              <w:autoSpaceDE w:val="0"/>
              <w:autoSpaceDN w:val="0"/>
              <w:spacing w:line="276" w:lineRule="auto"/>
              <w:ind w:right="93"/>
              <w:jc w:val="left"/>
              <w:rPr>
                <w:lang w:val="zh-CN"/>
              </w:rPr>
            </w:pPr>
            <w:r>
              <w:rPr>
                <w:lang w:val="zh-CN"/>
              </w:rPr>
              <w:t>（</w:t>
            </w:r>
            <w:r>
              <w:rPr>
                <w:rFonts w:hint="eastAsia"/>
                <w:lang w:val="zh-CN"/>
              </w:rPr>
              <w:t>7</w:t>
            </w:r>
            <w:r>
              <w:rPr>
                <w:lang w:val="zh-CN"/>
              </w:rPr>
              <w:t>）投标人若填写工程量固化清单，填写完毕的工程量固化清单未对工程量固化清单电子文件中的数据、格式和运算定义进行修改； 工程量固化清单中的投标报价和投标函大写金额报价一致。</w:t>
            </w:r>
          </w:p>
          <w:p w14:paraId="078B18AF">
            <w:pPr>
              <w:tabs>
                <w:tab w:val="left" w:pos="1056"/>
              </w:tabs>
              <w:autoSpaceDE w:val="0"/>
              <w:autoSpaceDN w:val="0"/>
              <w:spacing w:line="276" w:lineRule="auto"/>
              <w:ind w:right="93"/>
              <w:jc w:val="left"/>
              <w:rPr>
                <w:rFonts w:hint="eastAsia"/>
                <w:lang w:val="zh-CN"/>
              </w:rPr>
            </w:pPr>
            <w:r>
              <w:rPr>
                <w:rFonts w:hint="eastAsia"/>
                <w:lang w:val="zh-CN"/>
              </w:rPr>
              <w:t>（8）投标价算术性修正偏差未超过1％。</w:t>
            </w:r>
          </w:p>
          <w:p w14:paraId="27979E17">
            <w:pPr>
              <w:pStyle w:val="8"/>
              <w:spacing w:line="276" w:lineRule="auto"/>
              <w:ind w:left="0" w:firstLine="0" w:firstLineChars="0"/>
            </w:pPr>
            <w:r>
              <w:rPr>
                <w:rFonts w:hint="eastAsia" w:hAnsi="宋体"/>
                <w:b/>
                <w:bCs/>
                <w:szCs w:val="21"/>
                <w:lang w:bidi="zh-CN"/>
              </w:rPr>
              <w:t>备注：本项目采用电子投标文件，本招标文件要求的签章均可使用电子签章。</w:t>
            </w:r>
          </w:p>
        </w:tc>
      </w:tr>
      <w:tr w14:paraId="262F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900" w:type="dxa"/>
            <w:noWrap w:val="0"/>
            <w:vAlign w:val="center"/>
          </w:tcPr>
          <w:p w14:paraId="616CB417">
            <w:pPr>
              <w:autoSpaceDE w:val="0"/>
              <w:autoSpaceDN w:val="0"/>
              <w:spacing w:line="276" w:lineRule="auto"/>
              <w:jc w:val="center"/>
              <w:rPr>
                <w:rFonts w:hAnsi="宋体" w:cs="宋体"/>
                <w:szCs w:val="21"/>
                <w:lang w:val="zh-CN" w:bidi="zh-CN"/>
              </w:rPr>
            </w:pPr>
            <w:r>
              <w:rPr>
                <w:rFonts w:hAnsi="宋体"/>
                <w:szCs w:val="21"/>
              </w:rPr>
              <w:t>2.1.</w:t>
            </w:r>
            <w:r>
              <w:rPr>
                <w:rFonts w:hint="eastAsia" w:hAnsi="宋体"/>
                <w:szCs w:val="21"/>
              </w:rPr>
              <w:t>2</w:t>
            </w:r>
          </w:p>
        </w:tc>
        <w:tc>
          <w:tcPr>
            <w:tcW w:w="1130" w:type="dxa"/>
            <w:noWrap w:val="0"/>
            <w:vAlign w:val="center"/>
          </w:tcPr>
          <w:p w14:paraId="0E125382">
            <w:pPr>
              <w:autoSpaceDE w:val="0"/>
              <w:autoSpaceDN w:val="0"/>
              <w:spacing w:line="276" w:lineRule="auto"/>
              <w:jc w:val="center"/>
              <w:rPr>
                <w:rFonts w:hAnsi="宋体" w:cs="宋体"/>
                <w:szCs w:val="21"/>
                <w:lang w:val="zh-CN" w:bidi="zh-CN"/>
              </w:rPr>
            </w:pPr>
            <w:r>
              <w:rPr>
                <w:rFonts w:hAnsi="宋体" w:cs="宋体"/>
                <w:szCs w:val="21"/>
                <w:lang w:val="zh-CN" w:bidi="zh-CN"/>
              </w:rPr>
              <w:t>资格评审标准</w:t>
            </w:r>
          </w:p>
        </w:tc>
        <w:tc>
          <w:tcPr>
            <w:tcW w:w="7039" w:type="dxa"/>
            <w:noWrap w:val="0"/>
            <w:vAlign w:val="top"/>
          </w:tcPr>
          <w:p w14:paraId="40E7FEB1">
            <w:pPr>
              <w:tabs>
                <w:tab w:val="left" w:pos="1058"/>
              </w:tabs>
              <w:autoSpaceDE w:val="0"/>
              <w:autoSpaceDN w:val="0"/>
              <w:spacing w:line="276" w:lineRule="auto"/>
              <w:ind w:right="81"/>
              <w:jc w:val="left"/>
              <w:rPr>
                <w:lang w:val="zh-CN"/>
              </w:rPr>
            </w:pPr>
            <w:r>
              <w:rPr>
                <w:rFonts w:hint="eastAsia"/>
                <w:lang w:val="zh-CN"/>
              </w:rPr>
              <w:t>（1）</w:t>
            </w:r>
            <w:r>
              <w:rPr>
                <w:lang w:val="zh-CN"/>
              </w:rPr>
              <w:t>投标人具备有效的营业执照、资质证书、安全生产许可证。</w:t>
            </w:r>
          </w:p>
          <w:p w14:paraId="666AD187">
            <w:pPr>
              <w:pStyle w:val="9"/>
              <w:tabs>
                <w:tab w:val="left" w:pos="1058"/>
              </w:tabs>
              <w:autoSpaceDE w:val="0"/>
              <w:autoSpaceDN w:val="0"/>
              <w:spacing w:line="276" w:lineRule="auto"/>
              <w:ind w:firstLine="0" w:firstLineChars="0"/>
              <w:jc w:val="left"/>
              <w:rPr>
                <w:lang w:val="zh-CN"/>
              </w:rPr>
            </w:pPr>
            <w:r>
              <w:rPr>
                <w:rFonts w:hint="eastAsia"/>
                <w:lang w:val="zh-CN"/>
              </w:rPr>
              <w:t>（2）</w:t>
            </w:r>
            <w:r>
              <w:rPr>
                <w:lang w:val="zh-CN"/>
              </w:rPr>
              <w:t>投标人的资质等级符合招标文件规定。</w:t>
            </w:r>
          </w:p>
          <w:p w14:paraId="6CF2BF0A">
            <w:pPr>
              <w:tabs>
                <w:tab w:val="left" w:pos="1058"/>
              </w:tabs>
              <w:autoSpaceDE w:val="0"/>
              <w:autoSpaceDN w:val="0"/>
              <w:spacing w:line="276" w:lineRule="auto"/>
              <w:jc w:val="left"/>
              <w:rPr>
                <w:lang w:val="zh-CN"/>
              </w:rPr>
            </w:pPr>
            <w:r>
              <w:rPr>
                <w:rFonts w:hint="eastAsia"/>
                <w:lang w:val="zh-CN"/>
              </w:rPr>
              <w:t>（3）</w:t>
            </w:r>
            <w:r>
              <w:rPr>
                <w:lang w:val="zh-CN"/>
              </w:rPr>
              <w:t>投标人的财务状况符合招标文件规定。</w:t>
            </w:r>
          </w:p>
          <w:p w14:paraId="5DD23A84">
            <w:pPr>
              <w:tabs>
                <w:tab w:val="left" w:pos="1058"/>
              </w:tabs>
              <w:autoSpaceDE w:val="0"/>
              <w:autoSpaceDN w:val="0"/>
              <w:spacing w:line="276" w:lineRule="auto"/>
              <w:jc w:val="left"/>
              <w:rPr>
                <w:lang w:val="zh-CN"/>
              </w:rPr>
            </w:pPr>
            <w:r>
              <w:rPr>
                <w:rFonts w:hint="eastAsia"/>
                <w:lang w:val="zh-CN"/>
              </w:rPr>
              <w:t>（4）</w:t>
            </w:r>
            <w:r>
              <w:rPr>
                <w:lang w:val="zh-CN"/>
              </w:rPr>
              <w:t>投标人的类似项目业绩符合招标文件规定。</w:t>
            </w:r>
          </w:p>
          <w:p w14:paraId="321FA6A1">
            <w:pPr>
              <w:tabs>
                <w:tab w:val="left" w:pos="1058"/>
              </w:tabs>
              <w:autoSpaceDE w:val="0"/>
              <w:autoSpaceDN w:val="0"/>
              <w:spacing w:line="276" w:lineRule="auto"/>
              <w:jc w:val="left"/>
              <w:rPr>
                <w:lang w:val="zh-CN"/>
              </w:rPr>
            </w:pPr>
            <w:r>
              <w:rPr>
                <w:rFonts w:hint="eastAsia"/>
                <w:lang w:val="zh-CN"/>
              </w:rPr>
              <w:t>（5）</w:t>
            </w:r>
            <w:r>
              <w:rPr>
                <w:lang w:val="zh-CN"/>
              </w:rPr>
              <w:t>投标人的信誉符合招标文件规定。</w:t>
            </w:r>
          </w:p>
          <w:p w14:paraId="160A7107">
            <w:pPr>
              <w:tabs>
                <w:tab w:val="left" w:pos="1058"/>
              </w:tabs>
              <w:autoSpaceDE w:val="0"/>
              <w:autoSpaceDN w:val="0"/>
              <w:spacing w:line="276" w:lineRule="auto"/>
              <w:jc w:val="left"/>
              <w:rPr>
                <w:lang w:val="zh-CN"/>
              </w:rPr>
            </w:pPr>
            <w:r>
              <w:rPr>
                <w:rFonts w:hint="eastAsia"/>
                <w:lang w:val="zh-CN"/>
              </w:rPr>
              <w:t>（6）</w:t>
            </w:r>
            <w:r>
              <w:rPr>
                <w:lang w:val="zh-CN"/>
              </w:rPr>
              <w:t>投标人的项目经理</w:t>
            </w:r>
            <w:r>
              <w:rPr>
                <w:rFonts w:hint="eastAsia"/>
                <w:lang w:val="zh-CN"/>
              </w:rPr>
              <w:t>、</w:t>
            </w:r>
            <w:r>
              <w:rPr>
                <w:rFonts w:hint="eastAsia"/>
              </w:rPr>
              <w:t>项目总工及安全生产负责人</w:t>
            </w:r>
            <w:r>
              <w:rPr>
                <w:lang w:val="zh-CN"/>
              </w:rPr>
              <w:t>资格、在岗情况符合招标文件规定。</w:t>
            </w:r>
          </w:p>
          <w:p w14:paraId="59A7F6B1">
            <w:pPr>
              <w:tabs>
                <w:tab w:val="left" w:pos="1058"/>
              </w:tabs>
              <w:autoSpaceDE w:val="0"/>
              <w:autoSpaceDN w:val="0"/>
              <w:spacing w:line="276" w:lineRule="auto"/>
              <w:jc w:val="left"/>
              <w:rPr>
                <w:lang w:val="zh-CN"/>
              </w:rPr>
            </w:pPr>
            <w:r>
              <w:rPr>
                <w:rFonts w:hint="eastAsia"/>
                <w:lang w:val="zh-CN"/>
              </w:rPr>
              <w:t>（7）</w:t>
            </w:r>
            <w:r>
              <w:rPr>
                <w:lang w:val="zh-CN"/>
              </w:rPr>
              <w:t>投标人的其他要求符合招标文件规定。</w:t>
            </w:r>
          </w:p>
          <w:p w14:paraId="529F4A32">
            <w:pPr>
              <w:tabs>
                <w:tab w:val="left" w:pos="1058"/>
              </w:tabs>
              <w:autoSpaceDE w:val="0"/>
              <w:autoSpaceDN w:val="0"/>
              <w:spacing w:line="276" w:lineRule="auto"/>
              <w:jc w:val="left"/>
              <w:rPr>
                <w:lang w:val="zh-CN"/>
              </w:rPr>
            </w:pPr>
            <w:r>
              <w:rPr>
                <w:rFonts w:hint="eastAsia"/>
                <w:lang w:val="zh-CN"/>
              </w:rPr>
              <w:t>（8）</w:t>
            </w:r>
            <w:r>
              <w:rPr>
                <w:lang w:val="zh-CN"/>
              </w:rPr>
              <w:t>投标人不存在第二章“投标人须知”第 1.4.</w:t>
            </w:r>
            <w:r>
              <w:rPr>
                <w:rFonts w:hint="eastAsia"/>
                <w:lang w:val="en-US" w:eastAsia="zh-CN"/>
              </w:rPr>
              <w:t>3</w:t>
            </w:r>
            <w:r>
              <w:rPr>
                <w:lang w:val="zh-CN"/>
              </w:rPr>
              <w:t>项或第 1.4.</w:t>
            </w:r>
            <w:r>
              <w:rPr>
                <w:rFonts w:hint="eastAsia"/>
                <w:lang w:val="en-US" w:eastAsia="zh-CN"/>
              </w:rPr>
              <w:t>4</w:t>
            </w:r>
            <w:r>
              <w:rPr>
                <w:lang w:val="zh-CN"/>
              </w:rPr>
              <w:t xml:space="preserve"> 项规定的任何一种情形。</w:t>
            </w:r>
          </w:p>
          <w:p w14:paraId="5DE42DA8">
            <w:pPr>
              <w:pStyle w:val="8"/>
              <w:spacing w:line="276" w:lineRule="auto"/>
              <w:ind w:left="0" w:firstLine="0" w:firstLineChars="0"/>
              <w:rPr>
                <w:lang w:val="zh-CN"/>
              </w:rPr>
            </w:pPr>
            <w:r>
              <w:rPr>
                <w:rStyle w:val="10"/>
                <w:rFonts w:hint="eastAsia"/>
              </w:rPr>
              <w:t>（</w:t>
            </w:r>
            <w:r>
              <w:rPr>
                <w:rStyle w:val="10"/>
              </w:rPr>
              <w:t>9</w:t>
            </w:r>
            <w:r>
              <w:rPr>
                <w:rStyle w:val="10"/>
                <w:rFonts w:hint="eastAsia"/>
              </w:rPr>
              <w:t>）</w:t>
            </w:r>
            <w:r>
              <w:rPr>
                <w:rStyle w:val="10"/>
                <w:rFonts w:hint="eastAsia" w:hAnsi="宋体"/>
                <w:szCs w:val="21"/>
              </w:rPr>
              <w:t>投标人符合第二章“投标人须知”第</w:t>
            </w:r>
            <w:r>
              <w:rPr>
                <w:rStyle w:val="10"/>
                <w:rFonts w:hAnsi="宋体"/>
                <w:szCs w:val="21"/>
              </w:rPr>
              <w:t>1.4.5</w:t>
            </w:r>
            <w:r>
              <w:rPr>
                <w:rStyle w:val="10"/>
                <w:rFonts w:hint="eastAsia" w:hAnsi="宋体"/>
                <w:szCs w:val="21"/>
              </w:rPr>
              <w:t>项规定。</w:t>
            </w:r>
            <w:r>
              <w:rPr>
                <w:lang w:val="zh-CN"/>
              </w:rPr>
              <w:tab/>
            </w:r>
          </w:p>
        </w:tc>
      </w:tr>
    </w:tbl>
    <w:p w14:paraId="4BB22031">
      <w:pPr>
        <w:autoSpaceDE w:val="0"/>
        <w:autoSpaceDN w:val="0"/>
        <w:spacing w:after="3"/>
        <w:ind w:left="8302"/>
        <w:jc w:val="left"/>
        <w:rPr>
          <w:rFonts w:hAnsi="宋体" w:cs="宋体"/>
          <w:sz w:val="18"/>
          <w:szCs w:val="22"/>
          <w:lang w:val="zh-CN" w:bidi="zh-CN"/>
        </w:rPr>
      </w:pPr>
      <w:r>
        <w:rPr>
          <w:rFonts w:hAnsi="宋体" w:cs="宋体"/>
          <w:sz w:val="18"/>
          <w:szCs w:val="22"/>
          <w:lang w:val="zh-CN" w:bidi="zh-CN"/>
        </w:rPr>
        <w:t xml:space="preserve"> </w:t>
      </w:r>
    </w:p>
    <w:p w14:paraId="09B419E7">
      <w:pPr>
        <w:pStyle w:val="4"/>
        <w:ind w:firstLine="360"/>
        <w:jc w:val="right"/>
        <w:rPr>
          <w:b/>
          <w:bCs/>
          <w:lang w:val="zh-CN" w:bidi="zh-CN"/>
        </w:rPr>
      </w:pPr>
      <w:r>
        <w:rPr>
          <w:sz w:val="18"/>
          <w:lang w:val="zh-CN" w:bidi="zh-CN"/>
        </w:rPr>
        <w:br w:type="page"/>
      </w:r>
      <w:r>
        <w:rPr>
          <w:b/>
          <w:bCs/>
          <w:lang w:val="zh-CN" w:bidi="zh-CN"/>
        </w:rPr>
        <w:t>续上表</w:t>
      </w:r>
    </w:p>
    <w:tbl>
      <w:tblPr>
        <w:tblStyle w:val="6"/>
        <w:tblW w:w="9675"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940"/>
        <w:gridCol w:w="200"/>
        <w:gridCol w:w="934"/>
        <w:gridCol w:w="1559"/>
        <w:gridCol w:w="851"/>
        <w:gridCol w:w="4606"/>
      </w:tblGrid>
      <w:tr w14:paraId="7E675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25" w:type="dxa"/>
            <w:gridSpan w:val="2"/>
            <w:noWrap w:val="0"/>
            <w:vAlign w:val="center"/>
          </w:tcPr>
          <w:p w14:paraId="49475266">
            <w:pPr>
              <w:jc w:val="center"/>
            </w:pPr>
            <w:r>
              <w:rPr>
                <w:rFonts w:hAnsi="宋体" w:cs="宋体"/>
                <w:b/>
                <w:szCs w:val="22"/>
                <w:lang w:val="zh-CN" w:bidi="zh-CN"/>
              </w:rPr>
              <w:t>条款号</w:t>
            </w:r>
          </w:p>
        </w:tc>
        <w:tc>
          <w:tcPr>
            <w:tcW w:w="2693" w:type="dxa"/>
            <w:gridSpan w:val="3"/>
            <w:noWrap w:val="0"/>
            <w:vAlign w:val="center"/>
          </w:tcPr>
          <w:p w14:paraId="3B87AFB1">
            <w:pPr>
              <w:autoSpaceDE w:val="0"/>
              <w:autoSpaceDN w:val="0"/>
              <w:spacing w:before="89" w:line="250" w:lineRule="exact"/>
              <w:ind w:left="334"/>
              <w:jc w:val="center"/>
              <w:rPr>
                <w:rFonts w:hAnsi="宋体" w:cs="宋体"/>
                <w:b/>
                <w:szCs w:val="22"/>
                <w:lang w:val="zh-CN" w:bidi="zh-CN"/>
              </w:rPr>
            </w:pPr>
            <w:r>
              <w:rPr>
                <w:rFonts w:hAnsi="宋体" w:cs="宋体"/>
                <w:b/>
                <w:szCs w:val="22"/>
                <w:lang w:val="zh-CN" w:bidi="zh-CN"/>
              </w:rPr>
              <w:t>条款内容</w:t>
            </w:r>
          </w:p>
        </w:tc>
        <w:tc>
          <w:tcPr>
            <w:tcW w:w="5457" w:type="dxa"/>
            <w:gridSpan w:val="2"/>
            <w:noWrap w:val="0"/>
            <w:vAlign w:val="center"/>
          </w:tcPr>
          <w:p w14:paraId="35E1EDD2">
            <w:pPr>
              <w:autoSpaceDE w:val="0"/>
              <w:autoSpaceDN w:val="0"/>
              <w:spacing w:before="89" w:line="250" w:lineRule="exact"/>
              <w:ind w:left="2109" w:right="2097"/>
              <w:jc w:val="center"/>
              <w:rPr>
                <w:rFonts w:hAnsi="宋体" w:cs="宋体"/>
                <w:b/>
                <w:szCs w:val="22"/>
                <w:lang w:val="zh-CN" w:bidi="zh-CN"/>
              </w:rPr>
            </w:pPr>
            <w:r>
              <w:rPr>
                <w:rFonts w:hAnsi="宋体" w:cs="宋体"/>
                <w:b/>
                <w:szCs w:val="22"/>
                <w:lang w:val="zh-CN" w:bidi="zh-CN"/>
              </w:rPr>
              <w:t>编列内容</w:t>
            </w:r>
          </w:p>
        </w:tc>
      </w:tr>
      <w:tr w14:paraId="560C8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25" w:type="dxa"/>
            <w:gridSpan w:val="2"/>
            <w:noWrap w:val="0"/>
            <w:vAlign w:val="center"/>
          </w:tcPr>
          <w:p w14:paraId="60B55837">
            <w:pPr>
              <w:jc w:val="center"/>
              <w:rPr>
                <w:rFonts w:hAnsi="宋体"/>
              </w:rPr>
            </w:pPr>
            <w:r>
              <w:rPr>
                <w:rFonts w:hAnsi="宋体"/>
              </w:rPr>
              <w:t>2.2.1</w:t>
            </w:r>
          </w:p>
        </w:tc>
        <w:tc>
          <w:tcPr>
            <w:tcW w:w="2693" w:type="dxa"/>
            <w:gridSpan w:val="3"/>
            <w:noWrap w:val="0"/>
            <w:vAlign w:val="center"/>
          </w:tcPr>
          <w:p w14:paraId="0598F417">
            <w:pPr>
              <w:autoSpaceDE w:val="0"/>
              <w:autoSpaceDN w:val="0"/>
              <w:spacing w:before="92"/>
              <w:ind w:right="199"/>
              <w:jc w:val="center"/>
              <w:rPr>
                <w:rFonts w:hAnsi="宋体" w:cs="宋体"/>
                <w:szCs w:val="22"/>
                <w:lang w:val="zh-CN" w:bidi="zh-CN"/>
              </w:rPr>
            </w:pPr>
            <w:r>
              <w:rPr>
                <w:rFonts w:hint="eastAsia" w:hAnsi="宋体" w:cs="宋体"/>
                <w:szCs w:val="22"/>
                <w:lang w:val="zh-CN" w:bidi="zh-CN"/>
              </w:rPr>
              <w:t>第一个电子信封评分分值构成</w:t>
            </w:r>
          </w:p>
          <w:p w14:paraId="7B3FAACA">
            <w:pPr>
              <w:autoSpaceDE w:val="0"/>
              <w:autoSpaceDN w:val="0"/>
              <w:spacing w:before="92"/>
              <w:ind w:right="199"/>
              <w:jc w:val="center"/>
              <w:rPr>
                <w:rFonts w:hAnsi="宋体" w:cs="宋体"/>
                <w:szCs w:val="22"/>
                <w:lang w:val="zh-CN" w:bidi="zh-CN"/>
              </w:rPr>
            </w:pPr>
            <w:r>
              <w:rPr>
                <w:rFonts w:hAnsi="宋体" w:cs="宋体"/>
                <w:szCs w:val="22"/>
                <w:lang w:val="zh-CN" w:bidi="zh-CN"/>
              </w:rPr>
              <w:t>（</w:t>
            </w:r>
            <w:r>
              <w:rPr>
                <w:rFonts w:hint="eastAsia" w:hAnsi="宋体" w:cs="宋体"/>
                <w:szCs w:val="22"/>
                <w:lang w:val="zh-CN" w:bidi="zh-CN"/>
              </w:rPr>
              <w:t>总分</w:t>
            </w:r>
            <w:r>
              <w:rPr>
                <w:rFonts w:hAnsi="宋体" w:cs="宋体"/>
                <w:szCs w:val="22"/>
                <w:lang w:val="zh-CN" w:bidi="zh-CN"/>
              </w:rPr>
              <w:t>100分）</w:t>
            </w:r>
          </w:p>
        </w:tc>
        <w:tc>
          <w:tcPr>
            <w:tcW w:w="5457" w:type="dxa"/>
            <w:gridSpan w:val="2"/>
            <w:noWrap w:val="0"/>
            <w:vAlign w:val="top"/>
          </w:tcPr>
          <w:p w14:paraId="0B2EEB72">
            <w:pPr>
              <w:pStyle w:val="11"/>
              <w:spacing w:line="240" w:lineRule="auto"/>
              <w:ind w:left="0" w:firstLine="0"/>
              <w:rPr>
                <w:szCs w:val="22"/>
                <w:lang w:val="zh-CN"/>
              </w:rPr>
            </w:pPr>
            <w:bookmarkStart w:id="4" w:name="_Toc179472553"/>
            <w:r>
              <w:rPr>
                <w:rFonts w:hint="eastAsia"/>
                <w:szCs w:val="22"/>
                <w:lang w:val="zh-CN"/>
              </w:rPr>
              <w:t>施工组织设计：40分</w:t>
            </w:r>
            <w:bookmarkEnd w:id="4"/>
          </w:p>
          <w:p w14:paraId="0AA0A535">
            <w:pPr>
              <w:pStyle w:val="11"/>
              <w:spacing w:line="240" w:lineRule="auto"/>
              <w:ind w:left="0" w:firstLine="0"/>
              <w:rPr>
                <w:szCs w:val="22"/>
                <w:lang w:val="zh-CN"/>
              </w:rPr>
            </w:pPr>
            <w:bookmarkStart w:id="5" w:name="_Toc179472554"/>
            <w:r>
              <w:rPr>
                <w:rFonts w:hint="eastAsia"/>
                <w:szCs w:val="22"/>
                <w:lang w:val="zh-CN"/>
              </w:rPr>
              <w:t>主要人员：30分</w:t>
            </w:r>
            <w:bookmarkEnd w:id="5"/>
          </w:p>
          <w:p w14:paraId="7CE7BCB8">
            <w:pPr>
              <w:pStyle w:val="11"/>
              <w:spacing w:line="240" w:lineRule="auto"/>
              <w:ind w:left="0" w:firstLine="0"/>
              <w:rPr>
                <w:szCs w:val="22"/>
                <w:lang w:val="zh-CN"/>
              </w:rPr>
            </w:pPr>
            <w:bookmarkStart w:id="6" w:name="_Toc179472555"/>
            <w:r>
              <w:rPr>
                <w:rFonts w:hint="eastAsia"/>
                <w:szCs w:val="22"/>
                <w:lang w:val="zh-CN"/>
              </w:rPr>
              <w:t>业绩：25分</w:t>
            </w:r>
            <w:bookmarkEnd w:id="6"/>
          </w:p>
          <w:p w14:paraId="7A130A09">
            <w:pPr>
              <w:pStyle w:val="11"/>
              <w:spacing w:line="240" w:lineRule="auto"/>
              <w:ind w:left="0" w:firstLine="0"/>
              <w:rPr>
                <w:lang w:val="zh-CN"/>
              </w:rPr>
            </w:pPr>
            <w:bookmarkStart w:id="7" w:name="_Toc179472556"/>
            <w:r>
              <w:rPr>
                <w:rFonts w:hint="eastAsia"/>
                <w:szCs w:val="22"/>
                <w:lang w:val="zh-CN"/>
              </w:rPr>
              <w:t>履约信誉：5分</w:t>
            </w:r>
            <w:bookmarkEnd w:id="7"/>
          </w:p>
        </w:tc>
      </w:tr>
      <w:tr w14:paraId="10F96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525" w:type="dxa"/>
            <w:gridSpan w:val="2"/>
            <w:noWrap w:val="0"/>
            <w:vAlign w:val="center"/>
          </w:tcPr>
          <w:p w14:paraId="41BBBB74">
            <w:pPr>
              <w:jc w:val="center"/>
              <w:rPr>
                <w:rFonts w:hAnsi="宋体"/>
              </w:rPr>
            </w:pPr>
            <w:r>
              <w:rPr>
                <w:rFonts w:hAnsi="宋体"/>
              </w:rPr>
              <w:t>2.2.</w:t>
            </w:r>
            <w:r>
              <w:rPr>
                <w:rFonts w:hint="eastAsia" w:hAnsi="宋体"/>
              </w:rPr>
              <w:t>3</w:t>
            </w:r>
          </w:p>
        </w:tc>
        <w:tc>
          <w:tcPr>
            <w:tcW w:w="2693" w:type="dxa"/>
            <w:gridSpan w:val="3"/>
            <w:noWrap w:val="0"/>
            <w:vAlign w:val="center"/>
          </w:tcPr>
          <w:p w14:paraId="2185F22E">
            <w:pPr>
              <w:autoSpaceDE w:val="0"/>
              <w:autoSpaceDN w:val="0"/>
              <w:spacing w:before="128" w:line="321" w:lineRule="auto"/>
              <w:ind w:right="110"/>
              <w:jc w:val="center"/>
              <w:rPr>
                <w:rFonts w:hAnsi="宋体" w:cs="宋体"/>
                <w:szCs w:val="22"/>
                <w:lang w:val="zh-CN" w:bidi="zh-CN"/>
              </w:rPr>
            </w:pPr>
            <w:r>
              <w:rPr>
                <w:rFonts w:hint="eastAsia" w:hAnsi="宋体" w:cs="宋体"/>
                <w:szCs w:val="22"/>
                <w:lang w:val="zh-CN" w:bidi="zh-CN"/>
              </w:rPr>
              <w:t>第二个电子信封详细评审标准</w:t>
            </w:r>
          </w:p>
        </w:tc>
        <w:tc>
          <w:tcPr>
            <w:tcW w:w="5457" w:type="dxa"/>
            <w:gridSpan w:val="2"/>
            <w:noWrap w:val="0"/>
            <w:vAlign w:val="top"/>
          </w:tcPr>
          <w:p w14:paraId="1FAB90FB">
            <w:pPr>
              <w:pStyle w:val="11"/>
              <w:spacing w:line="240" w:lineRule="auto"/>
              <w:ind w:left="0" w:firstLine="0"/>
              <w:rPr>
                <w:lang w:val="zh-CN"/>
              </w:rPr>
            </w:pPr>
            <w:bookmarkStart w:id="8" w:name="_Toc85545370"/>
            <w:bookmarkStart w:id="9" w:name="_Toc24138"/>
            <w:bookmarkStart w:id="10" w:name="_Toc5813"/>
            <w:bookmarkStart w:id="11" w:name="_Toc21303"/>
            <w:bookmarkStart w:id="12" w:name="_Toc179472557"/>
            <w:bookmarkStart w:id="13" w:name="_Toc11626"/>
            <w:r>
              <w:rPr>
                <w:rFonts w:hint="eastAsia"/>
                <w:lang w:val="zh-CN"/>
              </w:rPr>
              <w:t>评标价计算公式：</w:t>
            </w:r>
            <w:bookmarkEnd w:id="8"/>
            <w:bookmarkEnd w:id="9"/>
            <w:bookmarkEnd w:id="10"/>
            <w:bookmarkEnd w:id="11"/>
            <w:bookmarkEnd w:id="12"/>
            <w:bookmarkEnd w:id="13"/>
          </w:p>
          <w:p w14:paraId="41286EAA">
            <w:pPr>
              <w:pStyle w:val="11"/>
              <w:spacing w:line="240" w:lineRule="auto"/>
              <w:ind w:left="420" w:hangingChars="175"/>
            </w:pPr>
            <w:bookmarkStart w:id="14" w:name="_Toc85545371"/>
            <w:bookmarkStart w:id="15" w:name="_Toc10662"/>
            <w:bookmarkStart w:id="16" w:name="_Toc2241"/>
            <w:bookmarkStart w:id="17" w:name="_Toc31204"/>
            <w:bookmarkStart w:id="18" w:name="_Toc27057"/>
            <w:bookmarkStart w:id="19" w:name="_Toc179472558"/>
            <w:r>
              <w:rPr>
                <w:rFonts w:hint="eastAsia"/>
                <w:lang w:val="zh-CN"/>
              </w:rPr>
              <w:t>评标价=</w:t>
            </w:r>
            <w:bookmarkEnd w:id="14"/>
            <w:r>
              <w:rPr>
                <w:rFonts w:hint="eastAsia"/>
              </w:rPr>
              <w:t>投标函文字报价</w:t>
            </w:r>
            <w:bookmarkEnd w:id="15"/>
            <w:bookmarkEnd w:id="16"/>
            <w:bookmarkEnd w:id="17"/>
            <w:bookmarkEnd w:id="18"/>
            <w:bookmarkEnd w:id="19"/>
          </w:p>
        </w:tc>
      </w:tr>
      <w:tr w14:paraId="01496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525" w:type="dxa"/>
            <w:gridSpan w:val="2"/>
            <w:tcBorders>
              <w:top w:val="single" w:color="000000" w:sz="4" w:space="0"/>
              <w:left w:val="single" w:color="000000" w:sz="4" w:space="0"/>
              <w:bottom w:val="single" w:color="000000" w:sz="4" w:space="0"/>
              <w:right w:val="single" w:color="000000" w:sz="4" w:space="0"/>
            </w:tcBorders>
            <w:noWrap w:val="0"/>
            <w:vAlign w:val="center"/>
          </w:tcPr>
          <w:p w14:paraId="6FE7324F">
            <w:pPr>
              <w:autoSpaceDE w:val="0"/>
              <w:autoSpaceDN w:val="0"/>
              <w:jc w:val="center"/>
              <w:rPr>
                <w:rFonts w:hAnsi="宋体" w:cs="宋体"/>
                <w:szCs w:val="21"/>
                <w:lang w:val="zh-CN" w:bidi="zh-CN"/>
              </w:rPr>
            </w:pPr>
            <w:r>
              <w:rPr>
                <w:rFonts w:hAnsi="宋体" w:cs="宋体"/>
                <w:szCs w:val="21"/>
                <w:lang w:val="zh-CN" w:bidi="zh-CN"/>
              </w:rPr>
              <w:t>2.2.</w:t>
            </w:r>
            <w:r>
              <w:rPr>
                <w:rFonts w:hint="eastAsia" w:hAnsi="宋体" w:cs="宋体"/>
                <w:szCs w:val="21"/>
                <w:lang w:bidi="zh-CN"/>
              </w:rPr>
              <w:t>4</w:t>
            </w:r>
          </w:p>
        </w:tc>
        <w:tc>
          <w:tcPr>
            <w:tcW w:w="2693" w:type="dxa"/>
            <w:gridSpan w:val="3"/>
            <w:tcBorders>
              <w:top w:val="single" w:color="000000" w:sz="4" w:space="0"/>
              <w:left w:val="single" w:color="000000" w:sz="4" w:space="0"/>
              <w:bottom w:val="single" w:color="000000" w:sz="4" w:space="0"/>
              <w:right w:val="single" w:color="000000" w:sz="4" w:space="0"/>
            </w:tcBorders>
            <w:noWrap w:val="0"/>
            <w:vAlign w:val="center"/>
          </w:tcPr>
          <w:p w14:paraId="2640E29F">
            <w:pPr>
              <w:autoSpaceDE w:val="0"/>
              <w:autoSpaceDN w:val="0"/>
              <w:jc w:val="center"/>
              <w:rPr>
                <w:rFonts w:hAnsi="宋体" w:cs="宋体"/>
                <w:szCs w:val="21"/>
                <w:lang w:val="zh-CN" w:bidi="zh-CN"/>
              </w:rPr>
            </w:pPr>
            <w:r>
              <w:rPr>
                <w:rFonts w:hint="eastAsia" w:hAnsi="宋体" w:cs="宋体"/>
                <w:szCs w:val="21"/>
                <w:lang w:val="zh-CN" w:bidi="zh-CN"/>
              </w:rPr>
              <w:t>通过第一个电子信封详细评审的投标人数量</w:t>
            </w:r>
          </w:p>
        </w:tc>
        <w:tc>
          <w:tcPr>
            <w:tcW w:w="5457" w:type="dxa"/>
            <w:gridSpan w:val="2"/>
            <w:tcBorders>
              <w:top w:val="single" w:color="000000" w:sz="4" w:space="0"/>
              <w:left w:val="single" w:color="000000" w:sz="4" w:space="0"/>
              <w:bottom w:val="single" w:color="000000" w:sz="4" w:space="0"/>
              <w:right w:val="single" w:color="000000" w:sz="4" w:space="0"/>
            </w:tcBorders>
            <w:noWrap w:val="0"/>
            <w:vAlign w:val="center"/>
          </w:tcPr>
          <w:p w14:paraId="073E178F">
            <w:pPr>
              <w:spacing w:before="119" w:line="360" w:lineRule="auto"/>
              <w:jc w:val="left"/>
              <w:rPr>
                <w:rFonts w:hAnsi="宋体" w:cs="宋体"/>
                <w:szCs w:val="21"/>
                <w:lang w:val="zh-CN" w:bidi="zh-CN"/>
              </w:rPr>
            </w:pPr>
            <w:r>
              <w:rPr>
                <w:rFonts w:hint="eastAsia"/>
                <w:lang w:val="zh-CN"/>
              </w:rPr>
              <w:t>按照投标人的商务和技术得分由高到低排序，选择前</w:t>
            </w:r>
            <w:r>
              <w:rPr>
                <w:rFonts w:hint="eastAsia"/>
                <w:u w:val="single"/>
              </w:rPr>
              <w:t>3</w:t>
            </w:r>
            <w:r>
              <w:rPr>
                <w:rFonts w:hint="eastAsia"/>
                <w:lang w:val="zh-CN"/>
              </w:rPr>
              <w:t>名通过详细评审。</w:t>
            </w:r>
            <w:r>
              <w:rPr>
                <w:rStyle w:val="10"/>
                <w:rFonts w:hint="eastAsia" w:hAnsi="宋体"/>
                <w:szCs w:val="21"/>
              </w:rPr>
              <w:t>若通过第一个信封初步评审的投标人数量小于或等于</w:t>
            </w:r>
            <w:r>
              <w:rPr>
                <w:rStyle w:val="10"/>
                <w:rFonts w:hint="eastAsia" w:hAnsi="宋体"/>
                <w:szCs w:val="21"/>
                <w:u w:val="single"/>
              </w:rPr>
              <w:t>3</w:t>
            </w:r>
            <w:r>
              <w:rPr>
                <w:rStyle w:val="10"/>
                <w:rFonts w:hint="eastAsia" w:hAnsi="宋体"/>
                <w:szCs w:val="21"/>
              </w:rPr>
              <w:t>名（该数量应不少于3名），则以上投标人全部通过详细评审。</w:t>
            </w:r>
          </w:p>
        </w:tc>
      </w:tr>
      <w:tr w14:paraId="21451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675" w:type="dxa"/>
            <w:gridSpan w:val="7"/>
            <w:noWrap w:val="0"/>
            <w:vAlign w:val="center"/>
          </w:tcPr>
          <w:p w14:paraId="2863ADE2">
            <w:pPr>
              <w:tabs>
                <w:tab w:val="left" w:pos="640"/>
              </w:tabs>
              <w:autoSpaceDE w:val="0"/>
              <w:autoSpaceDN w:val="0"/>
              <w:spacing w:line="321" w:lineRule="auto"/>
              <w:ind w:left="108" w:right="94"/>
              <w:jc w:val="center"/>
              <w:rPr>
                <w:rFonts w:hAnsi="宋体" w:cs="宋体"/>
                <w:szCs w:val="22"/>
                <w:lang w:val="zh-CN" w:bidi="zh-CN"/>
              </w:rPr>
            </w:pPr>
            <w:r>
              <w:rPr>
                <w:rFonts w:hint="eastAsia" w:hAnsi="宋体" w:cs="宋体"/>
                <w:b/>
                <w:bCs/>
                <w:szCs w:val="22"/>
                <w:lang w:val="zh-CN" w:bidi="zh-CN"/>
              </w:rPr>
              <w:t>评分因素与权重分值</w:t>
            </w:r>
          </w:p>
        </w:tc>
      </w:tr>
      <w:tr w14:paraId="1B791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585" w:type="dxa"/>
            <w:tcBorders>
              <w:right w:val="single" w:color="auto" w:sz="4" w:space="0"/>
            </w:tcBorders>
            <w:noWrap w:val="0"/>
            <w:vAlign w:val="center"/>
          </w:tcPr>
          <w:p w14:paraId="52DA9780">
            <w:pPr>
              <w:autoSpaceDE w:val="0"/>
              <w:autoSpaceDN w:val="0"/>
              <w:jc w:val="center"/>
              <w:rPr>
                <w:rFonts w:hAnsi="宋体" w:cs="宋体"/>
                <w:b/>
                <w:bCs/>
                <w:szCs w:val="24"/>
                <w:lang w:val="zh-CN" w:bidi="zh-CN"/>
              </w:rPr>
            </w:pPr>
            <w:r>
              <w:rPr>
                <w:rFonts w:hint="eastAsia" w:hAnsi="宋体" w:cs="宋体"/>
                <w:b/>
                <w:bCs/>
                <w:szCs w:val="24"/>
                <w:lang w:val="zh-CN" w:bidi="zh-CN"/>
              </w:rPr>
              <w:t>条款号</w:t>
            </w:r>
          </w:p>
        </w:tc>
        <w:tc>
          <w:tcPr>
            <w:tcW w:w="1140" w:type="dxa"/>
            <w:gridSpan w:val="2"/>
            <w:tcBorders>
              <w:left w:val="single" w:color="auto" w:sz="4" w:space="0"/>
              <w:right w:val="single" w:color="auto" w:sz="4" w:space="0"/>
            </w:tcBorders>
            <w:noWrap w:val="0"/>
            <w:vAlign w:val="center"/>
          </w:tcPr>
          <w:p w14:paraId="1E6693E2">
            <w:pPr>
              <w:autoSpaceDE w:val="0"/>
              <w:autoSpaceDN w:val="0"/>
              <w:jc w:val="center"/>
              <w:rPr>
                <w:rFonts w:hAnsi="宋体" w:cs="宋体"/>
                <w:b/>
                <w:bCs/>
                <w:szCs w:val="24"/>
                <w:lang w:val="zh-CN" w:bidi="zh-CN"/>
              </w:rPr>
            </w:pPr>
            <w:r>
              <w:rPr>
                <w:rFonts w:hint="eastAsia" w:hAnsi="宋体" w:cs="宋体"/>
                <w:b/>
                <w:bCs/>
                <w:szCs w:val="24"/>
                <w:lang w:val="zh-CN" w:bidi="zh-CN"/>
              </w:rPr>
              <w:t>评分因素</w:t>
            </w:r>
          </w:p>
        </w:tc>
        <w:tc>
          <w:tcPr>
            <w:tcW w:w="934" w:type="dxa"/>
            <w:tcBorders>
              <w:left w:val="single" w:color="auto" w:sz="4" w:space="0"/>
              <w:right w:val="single" w:color="auto" w:sz="4" w:space="0"/>
            </w:tcBorders>
            <w:noWrap w:val="0"/>
            <w:vAlign w:val="center"/>
          </w:tcPr>
          <w:p w14:paraId="42381B10">
            <w:pPr>
              <w:tabs>
                <w:tab w:val="left" w:pos="640"/>
              </w:tabs>
              <w:autoSpaceDE w:val="0"/>
              <w:autoSpaceDN w:val="0"/>
              <w:spacing w:line="321" w:lineRule="auto"/>
              <w:ind w:left="108" w:right="94"/>
              <w:jc w:val="center"/>
              <w:rPr>
                <w:rFonts w:hAnsi="宋体" w:cs="宋体"/>
                <w:b/>
                <w:bCs/>
                <w:szCs w:val="24"/>
                <w:lang w:val="zh-CN" w:bidi="zh-CN"/>
              </w:rPr>
            </w:pPr>
            <w:r>
              <w:rPr>
                <w:rFonts w:hint="eastAsia" w:hAnsi="宋体" w:cs="宋体"/>
                <w:b/>
                <w:bCs/>
                <w:szCs w:val="24"/>
                <w:lang w:val="zh-CN" w:bidi="zh-CN"/>
              </w:rPr>
              <w:t>评分因素权重分值</w:t>
            </w:r>
          </w:p>
        </w:tc>
        <w:tc>
          <w:tcPr>
            <w:tcW w:w="1559" w:type="dxa"/>
            <w:tcBorders>
              <w:left w:val="single" w:color="auto" w:sz="4" w:space="0"/>
              <w:right w:val="single" w:color="auto" w:sz="4" w:space="0"/>
            </w:tcBorders>
            <w:noWrap w:val="0"/>
            <w:vAlign w:val="center"/>
          </w:tcPr>
          <w:p w14:paraId="5058C848">
            <w:pPr>
              <w:tabs>
                <w:tab w:val="left" w:pos="640"/>
              </w:tabs>
              <w:autoSpaceDE w:val="0"/>
              <w:autoSpaceDN w:val="0"/>
              <w:spacing w:line="321" w:lineRule="auto"/>
              <w:ind w:left="108" w:right="94"/>
              <w:jc w:val="center"/>
              <w:rPr>
                <w:rFonts w:hAnsi="宋体" w:cs="宋体"/>
                <w:b/>
                <w:bCs/>
                <w:szCs w:val="24"/>
                <w:lang w:bidi="zh-CN"/>
              </w:rPr>
            </w:pPr>
            <w:r>
              <w:rPr>
                <w:rFonts w:hint="eastAsia" w:hAnsi="宋体" w:cs="宋体"/>
                <w:b/>
                <w:bCs/>
                <w:szCs w:val="24"/>
                <w:lang w:bidi="zh-CN"/>
              </w:rPr>
              <w:t>各评分因素细分项</w:t>
            </w:r>
          </w:p>
        </w:tc>
        <w:tc>
          <w:tcPr>
            <w:tcW w:w="851" w:type="dxa"/>
            <w:tcBorders>
              <w:left w:val="single" w:color="auto" w:sz="4" w:space="0"/>
              <w:right w:val="single" w:color="auto" w:sz="4" w:space="0"/>
            </w:tcBorders>
            <w:noWrap w:val="0"/>
            <w:vAlign w:val="center"/>
          </w:tcPr>
          <w:p w14:paraId="4FD6BE96">
            <w:pPr>
              <w:tabs>
                <w:tab w:val="left" w:pos="640"/>
              </w:tabs>
              <w:autoSpaceDE w:val="0"/>
              <w:autoSpaceDN w:val="0"/>
              <w:spacing w:line="321" w:lineRule="auto"/>
              <w:ind w:left="108" w:right="94"/>
              <w:jc w:val="center"/>
              <w:rPr>
                <w:rFonts w:hAnsi="宋体" w:cs="宋体"/>
                <w:b/>
                <w:bCs/>
                <w:szCs w:val="24"/>
                <w:lang w:val="zh-CN" w:bidi="zh-CN"/>
              </w:rPr>
            </w:pPr>
            <w:r>
              <w:rPr>
                <w:rFonts w:hint="eastAsia" w:hAnsi="宋体" w:cs="宋体"/>
                <w:b/>
                <w:bCs/>
                <w:szCs w:val="24"/>
                <w:lang w:val="zh-CN" w:bidi="zh-CN"/>
              </w:rPr>
              <w:t>分值</w:t>
            </w:r>
          </w:p>
        </w:tc>
        <w:tc>
          <w:tcPr>
            <w:tcW w:w="4606" w:type="dxa"/>
            <w:tcBorders>
              <w:left w:val="single" w:color="auto" w:sz="4" w:space="0"/>
            </w:tcBorders>
            <w:noWrap w:val="0"/>
            <w:vAlign w:val="center"/>
          </w:tcPr>
          <w:p w14:paraId="11D8B4A9">
            <w:pPr>
              <w:tabs>
                <w:tab w:val="left" w:pos="640"/>
              </w:tabs>
              <w:autoSpaceDE w:val="0"/>
              <w:autoSpaceDN w:val="0"/>
              <w:spacing w:line="321" w:lineRule="auto"/>
              <w:ind w:left="108" w:right="94"/>
              <w:jc w:val="center"/>
              <w:rPr>
                <w:rFonts w:hAnsi="宋体" w:cs="宋体"/>
                <w:szCs w:val="24"/>
                <w:lang w:val="zh-CN" w:bidi="zh-CN"/>
              </w:rPr>
            </w:pPr>
            <w:r>
              <w:rPr>
                <w:rFonts w:hint="eastAsia" w:hAnsi="宋体" w:cs="宋体"/>
                <w:b/>
                <w:bCs/>
                <w:szCs w:val="24"/>
                <w:lang w:val="zh-CN" w:bidi="zh-CN"/>
              </w:rPr>
              <w:t>评分标准</w:t>
            </w:r>
          </w:p>
        </w:tc>
      </w:tr>
      <w:tr w14:paraId="45927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85" w:type="dxa"/>
            <w:vMerge w:val="restart"/>
            <w:tcBorders>
              <w:right w:val="single" w:color="auto" w:sz="4" w:space="0"/>
            </w:tcBorders>
            <w:noWrap w:val="0"/>
            <w:vAlign w:val="center"/>
          </w:tcPr>
          <w:p w14:paraId="3AEF3622">
            <w:pPr>
              <w:jc w:val="center"/>
              <w:rPr>
                <w:rFonts w:hAnsi="宋体"/>
                <w:szCs w:val="24"/>
              </w:rPr>
            </w:pPr>
            <w:r>
              <w:rPr>
                <w:rFonts w:hint="eastAsia" w:hAnsi="宋体"/>
                <w:szCs w:val="24"/>
              </w:rPr>
              <w:t>2.2.2(1)</w:t>
            </w:r>
          </w:p>
        </w:tc>
        <w:tc>
          <w:tcPr>
            <w:tcW w:w="1140" w:type="dxa"/>
            <w:gridSpan w:val="2"/>
            <w:vMerge w:val="restart"/>
            <w:tcBorders>
              <w:left w:val="single" w:color="auto" w:sz="4" w:space="0"/>
              <w:right w:val="single" w:color="auto" w:sz="4" w:space="0"/>
            </w:tcBorders>
            <w:noWrap w:val="0"/>
            <w:vAlign w:val="center"/>
          </w:tcPr>
          <w:p w14:paraId="651FEC6A">
            <w:pPr>
              <w:jc w:val="center"/>
              <w:rPr>
                <w:rFonts w:hAnsi="宋体"/>
                <w:szCs w:val="24"/>
              </w:rPr>
            </w:pPr>
            <w:r>
              <w:rPr>
                <w:rFonts w:hint="eastAsia" w:hAnsi="宋体"/>
                <w:szCs w:val="24"/>
              </w:rPr>
              <w:t>施工组织设计</w:t>
            </w:r>
          </w:p>
        </w:tc>
        <w:tc>
          <w:tcPr>
            <w:tcW w:w="934" w:type="dxa"/>
            <w:vMerge w:val="restart"/>
            <w:tcBorders>
              <w:left w:val="single" w:color="auto" w:sz="4" w:space="0"/>
              <w:right w:val="single" w:color="auto" w:sz="4" w:space="0"/>
            </w:tcBorders>
            <w:noWrap w:val="0"/>
            <w:vAlign w:val="center"/>
          </w:tcPr>
          <w:p w14:paraId="54C24769">
            <w:pPr>
              <w:jc w:val="center"/>
              <w:rPr>
                <w:rFonts w:hAnsi="宋体"/>
                <w:szCs w:val="24"/>
              </w:rPr>
            </w:pPr>
            <w:r>
              <w:rPr>
                <w:rFonts w:hint="eastAsia" w:hAnsi="宋体"/>
                <w:szCs w:val="24"/>
              </w:rPr>
              <w:t>40分</w:t>
            </w:r>
          </w:p>
        </w:tc>
        <w:tc>
          <w:tcPr>
            <w:tcW w:w="1559" w:type="dxa"/>
            <w:tcBorders>
              <w:left w:val="single" w:color="auto" w:sz="4" w:space="0"/>
              <w:bottom w:val="single" w:color="auto" w:sz="4" w:space="0"/>
              <w:right w:val="single" w:color="auto" w:sz="4" w:space="0"/>
            </w:tcBorders>
            <w:noWrap w:val="0"/>
            <w:vAlign w:val="center"/>
          </w:tcPr>
          <w:p w14:paraId="29D5ECF7">
            <w:pPr>
              <w:pStyle w:val="12"/>
              <w:rPr>
                <w:rStyle w:val="10"/>
                <w:kern w:val="0"/>
              </w:rPr>
            </w:pPr>
            <w:r>
              <w:rPr>
                <w:rStyle w:val="10"/>
                <w:rFonts w:hint="eastAsia" w:hAnsi="宋体"/>
                <w:kern w:val="0"/>
                <w:sz w:val="24"/>
                <w:szCs w:val="24"/>
              </w:rPr>
              <w:t>总体施工组织布置及规划</w:t>
            </w:r>
          </w:p>
        </w:tc>
        <w:tc>
          <w:tcPr>
            <w:tcW w:w="851" w:type="dxa"/>
            <w:tcBorders>
              <w:left w:val="single" w:color="auto" w:sz="4" w:space="0"/>
              <w:bottom w:val="single" w:color="auto" w:sz="4" w:space="0"/>
              <w:right w:val="single" w:color="auto" w:sz="4" w:space="0"/>
            </w:tcBorders>
            <w:noWrap w:val="0"/>
            <w:vAlign w:val="center"/>
          </w:tcPr>
          <w:p w14:paraId="4EABF028">
            <w:pPr>
              <w:pStyle w:val="12"/>
              <w:jc w:val="center"/>
              <w:rPr>
                <w:rStyle w:val="10"/>
              </w:rPr>
            </w:pPr>
            <w:r>
              <w:rPr>
                <w:rStyle w:val="10"/>
                <w:rFonts w:hint="eastAsia" w:hAnsi="宋体"/>
                <w:kern w:val="0"/>
                <w:sz w:val="24"/>
                <w:szCs w:val="24"/>
              </w:rPr>
              <w:t>5分</w:t>
            </w:r>
          </w:p>
        </w:tc>
        <w:tc>
          <w:tcPr>
            <w:tcW w:w="4606" w:type="dxa"/>
            <w:tcBorders>
              <w:left w:val="single" w:color="auto" w:sz="4" w:space="0"/>
              <w:bottom w:val="single" w:color="auto" w:sz="4" w:space="0"/>
            </w:tcBorders>
            <w:noWrap w:val="0"/>
            <w:vAlign w:val="center"/>
          </w:tcPr>
          <w:p w14:paraId="5048238F">
            <w:pPr>
              <w:pStyle w:val="12"/>
              <w:rPr>
                <w:rStyle w:val="10"/>
                <w:rFonts w:hAnsi="宋体"/>
                <w:kern w:val="0"/>
              </w:rPr>
            </w:pPr>
            <w:r>
              <w:rPr>
                <w:rStyle w:val="10"/>
                <w:rFonts w:hint="eastAsia" w:hAnsi="宋体"/>
                <w:kern w:val="0"/>
                <w:sz w:val="24"/>
                <w:szCs w:val="24"/>
              </w:rPr>
              <w:t>总体施工组织布置及规划合理，内容全面，切实可行，符合招标文件要求，得满分5分，否则根据其整体情况酌情扣减0-2分。</w:t>
            </w:r>
          </w:p>
        </w:tc>
      </w:tr>
      <w:tr w14:paraId="58A6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85" w:type="dxa"/>
            <w:vMerge w:val="continue"/>
            <w:tcBorders>
              <w:right w:val="single" w:color="auto" w:sz="4" w:space="0"/>
            </w:tcBorders>
            <w:noWrap w:val="0"/>
            <w:vAlign w:val="center"/>
          </w:tcPr>
          <w:p w14:paraId="63C5904C">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71CD4396">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3CA387F8">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87B96C">
            <w:pPr>
              <w:pStyle w:val="12"/>
              <w:rPr>
                <w:rStyle w:val="10"/>
                <w:kern w:val="0"/>
              </w:rPr>
            </w:pPr>
            <w:r>
              <w:rPr>
                <w:rStyle w:val="10"/>
                <w:rFonts w:hint="eastAsia" w:hAnsi="宋体"/>
                <w:kern w:val="0"/>
                <w:sz w:val="24"/>
                <w:szCs w:val="24"/>
              </w:rPr>
              <w:t>主要工程项目的施工方案、方法与技术措施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A0CD7BC">
            <w:pPr>
              <w:pStyle w:val="12"/>
              <w:jc w:val="center"/>
              <w:rPr>
                <w:rStyle w:val="10"/>
              </w:rPr>
            </w:pPr>
            <w:r>
              <w:rPr>
                <w:rStyle w:val="10"/>
                <w:rFonts w:hAnsi="宋体"/>
                <w:kern w:val="0"/>
                <w:sz w:val="24"/>
                <w:szCs w:val="24"/>
              </w:rPr>
              <w:t>12</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7E8BD403">
            <w:pPr>
              <w:pStyle w:val="12"/>
              <w:rPr>
                <w:rStyle w:val="10"/>
              </w:rPr>
            </w:pPr>
            <w:r>
              <w:rPr>
                <w:rStyle w:val="10"/>
                <w:rFonts w:hint="eastAsia" w:hAnsi="宋体"/>
                <w:kern w:val="0"/>
                <w:sz w:val="24"/>
                <w:szCs w:val="24"/>
              </w:rPr>
              <w:t>对本工程的重点、难点理解分析正确、全面，施工方案与技术措施切实可行，得满分12分，否则根据其整体情况酌情扣减0-4.8分。</w:t>
            </w:r>
          </w:p>
        </w:tc>
      </w:tr>
      <w:tr w14:paraId="00AE9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85" w:type="dxa"/>
            <w:vMerge w:val="continue"/>
            <w:tcBorders>
              <w:right w:val="single" w:color="auto" w:sz="4" w:space="0"/>
            </w:tcBorders>
            <w:noWrap w:val="0"/>
            <w:vAlign w:val="center"/>
          </w:tcPr>
          <w:p w14:paraId="6D64ADD5">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754822C6">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4B7B539B">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BE414F">
            <w:pPr>
              <w:pStyle w:val="12"/>
              <w:rPr>
                <w:rStyle w:val="10"/>
                <w:kern w:val="0"/>
              </w:rPr>
            </w:pPr>
            <w:r>
              <w:rPr>
                <w:rStyle w:val="10"/>
                <w:rFonts w:hint="eastAsia" w:hAnsi="宋体"/>
                <w:kern w:val="0"/>
                <w:sz w:val="24"/>
                <w:szCs w:val="24"/>
              </w:rPr>
              <w:t>交通组织方案</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03AD309">
            <w:pPr>
              <w:pStyle w:val="12"/>
              <w:jc w:val="center"/>
              <w:rPr>
                <w:rStyle w:val="10"/>
              </w:rPr>
            </w:pPr>
            <w:r>
              <w:rPr>
                <w:rStyle w:val="10"/>
                <w:rFonts w:hint="eastAsia" w:hAnsi="宋体"/>
                <w:kern w:val="0"/>
                <w:sz w:val="24"/>
                <w:szCs w:val="24"/>
              </w:rPr>
              <w:t>6分</w:t>
            </w:r>
          </w:p>
        </w:tc>
        <w:tc>
          <w:tcPr>
            <w:tcW w:w="4606" w:type="dxa"/>
            <w:tcBorders>
              <w:top w:val="single" w:color="auto" w:sz="4" w:space="0"/>
              <w:left w:val="single" w:color="auto" w:sz="4" w:space="0"/>
              <w:bottom w:val="single" w:color="auto" w:sz="4" w:space="0"/>
            </w:tcBorders>
            <w:noWrap w:val="0"/>
            <w:vAlign w:val="center"/>
          </w:tcPr>
          <w:p w14:paraId="31293C11">
            <w:pPr>
              <w:pStyle w:val="12"/>
              <w:rPr>
                <w:rStyle w:val="10"/>
              </w:rPr>
            </w:pPr>
            <w:r>
              <w:rPr>
                <w:rStyle w:val="10"/>
                <w:rFonts w:hint="eastAsia" w:hAnsi="宋体"/>
                <w:kern w:val="0"/>
                <w:sz w:val="24"/>
                <w:szCs w:val="24"/>
              </w:rPr>
              <w:t>针对项目实际情况，建立健全交通组织体系，方案规范全面，措施完善、保障有力，得满分6分，否则根据其整体情况酌情扣减0-2.4分。</w:t>
            </w:r>
          </w:p>
        </w:tc>
      </w:tr>
      <w:tr w14:paraId="01884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585" w:type="dxa"/>
            <w:vMerge w:val="continue"/>
            <w:tcBorders>
              <w:right w:val="single" w:color="auto" w:sz="4" w:space="0"/>
            </w:tcBorders>
            <w:noWrap w:val="0"/>
            <w:vAlign w:val="center"/>
          </w:tcPr>
          <w:p w14:paraId="21929DFF">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60F32BF4">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0F517DC7">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D7939CA">
            <w:pPr>
              <w:pStyle w:val="12"/>
              <w:rPr>
                <w:rStyle w:val="10"/>
                <w:kern w:val="0"/>
              </w:rPr>
            </w:pPr>
            <w:r>
              <w:rPr>
                <w:rStyle w:val="10"/>
                <w:rFonts w:hint="eastAsia" w:hAnsi="宋体"/>
                <w:kern w:val="0"/>
                <w:sz w:val="24"/>
                <w:szCs w:val="24"/>
              </w:rPr>
              <w:t>工期保证体系及保证措施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F6E8FF4">
            <w:pPr>
              <w:pStyle w:val="12"/>
              <w:jc w:val="center"/>
              <w:rPr>
                <w:rStyle w:val="10"/>
              </w:rPr>
            </w:pPr>
            <w:r>
              <w:rPr>
                <w:rStyle w:val="10"/>
                <w:rFonts w:hint="eastAsia" w:hAnsi="宋体"/>
                <w:kern w:val="0"/>
                <w:sz w:val="24"/>
                <w:szCs w:val="24"/>
              </w:rPr>
              <w:t>4分</w:t>
            </w:r>
          </w:p>
        </w:tc>
        <w:tc>
          <w:tcPr>
            <w:tcW w:w="4606" w:type="dxa"/>
            <w:tcBorders>
              <w:top w:val="single" w:color="auto" w:sz="4" w:space="0"/>
              <w:left w:val="single" w:color="auto" w:sz="4" w:space="0"/>
              <w:bottom w:val="single" w:color="auto" w:sz="4" w:space="0"/>
            </w:tcBorders>
            <w:noWrap w:val="0"/>
            <w:vAlign w:val="center"/>
          </w:tcPr>
          <w:p w14:paraId="373D2734">
            <w:pPr>
              <w:pStyle w:val="12"/>
              <w:rPr>
                <w:rStyle w:val="10"/>
              </w:rPr>
            </w:pPr>
            <w:r>
              <w:rPr>
                <w:rStyle w:val="10"/>
                <w:rFonts w:hint="eastAsia" w:hAnsi="宋体"/>
                <w:kern w:val="0"/>
                <w:sz w:val="24"/>
                <w:szCs w:val="24"/>
              </w:rPr>
              <w:t>对影响本工程进度的因素理解分析准确，考虑全面，计划安排合理，保证措施得力，得满分4分，否则根据其整体情况酌情扣减0-1.6分。</w:t>
            </w:r>
          </w:p>
        </w:tc>
      </w:tr>
      <w:tr w14:paraId="431C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85" w:type="dxa"/>
            <w:vMerge w:val="continue"/>
            <w:tcBorders>
              <w:right w:val="single" w:color="auto" w:sz="4" w:space="0"/>
            </w:tcBorders>
            <w:noWrap w:val="0"/>
            <w:vAlign w:val="center"/>
          </w:tcPr>
          <w:p w14:paraId="26D495F2">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24785CDE">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33451E04">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EC29A7">
            <w:pPr>
              <w:pStyle w:val="12"/>
              <w:rPr>
                <w:rStyle w:val="10"/>
                <w:kern w:val="0"/>
              </w:rPr>
            </w:pPr>
            <w:r>
              <w:rPr>
                <w:rStyle w:val="10"/>
                <w:rFonts w:hint="eastAsia" w:hAnsi="宋体"/>
                <w:kern w:val="0"/>
                <w:sz w:val="24"/>
                <w:szCs w:val="24"/>
              </w:rPr>
              <w:t>工程质量管理体系及保证措施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FF2D396">
            <w:pPr>
              <w:pStyle w:val="12"/>
              <w:jc w:val="center"/>
              <w:rPr>
                <w:rStyle w:val="10"/>
              </w:rPr>
            </w:pPr>
            <w:r>
              <w:rPr>
                <w:rStyle w:val="10"/>
                <w:rFonts w:hint="eastAsia" w:hAnsi="宋体"/>
                <w:kern w:val="0"/>
                <w:sz w:val="24"/>
                <w:szCs w:val="24"/>
              </w:rPr>
              <w:t>4分</w:t>
            </w:r>
          </w:p>
        </w:tc>
        <w:tc>
          <w:tcPr>
            <w:tcW w:w="4606" w:type="dxa"/>
            <w:tcBorders>
              <w:top w:val="single" w:color="auto" w:sz="4" w:space="0"/>
              <w:left w:val="single" w:color="auto" w:sz="4" w:space="0"/>
              <w:bottom w:val="single" w:color="auto" w:sz="4" w:space="0"/>
            </w:tcBorders>
            <w:noWrap w:val="0"/>
            <w:vAlign w:val="center"/>
          </w:tcPr>
          <w:p w14:paraId="2E21BAAE">
            <w:pPr>
              <w:pStyle w:val="12"/>
              <w:rPr>
                <w:rStyle w:val="10"/>
              </w:rPr>
            </w:pPr>
            <w:r>
              <w:rPr>
                <w:rStyle w:val="10"/>
                <w:rFonts w:hint="eastAsia" w:hAnsi="宋体"/>
                <w:kern w:val="0"/>
                <w:sz w:val="24"/>
                <w:szCs w:val="24"/>
              </w:rPr>
              <w:t>针对项目实际情况，建立、健全工程质量管理体系及保证措施，保障有力，切实可行，得满分4分，否则根据其整体情况酌情扣减0-1.6分。</w:t>
            </w:r>
          </w:p>
        </w:tc>
      </w:tr>
      <w:tr w14:paraId="03CD0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85" w:type="dxa"/>
            <w:vMerge w:val="continue"/>
            <w:tcBorders>
              <w:right w:val="single" w:color="auto" w:sz="4" w:space="0"/>
            </w:tcBorders>
            <w:noWrap w:val="0"/>
            <w:vAlign w:val="center"/>
          </w:tcPr>
          <w:p w14:paraId="407F80F9">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110AF1F9">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4719AB30">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4C4F14">
            <w:pPr>
              <w:pStyle w:val="12"/>
              <w:rPr>
                <w:rStyle w:val="10"/>
                <w:kern w:val="0"/>
              </w:rPr>
            </w:pPr>
            <w:r>
              <w:rPr>
                <w:rStyle w:val="10"/>
                <w:rFonts w:hint="eastAsia" w:hAnsi="宋体"/>
                <w:kern w:val="0"/>
                <w:sz w:val="24"/>
                <w:szCs w:val="24"/>
              </w:rPr>
              <w:t>安全生产管理体系及保证措施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855DD66">
            <w:pPr>
              <w:pStyle w:val="12"/>
              <w:jc w:val="center"/>
              <w:rPr>
                <w:rStyle w:val="10"/>
              </w:rPr>
            </w:pPr>
            <w:r>
              <w:rPr>
                <w:rStyle w:val="10"/>
                <w:rFonts w:hint="eastAsia" w:hAnsi="宋体"/>
                <w:kern w:val="0"/>
                <w:sz w:val="24"/>
                <w:szCs w:val="24"/>
              </w:rPr>
              <w:t>4分</w:t>
            </w:r>
          </w:p>
        </w:tc>
        <w:tc>
          <w:tcPr>
            <w:tcW w:w="4606" w:type="dxa"/>
            <w:tcBorders>
              <w:top w:val="single" w:color="auto" w:sz="4" w:space="0"/>
              <w:left w:val="single" w:color="auto" w:sz="4" w:space="0"/>
              <w:bottom w:val="single" w:color="auto" w:sz="4" w:space="0"/>
            </w:tcBorders>
            <w:noWrap w:val="0"/>
            <w:vAlign w:val="center"/>
          </w:tcPr>
          <w:p w14:paraId="4DA3527E">
            <w:pPr>
              <w:pStyle w:val="12"/>
              <w:rPr>
                <w:rStyle w:val="10"/>
              </w:rPr>
            </w:pPr>
            <w:r>
              <w:rPr>
                <w:rStyle w:val="10"/>
                <w:rFonts w:hint="eastAsia" w:hAnsi="宋体"/>
                <w:kern w:val="0"/>
                <w:sz w:val="24"/>
                <w:szCs w:val="24"/>
              </w:rPr>
              <w:t>针对项目实际情况，建立、健全安全管理体系及保证措施，保障有力，切实可行，得满分4分，否则根据其整体情况酌情扣减0-1.6分。</w:t>
            </w:r>
          </w:p>
        </w:tc>
      </w:tr>
      <w:tr w14:paraId="01E4F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85" w:type="dxa"/>
            <w:vMerge w:val="continue"/>
            <w:tcBorders>
              <w:right w:val="single" w:color="auto" w:sz="4" w:space="0"/>
            </w:tcBorders>
            <w:noWrap w:val="0"/>
            <w:vAlign w:val="center"/>
          </w:tcPr>
          <w:p w14:paraId="08F30ECD">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2847D132">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5930CAF4">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743EB8">
            <w:pPr>
              <w:pStyle w:val="12"/>
              <w:rPr>
                <w:rStyle w:val="10"/>
                <w:rFonts w:hint="eastAsia" w:hAnsi="宋体"/>
                <w:kern w:val="0"/>
                <w:sz w:val="24"/>
                <w:szCs w:val="24"/>
              </w:rPr>
            </w:pPr>
            <w:r>
              <w:rPr>
                <w:rStyle w:val="10"/>
                <w:rFonts w:hint="eastAsia" w:hAnsi="宋体"/>
                <w:kern w:val="0"/>
                <w:sz w:val="24"/>
                <w:szCs w:val="24"/>
              </w:rPr>
              <w:t>环境保护、水土保持、文明施工、文物保护、廉政、农民工工资保证体系及保证措施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A0F766A">
            <w:pPr>
              <w:pStyle w:val="12"/>
              <w:jc w:val="center"/>
              <w:rPr>
                <w:rStyle w:val="10"/>
                <w:rFonts w:hint="eastAsia" w:hAnsi="宋体"/>
                <w:kern w:val="0"/>
                <w:sz w:val="24"/>
                <w:szCs w:val="24"/>
              </w:rPr>
            </w:pPr>
            <w:r>
              <w:rPr>
                <w:rStyle w:val="10"/>
                <w:rFonts w:hint="eastAsia" w:hAnsi="宋体"/>
                <w:kern w:val="0"/>
                <w:sz w:val="24"/>
                <w:szCs w:val="24"/>
              </w:rPr>
              <w:t>3分</w:t>
            </w:r>
          </w:p>
        </w:tc>
        <w:tc>
          <w:tcPr>
            <w:tcW w:w="4606" w:type="dxa"/>
            <w:tcBorders>
              <w:top w:val="single" w:color="auto" w:sz="4" w:space="0"/>
              <w:left w:val="single" w:color="auto" w:sz="4" w:space="0"/>
              <w:bottom w:val="single" w:color="auto" w:sz="4" w:space="0"/>
            </w:tcBorders>
            <w:noWrap w:val="0"/>
            <w:vAlign w:val="center"/>
          </w:tcPr>
          <w:p w14:paraId="1F7BD399">
            <w:pPr>
              <w:pStyle w:val="12"/>
              <w:rPr>
                <w:rStyle w:val="10"/>
                <w:rFonts w:hint="eastAsia" w:hAnsi="宋体"/>
                <w:kern w:val="0"/>
                <w:sz w:val="24"/>
                <w:szCs w:val="24"/>
              </w:rPr>
            </w:pPr>
            <w:r>
              <w:rPr>
                <w:rStyle w:val="10"/>
                <w:rFonts w:hint="eastAsia" w:hAnsi="宋体"/>
                <w:kern w:val="0"/>
                <w:sz w:val="24"/>
                <w:szCs w:val="24"/>
              </w:rPr>
              <w:t>充分认识到相关方面的重要性，有完善及切实可行的保证体系及保证措施，得满分3分，否则根据其整体情况酌情扣减0-1.2分。</w:t>
            </w:r>
          </w:p>
        </w:tc>
      </w:tr>
      <w:tr w14:paraId="34383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85" w:type="dxa"/>
            <w:vMerge w:val="continue"/>
            <w:tcBorders>
              <w:right w:val="single" w:color="auto" w:sz="4" w:space="0"/>
            </w:tcBorders>
            <w:noWrap w:val="0"/>
            <w:vAlign w:val="center"/>
          </w:tcPr>
          <w:p w14:paraId="2AEAB03B">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6B5D4404">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1E397D74">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5853E1">
            <w:pPr>
              <w:pStyle w:val="12"/>
              <w:rPr>
                <w:rStyle w:val="10"/>
                <w:kern w:val="0"/>
              </w:rPr>
            </w:pPr>
            <w:r>
              <w:rPr>
                <w:rStyle w:val="10"/>
                <w:rFonts w:hint="eastAsia" w:hAnsi="宋体"/>
                <w:kern w:val="0"/>
                <w:sz w:val="24"/>
                <w:szCs w:val="24"/>
              </w:rPr>
              <w:t>项目风险预测与防范，事故应急预案</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EC4EADA">
            <w:pPr>
              <w:pStyle w:val="12"/>
              <w:jc w:val="center"/>
              <w:rPr>
                <w:rStyle w:val="10"/>
              </w:rPr>
            </w:pPr>
            <w:r>
              <w:rPr>
                <w:rStyle w:val="10"/>
                <w:rFonts w:hAnsi="宋体"/>
                <w:kern w:val="0"/>
                <w:sz w:val="24"/>
                <w:szCs w:val="24"/>
              </w:rPr>
              <w:t>2</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285891C7">
            <w:pPr>
              <w:pStyle w:val="12"/>
              <w:rPr>
                <w:rStyle w:val="10"/>
              </w:rPr>
            </w:pPr>
            <w:r>
              <w:rPr>
                <w:rStyle w:val="10"/>
                <w:rFonts w:hint="eastAsia" w:hAnsi="宋体"/>
                <w:kern w:val="0"/>
                <w:sz w:val="24"/>
                <w:szCs w:val="24"/>
              </w:rPr>
              <w:t>对项目风险有充分预测，有相应的防范措施，事故应急预案齐全、切实可行，得满分2分，否则根据其整体情况酌情扣减0-0.8分。</w:t>
            </w:r>
          </w:p>
        </w:tc>
      </w:tr>
      <w:tr w14:paraId="37633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85" w:type="dxa"/>
            <w:vMerge w:val="restart"/>
            <w:tcBorders>
              <w:right w:val="single" w:color="auto" w:sz="4" w:space="0"/>
            </w:tcBorders>
            <w:noWrap w:val="0"/>
            <w:vAlign w:val="center"/>
          </w:tcPr>
          <w:p w14:paraId="27B4797B">
            <w:pPr>
              <w:jc w:val="center"/>
              <w:rPr>
                <w:rFonts w:hAnsi="宋体"/>
                <w:szCs w:val="24"/>
              </w:rPr>
            </w:pPr>
            <w:r>
              <w:rPr>
                <w:rFonts w:hint="eastAsia" w:hAnsi="宋体"/>
                <w:szCs w:val="24"/>
              </w:rPr>
              <w:t>2.2.2(2)</w:t>
            </w:r>
          </w:p>
        </w:tc>
        <w:tc>
          <w:tcPr>
            <w:tcW w:w="1140" w:type="dxa"/>
            <w:gridSpan w:val="2"/>
            <w:vMerge w:val="restart"/>
            <w:tcBorders>
              <w:left w:val="single" w:color="auto" w:sz="4" w:space="0"/>
              <w:right w:val="single" w:color="auto" w:sz="4" w:space="0"/>
            </w:tcBorders>
            <w:noWrap w:val="0"/>
            <w:vAlign w:val="center"/>
          </w:tcPr>
          <w:p w14:paraId="3DE76F9C">
            <w:pPr>
              <w:jc w:val="center"/>
              <w:rPr>
                <w:rFonts w:hAnsi="宋体"/>
                <w:szCs w:val="24"/>
              </w:rPr>
            </w:pPr>
            <w:r>
              <w:rPr>
                <w:rFonts w:hint="eastAsia" w:hAnsi="宋体"/>
                <w:szCs w:val="24"/>
              </w:rPr>
              <w:t>主要人员</w:t>
            </w:r>
          </w:p>
        </w:tc>
        <w:tc>
          <w:tcPr>
            <w:tcW w:w="934" w:type="dxa"/>
            <w:vMerge w:val="restart"/>
            <w:tcBorders>
              <w:left w:val="single" w:color="auto" w:sz="4" w:space="0"/>
              <w:right w:val="single" w:color="auto" w:sz="4" w:space="0"/>
            </w:tcBorders>
            <w:noWrap w:val="0"/>
            <w:vAlign w:val="center"/>
          </w:tcPr>
          <w:p w14:paraId="11CAF70A">
            <w:pPr>
              <w:jc w:val="center"/>
              <w:rPr>
                <w:rFonts w:hAnsi="宋体"/>
                <w:szCs w:val="24"/>
              </w:rPr>
            </w:pPr>
            <w:r>
              <w:rPr>
                <w:rFonts w:hint="eastAsia" w:hAnsi="宋体"/>
                <w:szCs w:val="24"/>
              </w:rPr>
              <w:t>30分</w:t>
            </w:r>
          </w:p>
        </w:tc>
        <w:tc>
          <w:tcPr>
            <w:tcW w:w="1559" w:type="dxa"/>
            <w:tcBorders>
              <w:left w:val="single" w:color="auto" w:sz="4" w:space="0"/>
              <w:bottom w:val="single" w:color="auto" w:sz="4" w:space="0"/>
              <w:right w:val="single" w:color="auto" w:sz="4" w:space="0"/>
            </w:tcBorders>
            <w:noWrap w:val="0"/>
            <w:vAlign w:val="center"/>
          </w:tcPr>
          <w:p w14:paraId="3DCB5E4A">
            <w:pPr>
              <w:pStyle w:val="12"/>
              <w:jc w:val="center"/>
              <w:rPr>
                <w:rFonts w:hAnsi="宋体" w:cs="宋体"/>
                <w:kern w:val="0"/>
                <w:sz w:val="24"/>
                <w:szCs w:val="24"/>
                <w:lang w:val="zh-CN" w:bidi="zh-CN"/>
              </w:rPr>
            </w:pPr>
            <w:r>
              <w:rPr>
                <w:rStyle w:val="10"/>
                <w:rFonts w:hint="eastAsia" w:hAnsi="宋体"/>
                <w:kern w:val="0"/>
                <w:sz w:val="24"/>
                <w:szCs w:val="24"/>
              </w:rPr>
              <w:t>项目经理任职资格与业绩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0AD25A">
            <w:pPr>
              <w:pStyle w:val="12"/>
              <w:jc w:val="center"/>
              <w:rPr>
                <w:rFonts w:hAnsi="宋体" w:cs="宋体"/>
                <w:kern w:val="0"/>
                <w:sz w:val="24"/>
                <w:szCs w:val="24"/>
                <w:lang w:bidi="zh-CN"/>
              </w:rPr>
            </w:pPr>
            <w:r>
              <w:rPr>
                <w:rStyle w:val="10"/>
                <w:rFonts w:hint="eastAsia" w:hAnsi="宋体"/>
                <w:kern w:val="0"/>
                <w:sz w:val="24"/>
                <w:szCs w:val="24"/>
              </w:rPr>
              <w:t>15分</w:t>
            </w:r>
          </w:p>
        </w:tc>
        <w:tc>
          <w:tcPr>
            <w:tcW w:w="4606" w:type="dxa"/>
            <w:tcBorders>
              <w:top w:val="single" w:color="auto" w:sz="4" w:space="0"/>
              <w:left w:val="single" w:color="auto" w:sz="4" w:space="0"/>
              <w:bottom w:val="single" w:color="auto" w:sz="4" w:space="0"/>
            </w:tcBorders>
            <w:noWrap w:val="0"/>
            <w:vAlign w:val="center"/>
          </w:tcPr>
          <w:p w14:paraId="68ECBD20">
            <w:pPr>
              <w:pStyle w:val="12"/>
              <w:rPr>
                <w:rStyle w:val="10"/>
              </w:rPr>
            </w:pPr>
            <w:r>
              <w:rPr>
                <w:rStyle w:val="10"/>
                <w:rFonts w:hint="eastAsia" w:hAnsi="宋体"/>
                <w:kern w:val="0"/>
                <w:sz w:val="24"/>
                <w:szCs w:val="24"/>
              </w:rPr>
              <w:t>满足基本要求，得9分；每承担1个类似工程施工项目的项目经理、项目总工或项目副经理、项目副总工任职经历加6分，满分15分。</w:t>
            </w:r>
          </w:p>
        </w:tc>
      </w:tr>
      <w:tr w14:paraId="5595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85" w:type="dxa"/>
            <w:vMerge w:val="continue"/>
            <w:tcBorders>
              <w:right w:val="single" w:color="auto" w:sz="4" w:space="0"/>
            </w:tcBorders>
            <w:noWrap w:val="0"/>
            <w:vAlign w:val="center"/>
          </w:tcPr>
          <w:p w14:paraId="6ACE97F4">
            <w:pPr>
              <w:jc w:val="center"/>
              <w:rPr>
                <w:rFonts w:hint="eastAsia" w:hAnsi="宋体"/>
                <w:szCs w:val="24"/>
              </w:rPr>
            </w:pPr>
          </w:p>
        </w:tc>
        <w:tc>
          <w:tcPr>
            <w:tcW w:w="1140" w:type="dxa"/>
            <w:gridSpan w:val="2"/>
            <w:vMerge w:val="continue"/>
            <w:tcBorders>
              <w:left w:val="single" w:color="auto" w:sz="4" w:space="0"/>
              <w:right w:val="single" w:color="auto" w:sz="4" w:space="0"/>
            </w:tcBorders>
            <w:noWrap w:val="0"/>
            <w:vAlign w:val="center"/>
          </w:tcPr>
          <w:p w14:paraId="519F3460">
            <w:pPr>
              <w:jc w:val="center"/>
              <w:rPr>
                <w:rFonts w:hint="eastAsia" w:hAnsi="宋体"/>
                <w:szCs w:val="24"/>
              </w:rPr>
            </w:pPr>
          </w:p>
        </w:tc>
        <w:tc>
          <w:tcPr>
            <w:tcW w:w="934" w:type="dxa"/>
            <w:vMerge w:val="continue"/>
            <w:tcBorders>
              <w:left w:val="single" w:color="auto" w:sz="4" w:space="0"/>
              <w:right w:val="single" w:color="auto" w:sz="4" w:space="0"/>
            </w:tcBorders>
            <w:noWrap w:val="0"/>
            <w:vAlign w:val="center"/>
          </w:tcPr>
          <w:p w14:paraId="0E9DEB25">
            <w:pPr>
              <w:jc w:val="center"/>
              <w:rPr>
                <w:rFonts w:hint="eastAsia" w:hAnsi="宋体"/>
                <w:szCs w:val="24"/>
              </w:rPr>
            </w:pPr>
          </w:p>
        </w:tc>
        <w:tc>
          <w:tcPr>
            <w:tcW w:w="1559" w:type="dxa"/>
            <w:tcBorders>
              <w:left w:val="single" w:color="auto" w:sz="4" w:space="0"/>
              <w:bottom w:val="single" w:color="auto" w:sz="4" w:space="0"/>
              <w:right w:val="single" w:color="auto" w:sz="4" w:space="0"/>
            </w:tcBorders>
            <w:noWrap w:val="0"/>
            <w:vAlign w:val="center"/>
          </w:tcPr>
          <w:p w14:paraId="140A8ACA">
            <w:pPr>
              <w:pStyle w:val="12"/>
              <w:rPr>
                <w:rStyle w:val="10"/>
                <w:rFonts w:hint="eastAsia" w:hAnsi="宋体"/>
                <w:kern w:val="0"/>
                <w:sz w:val="24"/>
                <w:szCs w:val="24"/>
              </w:rPr>
            </w:pPr>
            <w:r>
              <w:rPr>
                <w:rStyle w:val="10"/>
                <w:rFonts w:hint="eastAsia" w:hAnsi="宋体"/>
                <w:kern w:val="0"/>
                <w:sz w:val="24"/>
                <w:szCs w:val="24"/>
              </w:rPr>
              <w:t>项目总工任职资格与业绩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E68B901">
            <w:pPr>
              <w:pStyle w:val="12"/>
              <w:jc w:val="center"/>
              <w:rPr>
                <w:rStyle w:val="10"/>
                <w:rFonts w:hint="eastAsia" w:hAnsi="宋体"/>
                <w:kern w:val="0"/>
                <w:sz w:val="24"/>
                <w:szCs w:val="24"/>
              </w:rPr>
            </w:pPr>
            <w:r>
              <w:rPr>
                <w:rStyle w:val="10"/>
                <w:rFonts w:hAnsi="宋体"/>
                <w:kern w:val="0"/>
                <w:sz w:val="24"/>
                <w:szCs w:val="24"/>
              </w:rPr>
              <w:t>10</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53F4AB6A">
            <w:pPr>
              <w:pStyle w:val="12"/>
              <w:rPr>
                <w:rStyle w:val="10"/>
                <w:rFonts w:hint="eastAsia" w:hAnsi="宋体"/>
                <w:kern w:val="0"/>
                <w:sz w:val="24"/>
                <w:szCs w:val="24"/>
              </w:rPr>
            </w:pPr>
            <w:r>
              <w:rPr>
                <w:rStyle w:val="10"/>
                <w:rFonts w:hint="eastAsia" w:hAnsi="宋体"/>
                <w:kern w:val="0"/>
                <w:sz w:val="24"/>
                <w:szCs w:val="24"/>
              </w:rPr>
              <w:t>满足基本要求，得6分；每承担1个类似工程施工项目的项目经理、项目总工或项目副经理、项目副总工任职经历加4分，满分10分。</w:t>
            </w:r>
          </w:p>
        </w:tc>
      </w:tr>
      <w:tr w14:paraId="67BA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85" w:type="dxa"/>
            <w:vMerge w:val="continue"/>
            <w:tcBorders>
              <w:right w:val="single" w:color="auto" w:sz="4" w:space="0"/>
            </w:tcBorders>
            <w:noWrap w:val="0"/>
            <w:vAlign w:val="center"/>
          </w:tcPr>
          <w:p w14:paraId="2A31FE5B">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060A37B2">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74C9E846">
            <w:pPr>
              <w:jc w:val="center"/>
              <w:rPr>
                <w:rFonts w:hAnsi="宋体"/>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D0B00D">
            <w:pPr>
              <w:pStyle w:val="12"/>
              <w:rPr>
                <w:rStyle w:val="10"/>
              </w:rPr>
            </w:pPr>
            <w:r>
              <w:rPr>
                <w:rStyle w:val="10"/>
                <w:rFonts w:hint="eastAsia" w:hAnsi="宋体"/>
                <w:kern w:val="0"/>
                <w:sz w:val="24"/>
                <w:szCs w:val="24"/>
              </w:rPr>
              <w:t>安全生产负责人任职资格与业绩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C50ECED">
            <w:pPr>
              <w:pStyle w:val="12"/>
              <w:jc w:val="center"/>
              <w:rPr>
                <w:rStyle w:val="10"/>
              </w:rPr>
            </w:pPr>
            <w:r>
              <w:rPr>
                <w:rStyle w:val="10"/>
                <w:rFonts w:hAnsi="宋体"/>
                <w:kern w:val="0"/>
                <w:sz w:val="24"/>
                <w:szCs w:val="24"/>
              </w:rPr>
              <w:t>5</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7717C4E0">
            <w:pPr>
              <w:pStyle w:val="12"/>
              <w:rPr>
                <w:rStyle w:val="10"/>
                <w:rFonts w:hAnsi="宋体"/>
                <w:kern w:val="0"/>
                <w:sz w:val="24"/>
                <w:szCs w:val="24"/>
              </w:rPr>
            </w:pPr>
            <w:r>
              <w:rPr>
                <w:rStyle w:val="10"/>
                <w:rFonts w:hint="eastAsia" w:hAnsi="宋体"/>
                <w:kern w:val="0"/>
                <w:sz w:val="24"/>
                <w:szCs w:val="24"/>
              </w:rPr>
              <w:t>满足基本要求，得</w:t>
            </w:r>
            <w:r>
              <w:rPr>
                <w:rStyle w:val="10"/>
                <w:rFonts w:hAnsi="宋体"/>
                <w:kern w:val="0"/>
                <w:sz w:val="24"/>
                <w:szCs w:val="24"/>
              </w:rPr>
              <w:t>3</w:t>
            </w:r>
            <w:r>
              <w:rPr>
                <w:rStyle w:val="10"/>
                <w:rFonts w:hint="eastAsia" w:hAnsi="宋体"/>
                <w:kern w:val="0"/>
                <w:sz w:val="24"/>
                <w:szCs w:val="24"/>
              </w:rPr>
              <w:t>分；每承担1个类似工程施工项目的安全生产负责人、安全工程师或专职安全员任职经历加</w:t>
            </w:r>
            <w:r>
              <w:rPr>
                <w:rStyle w:val="10"/>
                <w:rFonts w:hAnsi="宋体"/>
                <w:kern w:val="0"/>
                <w:sz w:val="24"/>
                <w:szCs w:val="24"/>
              </w:rPr>
              <w:t>2</w:t>
            </w:r>
            <w:r>
              <w:rPr>
                <w:rStyle w:val="10"/>
                <w:rFonts w:hint="eastAsia" w:hAnsi="宋体"/>
                <w:kern w:val="0"/>
                <w:sz w:val="24"/>
                <w:szCs w:val="24"/>
              </w:rPr>
              <w:t>分，满分</w:t>
            </w:r>
            <w:r>
              <w:rPr>
                <w:rStyle w:val="10"/>
                <w:rFonts w:hAnsi="宋体"/>
                <w:kern w:val="0"/>
                <w:sz w:val="24"/>
                <w:szCs w:val="24"/>
              </w:rPr>
              <w:t>5</w:t>
            </w:r>
            <w:r>
              <w:rPr>
                <w:rStyle w:val="10"/>
                <w:rFonts w:hint="eastAsia" w:hAnsi="宋体"/>
                <w:kern w:val="0"/>
                <w:sz w:val="24"/>
                <w:szCs w:val="24"/>
              </w:rPr>
              <w:t>分。</w:t>
            </w:r>
          </w:p>
        </w:tc>
      </w:tr>
      <w:tr w14:paraId="3C047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85" w:type="dxa"/>
            <w:vMerge w:val="restart"/>
            <w:tcBorders>
              <w:right w:val="single" w:color="auto" w:sz="4" w:space="0"/>
            </w:tcBorders>
            <w:noWrap w:val="0"/>
            <w:vAlign w:val="center"/>
          </w:tcPr>
          <w:p w14:paraId="65659549">
            <w:pPr>
              <w:jc w:val="center"/>
              <w:rPr>
                <w:rFonts w:hAnsi="宋体"/>
                <w:szCs w:val="24"/>
              </w:rPr>
            </w:pPr>
            <w:r>
              <w:rPr>
                <w:rFonts w:hint="eastAsia" w:hAnsi="宋体"/>
                <w:szCs w:val="24"/>
              </w:rPr>
              <w:t>2.2.2(3)</w:t>
            </w:r>
          </w:p>
        </w:tc>
        <w:tc>
          <w:tcPr>
            <w:tcW w:w="1140" w:type="dxa"/>
            <w:gridSpan w:val="2"/>
            <w:vMerge w:val="restart"/>
            <w:tcBorders>
              <w:left w:val="single" w:color="auto" w:sz="4" w:space="0"/>
              <w:right w:val="single" w:color="auto" w:sz="4" w:space="0"/>
            </w:tcBorders>
            <w:noWrap w:val="0"/>
            <w:vAlign w:val="center"/>
          </w:tcPr>
          <w:p w14:paraId="56E0B42E">
            <w:pPr>
              <w:jc w:val="center"/>
              <w:rPr>
                <w:rFonts w:hAnsi="宋体"/>
                <w:szCs w:val="24"/>
              </w:rPr>
            </w:pPr>
            <w:r>
              <w:rPr>
                <w:rFonts w:hint="eastAsia" w:hAnsi="宋体"/>
                <w:szCs w:val="24"/>
              </w:rPr>
              <w:t>其他因素</w:t>
            </w:r>
          </w:p>
        </w:tc>
        <w:tc>
          <w:tcPr>
            <w:tcW w:w="934" w:type="dxa"/>
            <w:vMerge w:val="restart"/>
            <w:tcBorders>
              <w:left w:val="single" w:color="auto" w:sz="4" w:space="0"/>
              <w:right w:val="single" w:color="auto" w:sz="4" w:space="0"/>
            </w:tcBorders>
            <w:noWrap w:val="0"/>
            <w:vAlign w:val="center"/>
          </w:tcPr>
          <w:p w14:paraId="69EBC3D3">
            <w:pPr>
              <w:pStyle w:val="12"/>
              <w:jc w:val="center"/>
              <w:rPr>
                <w:rFonts w:hAnsi="宋体"/>
                <w:sz w:val="24"/>
                <w:szCs w:val="24"/>
              </w:rPr>
            </w:pPr>
            <w:r>
              <w:rPr>
                <w:rStyle w:val="10"/>
                <w:rFonts w:hint="eastAsia" w:hAnsi="宋体"/>
                <w:kern w:val="0"/>
                <w:sz w:val="24"/>
                <w:szCs w:val="24"/>
              </w:rPr>
              <w:t>30分</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614A832">
            <w:pPr>
              <w:pStyle w:val="12"/>
              <w:jc w:val="center"/>
              <w:rPr>
                <w:rFonts w:hAnsi="宋体" w:cs="宋体"/>
                <w:kern w:val="0"/>
                <w:sz w:val="24"/>
                <w:szCs w:val="24"/>
                <w:lang w:val="zh-CN" w:bidi="zh-CN"/>
              </w:rPr>
            </w:pPr>
            <w:r>
              <w:rPr>
                <w:rStyle w:val="10"/>
                <w:rFonts w:hint="eastAsia" w:hAnsi="宋体"/>
                <w:kern w:val="0"/>
                <w:sz w:val="24"/>
                <w:szCs w:val="24"/>
              </w:rPr>
              <w:t>业</w:t>
            </w:r>
            <w:r>
              <w:rPr>
                <w:rStyle w:val="10"/>
                <w:rFonts w:hAnsi="宋体"/>
                <w:kern w:val="0"/>
                <w:sz w:val="24"/>
                <w:szCs w:val="24"/>
              </w:rPr>
              <w:t xml:space="preserve">  </w:t>
            </w:r>
            <w:r>
              <w:rPr>
                <w:rStyle w:val="10"/>
                <w:rFonts w:hint="eastAsia" w:hAnsi="宋体"/>
                <w:kern w:val="0"/>
                <w:sz w:val="24"/>
                <w:szCs w:val="24"/>
              </w:rPr>
              <w:t>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EB92771">
            <w:pPr>
              <w:pStyle w:val="12"/>
              <w:jc w:val="center"/>
              <w:rPr>
                <w:rFonts w:hAnsi="宋体" w:cs="宋体"/>
                <w:kern w:val="0"/>
                <w:sz w:val="24"/>
                <w:szCs w:val="24"/>
                <w:lang w:bidi="zh-CN"/>
              </w:rPr>
            </w:pPr>
            <w:r>
              <w:rPr>
                <w:rStyle w:val="10"/>
                <w:rFonts w:hint="eastAsia" w:hAnsi="宋体"/>
                <w:kern w:val="0"/>
                <w:sz w:val="24"/>
                <w:szCs w:val="24"/>
              </w:rPr>
              <w:t>25分</w:t>
            </w:r>
          </w:p>
        </w:tc>
        <w:tc>
          <w:tcPr>
            <w:tcW w:w="4606" w:type="dxa"/>
            <w:tcBorders>
              <w:top w:val="single" w:color="auto" w:sz="4" w:space="0"/>
              <w:left w:val="single" w:color="auto" w:sz="4" w:space="0"/>
              <w:bottom w:val="single" w:color="auto" w:sz="4" w:space="0"/>
            </w:tcBorders>
            <w:noWrap w:val="0"/>
            <w:vAlign w:val="center"/>
          </w:tcPr>
          <w:p w14:paraId="55FC2C8D">
            <w:pPr>
              <w:pStyle w:val="12"/>
              <w:rPr>
                <w:rFonts w:hAnsi="宋体" w:cs="宋体"/>
                <w:kern w:val="0"/>
                <w:sz w:val="24"/>
                <w:szCs w:val="24"/>
                <w:lang w:val="zh-CN" w:bidi="zh-CN"/>
              </w:rPr>
            </w:pPr>
            <w:r>
              <w:rPr>
                <w:rStyle w:val="10"/>
                <w:rFonts w:hint="eastAsia" w:hAnsi="宋体"/>
                <w:kern w:val="0"/>
                <w:sz w:val="24"/>
                <w:szCs w:val="24"/>
              </w:rPr>
              <w:t>满足基本要求得15分；每增加一项类似项目业绩加5分，满分25分。</w:t>
            </w:r>
          </w:p>
        </w:tc>
      </w:tr>
      <w:tr w14:paraId="4400C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85" w:type="dxa"/>
            <w:vMerge w:val="continue"/>
            <w:tcBorders>
              <w:right w:val="single" w:color="auto" w:sz="4" w:space="0"/>
            </w:tcBorders>
            <w:noWrap w:val="0"/>
            <w:vAlign w:val="center"/>
          </w:tcPr>
          <w:p w14:paraId="01A8738D">
            <w:pPr>
              <w:jc w:val="center"/>
              <w:rPr>
                <w:rFonts w:hAnsi="宋体"/>
                <w:szCs w:val="24"/>
              </w:rPr>
            </w:pPr>
          </w:p>
        </w:tc>
        <w:tc>
          <w:tcPr>
            <w:tcW w:w="1140" w:type="dxa"/>
            <w:gridSpan w:val="2"/>
            <w:vMerge w:val="continue"/>
            <w:tcBorders>
              <w:left w:val="single" w:color="auto" w:sz="4" w:space="0"/>
              <w:right w:val="single" w:color="auto" w:sz="4" w:space="0"/>
            </w:tcBorders>
            <w:noWrap w:val="0"/>
            <w:vAlign w:val="center"/>
          </w:tcPr>
          <w:p w14:paraId="5F585B15">
            <w:pPr>
              <w:jc w:val="center"/>
              <w:rPr>
                <w:rFonts w:hAnsi="宋体"/>
                <w:szCs w:val="24"/>
              </w:rPr>
            </w:pPr>
          </w:p>
        </w:tc>
        <w:tc>
          <w:tcPr>
            <w:tcW w:w="934" w:type="dxa"/>
            <w:vMerge w:val="continue"/>
            <w:tcBorders>
              <w:left w:val="single" w:color="auto" w:sz="4" w:space="0"/>
              <w:right w:val="single" w:color="auto" w:sz="4" w:space="0"/>
            </w:tcBorders>
            <w:noWrap w:val="0"/>
            <w:vAlign w:val="center"/>
          </w:tcPr>
          <w:p w14:paraId="205A1D18">
            <w:pPr>
              <w:pStyle w:val="12"/>
              <w:jc w:val="center"/>
              <w:rPr>
                <w:rStyle w:val="10"/>
                <w:rFonts w:hAnsi="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D639B0">
            <w:pPr>
              <w:pStyle w:val="12"/>
              <w:jc w:val="center"/>
              <w:rPr>
                <w:rStyle w:val="10"/>
                <w:rFonts w:hAnsi="宋体"/>
                <w:kern w:val="0"/>
                <w:sz w:val="24"/>
                <w:szCs w:val="24"/>
              </w:rPr>
            </w:pPr>
            <w:r>
              <w:rPr>
                <w:rStyle w:val="10"/>
                <w:rFonts w:hint="eastAsia" w:hAnsi="宋体"/>
                <w:kern w:val="0"/>
                <w:sz w:val="24"/>
                <w:szCs w:val="24"/>
              </w:rPr>
              <w:t>履约信誉</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74310E4">
            <w:pPr>
              <w:pStyle w:val="12"/>
              <w:jc w:val="center"/>
              <w:rPr>
                <w:rStyle w:val="10"/>
                <w:rFonts w:hAnsi="宋体"/>
                <w:kern w:val="0"/>
                <w:sz w:val="24"/>
                <w:szCs w:val="24"/>
              </w:rPr>
            </w:pPr>
            <w:r>
              <w:rPr>
                <w:rStyle w:val="10"/>
                <w:rFonts w:hAnsi="宋体"/>
                <w:kern w:val="0"/>
                <w:sz w:val="24"/>
                <w:szCs w:val="24"/>
              </w:rPr>
              <w:t>5</w:t>
            </w:r>
            <w:r>
              <w:rPr>
                <w:rStyle w:val="10"/>
                <w:rFonts w:hint="eastAsia" w:hAnsi="宋体"/>
                <w:kern w:val="0"/>
                <w:sz w:val="24"/>
                <w:szCs w:val="24"/>
              </w:rPr>
              <w:t>分</w:t>
            </w:r>
          </w:p>
        </w:tc>
        <w:tc>
          <w:tcPr>
            <w:tcW w:w="4606" w:type="dxa"/>
            <w:tcBorders>
              <w:top w:val="single" w:color="auto" w:sz="4" w:space="0"/>
              <w:left w:val="single" w:color="auto" w:sz="4" w:space="0"/>
              <w:bottom w:val="single" w:color="auto" w:sz="4" w:space="0"/>
            </w:tcBorders>
            <w:noWrap w:val="0"/>
            <w:vAlign w:val="center"/>
          </w:tcPr>
          <w:p w14:paraId="29254036">
            <w:pPr>
              <w:pStyle w:val="12"/>
              <w:rPr>
                <w:rStyle w:val="10"/>
                <w:rFonts w:hAnsi="宋体"/>
                <w:kern w:val="0"/>
                <w:sz w:val="24"/>
                <w:szCs w:val="24"/>
              </w:rPr>
            </w:pPr>
            <w:r>
              <w:rPr>
                <w:rStyle w:val="10"/>
                <w:rFonts w:hint="eastAsia" w:hAnsi="宋体" w:cs="宋体"/>
                <w:kern w:val="0"/>
                <w:sz w:val="24"/>
                <w:szCs w:val="24"/>
              </w:rPr>
              <w:t>满足履约信誉要求，得</w:t>
            </w:r>
            <w:r>
              <w:rPr>
                <w:rStyle w:val="10"/>
                <w:rFonts w:hAnsi="宋体"/>
                <w:kern w:val="0"/>
                <w:sz w:val="24"/>
                <w:szCs w:val="24"/>
              </w:rPr>
              <w:t>5</w:t>
            </w:r>
            <w:r>
              <w:rPr>
                <w:rStyle w:val="10"/>
                <w:rFonts w:hint="eastAsia" w:hAnsi="宋体" w:cs="宋体"/>
                <w:kern w:val="0"/>
                <w:sz w:val="24"/>
                <w:szCs w:val="24"/>
              </w:rPr>
              <w:t>分。</w:t>
            </w:r>
          </w:p>
        </w:tc>
      </w:tr>
      <w:tr w14:paraId="725F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75" w:type="dxa"/>
            <w:gridSpan w:val="7"/>
            <w:noWrap w:val="0"/>
            <w:vAlign w:val="top"/>
          </w:tcPr>
          <w:p w14:paraId="65A4E843">
            <w:pPr>
              <w:autoSpaceDE w:val="0"/>
              <w:autoSpaceDN w:val="0"/>
              <w:spacing w:after="120" w:line="460" w:lineRule="exact"/>
              <w:jc w:val="left"/>
              <w:rPr>
                <w:rFonts w:hAnsi="宋体" w:cs="宋体"/>
                <w:spacing w:val="-4"/>
                <w:szCs w:val="24"/>
                <w:lang w:val="zh-CN" w:bidi="zh-CN"/>
              </w:rPr>
            </w:pPr>
            <w:r>
              <w:rPr>
                <w:rFonts w:hAnsi="宋体" w:cs="宋体"/>
                <w:spacing w:val="-4"/>
                <w:szCs w:val="24"/>
                <w:lang w:val="zh-CN" w:bidi="zh-CN"/>
              </w:rPr>
              <w:t>需要补充的其他内容：</w:t>
            </w:r>
            <w:r>
              <w:rPr>
                <w:rFonts w:hint="eastAsia" w:hAnsi="宋体" w:cs="宋体"/>
                <w:spacing w:val="-4"/>
                <w:szCs w:val="24"/>
                <w:lang w:val="zh-CN" w:bidi="zh-CN"/>
              </w:rPr>
              <w:t>无</w:t>
            </w:r>
          </w:p>
        </w:tc>
      </w:tr>
    </w:tbl>
    <w:p w14:paraId="57D37728">
      <w:pPr>
        <w:pStyle w:val="5"/>
        <w:ind w:firstLine="240" w:firstLineChars="100"/>
        <w:jc w:val="center"/>
        <w:rPr>
          <w:sz w:val="24"/>
          <w:szCs w:val="24"/>
        </w:rPr>
      </w:pPr>
    </w:p>
    <w:p w14:paraId="4E5D9057">
      <w:pPr>
        <w:spacing w:line="360" w:lineRule="auto"/>
        <w:ind w:firstLine="422" w:firstLineChars="176"/>
        <w:rPr>
          <w:rFonts w:hint="eastAsia" w:hAnsi="宋体" w:cs="宋体"/>
          <w:bCs/>
          <w:szCs w:val="24"/>
        </w:rPr>
      </w:pPr>
      <w:r>
        <w:rPr>
          <w:rFonts w:hint="eastAsia" w:hAnsi="宋体" w:cs="宋体"/>
          <w:bCs/>
          <w:szCs w:val="24"/>
        </w:rPr>
        <w:t>评标办法正文内容见交通运输部《公路工程标准施工招标文件》(2018年版)</w:t>
      </w:r>
    </w:p>
    <w:p w14:paraId="3376EB89">
      <w:pPr>
        <w:pStyle w:val="5"/>
        <w:ind w:firstLine="240" w:firstLineChars="100"/>
        <w:jc w:val="center"/>
        <w:rPr>
          <w:rFonts w:hint="eastAsia"/>
          <w:sz w:val="24"/>
          <w:szCs w:val="24"/>
        </w:rPr>
      </w:pPr>
    </w:p>
    <w:p w14:paraId="771475A3">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25047"/>
    <w:rsid w:val="04A2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2"/>
    <w:basedOn w:val="1"/>
    <w:next w:val="1"/>
    <w:qFormat/>
    <w:uiPriority w:val="9"/>
    <w:pPr>
      <w:keepNext/>
      <w:keepLines/>
      <w:spacing w:before="260" w:after="260" w:line="480" w:lineRule="exact"/>
      <w:jc w:val="left"/>
      <w:outlineLvl w:val="1"/>
    </w:pPr>
    <w:rPr>
      <w:rFonts w:hAnsi="宋体" w:eastAsia="黑体"/>
      <w:bCs/>
      <w:iCs/>
      <w:kern w:val="2"/>
    </w:rPr>
  </w:style>
  <w:style w:type="paragraph" w:styleId="3">
    <w:name w:val="heading 3"/>
    <w:basedOn w:val="1"/>
    <w:next w:val="1"/>
    <w:qFormat/>
    <w:uiPriority w:val="9"/>
    <w:pPr>
      <w:keepNext/>
      <w:keepLines/>
      <w:widowControl/>
      <w:spacing w:before="120" w:after="120" w:line="360" w:lineRule="auto"/>
      <w:jc w:val="left"/>
      <w:outlineLvl w:val="2"/>
    </w:pPr>
    <w:rPr>
      <w:rFonts w:ascii="Times New Roman"/>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kern w:val="2"/>
      <w:sz w:val="21"/>
      <w:szCs w:val="24"/>
    </w:rPr>
  </w:style>
  <w:style w:type="paragraph" w:styleId="5">
    <w:name w:val="Plain Text"/>
    <w:basedOn w:val="1"/>
    <w:qFormat/>
    <w:uiPriority w:val="0"/>
    <w:rPr>
      <w:rFonts w:hAnsi="Courier New"/>
      <w:kern w:val="2"/>
      <w:sz w:val="21"/>
    </w:rPr>
  </w:style>
  <w:style w:type="paragraph" w:customStyle="1" w:styleId="8">
    <w:name w:val="样式 样式 左侧:  2 字符 + 左侧:  0.85 厘米 首行缩进:  2 字符1"/>
    <w:basedOn w:val="1"/>
    <w:qFormat/>
    <w:uiPriority w:val="0"/>
    <w:pPr>
      <w:ind w:left="482" w:firstLine="200" w:firstLineChars="200"/>
    </w:pPr>
    <w:rPr>
      <w:rFonts w:cs="宋体"/>
    </w:rPr>
  </w:style>
  <w:style w:type="paragraph" w:styleId="9">
    <w:name w:val="List Paragraph"/>
    <w:basedOn w:val="1"/>
    <w:qFormat/>
    <w:uiPriority w:val="1"/>
    <w:pPr>
      <w:ind w:firstLine="420" w:firstLineChars="200"/>
    </w:pPr>
  </w:style>
  <w:style w:type="character" w:customStyle="1" w:styleId="10">
    <w:name w:val="NormalCharacter"/>
    <w:qFormat/>
    <w:uiPriority w:val="0"/>
  </w:style>
  <w:style w:type="paragraph" w:customStyle="1" w:styleId="11">
    <w:name w:val="样式 标题 3 + 段前: 7.8 磅"/>
    <w:basedOn w:val="3"/>
    <w:qFormat/>
    <w:uiPriority w:val="99"/>
    <w:pPr>
      <w:keepNext w:val="0"/>
      <w:keepLines w:val="0"/>
      <w:spacing w:before="156" w:after="0"/>
      <w:ind w:left="2220" w:hanging="420"/>
    </w:pPr>
    <w:rPr>
      <w:rFonts w:cs="宋体"/>
      <w:b w:val="0"/>
      <w:sz w:val="24"/>
    </w:rPr>
  </w:style>
  <w:style w:type="paragraph" w:customStyle="1" w:styleId="12">
    <w:name w:val="PlainText"/>
    <w:basedOn w:val="1"/>
    <w:qFormat/>
    <w:uiPriority w:val="0"/>
    <w:rPr>
      <w:rFonts w:hAnsi="Courier New"/>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2025-06-27T07:33:00Z</dcterms:created>
  <dc:creator>NTKO</dc:creator>
  <cp:lastModifiedBy>NTKO</cp:lastModifiedBy>
  <dcterms:modified xsi:type="dcterms:W3CDTF">2025-06-27T07:33:28Z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2CE6E5AF2BDE4ED182F8158B03D8441F_11</vt:lpwstr>
  </property>
  <property fmtid="{D5CDD505-2E9C-101B-9397-08002B2CF9AE}" pid="4" name="KSOTemplateDocerSaveRecord">
    <vt:lpwstr>eyJoZGlkIjoiZGE2NzUyNDFlN2MzYzhmNWRiMDJlYjNhYjVhNzU0MjgiLCJ1c2VySWQiOiI0MDgxNzYzMDcifQ==</vt:lpwstr>
  </property>
</Properties>
</file>