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22AC2">
      <w:pPr>
        <w:pageBreakBefore w:val="0"/>
        <w:kinsoku/>
        <w:overflowPunct/>
        <w:bidi w:val="0"/>
        <w:spacing w:beforeLines="0" w:afterLines="0" w:line="360" w:lineRule="auto"/>
        <w:ind w:left="0" w:leftChars="0" w:right="0"/>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u w:val="single"/>
          <w:lang w:eastAsia="zh-CN"/>
        </w:rPr>
        <w:t>粤港澳大湾区—佛山市南海区电力管廊（一期）项目—佛山220千伏沥中输变电线路配套电力管廊建设工程预算审核（复审）</w:t>
      </w:r>
    </w:p>
    <w:p w14:paraId="72AF7219">
      <w:pPr>
        <w:pageBreakBefore w:val="0"/>
        <w:kinsoku/>
        <w:overflowPunct/>
        <w:bidi w:val="0"/>
        <w:spacing w:beforeLines="0" w:afterLines="0" w:line="360" w:lineRule="auto"/>
        <w:ind w:left="0" w:leftChars="0" w:right="0"/>
        <w:jc w:val="center"/>
        <w:rPr>
          <w:rFonts w:hint="eastAsia" w:ascii="宋体" w:hAnsi="宋体" w:eastAsia="宋体" w:cs="宋体"/>
          <w:b/>
          <w:snapToGrid w:val="0"/>
          <w:color w:val="auto"/>
          <w:kern w:val="0"/>
          <w:sz w:val="32"/>
          <w:highlight w:val="none"/>
        </w:rPr>
      </w:pPr>
    </w:p>
    <w:p w14:paraId="398DC19C">
      <w:pPr>
        <w:pageBreakBefore w:val="0"/>
        <w:kinsoku/>
        <w:overflowPunct/>
        <w:bidi w:val="0"/>
        <w:spacing w:beforeLines="0" w:afterLines="0" w:line="360" w:lineRule="auto"/>
        <w:ind w:left="0" w:leftChars="0" w:right="0"/>
        <w:jc w:val="center"/>
        <w:rPr>
          <w:rFonts w:hint="eastAsia" w:ascii="宋体" w:hAnsi="宋体" w:eastAsia="宋体" w:cs="宋体"/>
          <w:b/>
          <w:snapToGrid w:val="0"/>
          <w:color w:val="auto"/>
          <w:kern w:val="0"/>
          <w:sz w:val="32"/>
          <w:highlight w:val="none"/>
        </w:rPr>
      </w:pPr>
    </w:p>
    <w:p w14:paraId="40F53142">
      <w:pPr>
        <w:pageBreakBefore w:val="0"/>
        <w:kinsoku/>
        <w:overflowPunct/>
        <w:bidi w:val="0"/>
        <w:spacing w:beforeLines="0" w:afterLines="0" w:line="360" w:lineRule="auto"/>
        <w:ind w:left="0" w:leftChars="0" w:right="0"/>
        <w:jc w:val="center"/>
        <w:rPr>
          <w:rFonts w:hint="eastAsia" w:ascii="宋体" w:hAnsi="宋体" w:eastAsia="宋体" w:cs="宋体"/>
          <w:bCs/>
          <w:snapToGrid w:val="0"/>
          <w:color w:val="auto"/>
          <w:spacing w:val="80"/>
          <w:kern w:val="0"/>
          <w:sz w:val="84"/>
          <w:szCs w:val="84"/>
          <w:highlight w:val="none"/>
        </w:rPr>
      </w:pPr>
      <w:r>
        <w:rPr>
          <w:rFonts w:hint="eastAsia" w:ascii="宋体" w:hAnsi="宋体" w:eastAsia="宋体" w:cs="宋体"/>
          <w:bCs/>
          <w:snapToGrid w:val="0"/>
          <w:color w:val="auto"/>
          <w:spacing w:val="80"/>
          <w:kern w:val="0"/>
          <w:sz w:val="84"/>
          <w:szCs w:val="84"/>
          <w:highlight w:val="none"/>
        </w:rPr>
        <w:t>招标文件</w:t>
      </w:r>
    </w:p>
    <w:p w14:paraId="67493B83">
      <w:pPr>
        <w:pageBreakBefore w:val="0"/>
        <w:kinsoku/>
        <w:overflowPunct/>
        <w:bidi w:val="0"/>
        <w:spacing w:beforeLines="0" w:afterLines="0" w:line="360" w:lineRule="auto"/>
        <w:ind w:left="0" w:leftChars="0" w:right="0"/>
        <w:jc w:val="center"/>
        <w:rPr>
          <w:rFonts w:hint="eastAsia" w:ascii="宋体" w:hAnsi="宋体" w:eastAsia="宋体" w:cs="宋体"/>
          <w:b/>
          <w:snapToGrid w:val="0"/>
          <w:color w:val="auto"/>
          <w:kern w:val="0"/>
          <w:sz w:val="28"/>
          <w:szCs w:val="28"/>
          <w:highlight w:val="none"/>
        </w:rPr>
      </w:pPr>
    </w:p>
    <w:p w14:paraId="6E5F8008">
      <w:pPr>
        <w:pageBreakBefore w:val="0"/>
        <w:kinsoku/>
        <w:overflowPunct/>
        <w:bidi w:val="0"/>
        <w:spacing w:beforeLines="0" w:afterLines="0" w:line="360" w:lineRule="auto"/>
        <w:ind w:left="0" w:leftChars="0" w:right="0"/>
        <w:jc w:val="center"/>
        <w:rPr>
          <w:rFonts w:hint="eastAsia" w:ascii="宋体" w:hAnsi="宋体" w:eastAsia="宋体" w:cs="宋体"/>
          <w:b/>
          <w:snapToGrid w:val="0"/>
          <w:color w:val="auto"/>
          <w:kern w:val="0"/>
          <w:sz w:val="28"/>
          <w:szCs w:val="28"/>
          <w:highlight w:val="none"/>
        </w:rPr>
      </w:pPr>
    </w:p>
    <w:p w14:paraId="37FA5D9B">
      <w:pPr>
        <w:pageBreakBefore w:val="0"/>
        <w:kinsoku/>
        <w:overflowPunct/>
        <w:bidi w:val="0"/>
        <w:spacing w:beforeLines="0" w:afterLines="0" w:line="360" w:lineRule="auto"/>
        <w:ind w:left="0" w:leftChars="0" w:right="0"/>
        <w:jc w:val="center"/>
        <w:rPr>
          <w:rFonts w:hint="eastAsia" w:ascii="宋体" w:hAnsi="宋体" w:eastAsia="宋体" w:cs="宋体"/>
          <w:b/>
          <w:snapToGrid w:val="0"/>
          <w:color w:val="auto"/>
          <w:kern w:val="0"/>
          <w:sz w:val="32"/>
          <w:highlight w:val="none"/>
        </w:rPr>
      </w:pPr>
    </w:p>
    <w:p w14:paraId="65BC06C3">
      <w:pPr>
        <w:pageBreakBefore w:val="0"/>
        <w:kinsoku/>
        <w:overflowPunct/>
        <w:bidi w:val="0"/>
        <w:spacing w:beforeLines="0" w:afterLines="0" w:line="360" w:lineRule="auto"/>
        <w:ind w:left="0" w:leftChars="0" w:right="0"/>
        <w:jc w:val="center"/>
        <w:rPr>
          <w:rFonts w:hint="eastAsia" w:ascii="宋体" w:hAnsi="宋体" w:eastAsia="宋体" w:cs="宋体"/>
          <w:b/>
          <w:snapToGrid w:val="0"/>
          <w:color w:val="auto"/>
          <w:kern w:val="0"/>
          <w:sz w:val="32"/>
          <w:highlight w:val="none"/>
        </w:rPr>
      </w:pPr>
    </w:p>
    <w:p w14:paraId="5029C57A">
      <w:pPr>
        <w:pageBreakBefore w:val="0"/>
        <w:kinsoku/>
        <w:overflowPunct/>
        <w:bidi w:val="0"/>
        <w:spacing w:beforeLines="0" w:afterLines="0" w:line="360" w:lineRule="auto"/>
        <w:ind w:left="0" w:leftChars="0" w:right="0"/>
        <w:jc w:val="center"/>
        <w:rPr>
          <w:rFonts w:hint="eastAsia" w:ascii="宋体" w:hAnsi="宋体" w:eastAsia="宋体" w:cs="宋体"/>
          <w:b/>
          <w:snapToGrid w:val="0"/>
          <w:color w:val="auto"/>
          <w:kern w:val="0"/>
          <w:sz w:val="32"/>
          <w:highlight w:val="none"/>
        </w:rPr>
      </w:pPr>
    </w:p>
    <w:p w14:paraId="426845C8">
      <w:pPr>
        <w:pageBreakBefore w:val="0"/>
        <w:kinsoku/>
        <w:overflowPunct/>
        <w:bidi w:val="0"/>
        <w:snapToGrid w:val="0"/>
        <w:spacing w:beforeLines="0" w:afterLines="0" w:line="360" w:lineRule="auto"/>
        <w:ind w:left="0" w:leftChars="0" w:right="0" w:firstLine="837" w:firstLineChars="27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lang w:eastAsia="zh-CN"/>
        </w:rPr>
        <w:t>广东南海城建集团有限公司</w:t>
      </w:r>
      <w:r>
        <w:rPr>
          <w:rFonts w:hint="eastAsia" w:ascii="宋体" w:hAnsi="宋体" w:eastAsia="宋体" w:cs="宋体"/>
          <w:color w:val="auto"/>
          <w:sz w:val="30"/>
          <w:highlight w:val="none"/>
          <w:u w:val="single"/>
        </w:rPr>
        <w:t>（盖公章）</w:t>
      </w:r>
    </w:p>
    <w:p w14:paraId="56A16C85">
      <w:pPr>
        <w:pageBreakBefore w:val="0"/>
        <w:kinsoku/>
        <w:overflowPunct/>
        <w:bidi w:val="0"/>
        <w:snapToGrid w:val="0"/>
        <w:spacing w:beforeLines="0" w:afterLines="0" w:line="360" w:lineRule="auto"/>
        <w:ind w:left="0" w:leftChars="0" w:right="0" w:firstLine="837" w:firstLineChars="279"/>
        <w:rPr>
          <w:rFonts w:hint="eastAsia" w:ascii="宋体" w:hAnsi="宋体" w:eastAsia="宋体" w:cs="宋体"/>
          <w:color w:val="auto"/>
          <w:sz w:val="30"/>
          <w:highlight w:val="none"/>
          <w:u w:val="single"/>
        </w:rPr>
      </w:pPr>
    </w:p>
    <w:p w14:paraId="323AB6EA">
      <w:pPr>
        <w:pageBreakBefore w:val="0"/>
        <w:kinsoku/>
        <w:overflowPunct/>
        <w:bidi w:val="0"/>
        <w:snapToGrid w:val="0"/>
        <w:spacing w:beforeLines="0" w:afterLines="0" w:line="360" w:lineRule="auto"/>
        <w:ind w:left="0" w:leftChars="0" w:right="0" w:firstLine="837" w:firstLineChars="279"/>
        <w:rPr>
          <w:rFonts w:hint="eastAsia" w:ascii="宋体" w:hAnsi="宋体" w:eastAsia="宋体" w:cs="宋体"/>
          <w:color w:val="auto"/>
          <w:sz w:val="30"/>
          <w:highlight w:val="none"/>
          <w:u w:val="single"/>
        </w:rPr>
      </w:pPr>
    </w:p>
    <w:p w14:paraId="1C7BD20E">
      <w:pPr>
        <w:pageBreakBefore w:val="0"/>
        <w:kinsoku/>
        <w:overflowPunct/>
        <w:bidi w:val="0"/>
        <w:snapToGrid w:val="0"/>
        <w:spacing w:beforeLines="0" w:afterLines="0" w:line="360" w:lineRule="auto"/>
        <w:ind w:left="0" w:leftChars="0" w:right="0" w:firstLine="837" w:firstLineChars="27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招标代理机构：</w:t>
      </w:r>
      <w:r>
        <w:rPr>
          <w:rFonts w:hint="eastAsia" w:ascii="宋体" w:hAnsi="宋体" w:eastAsia="宋体" w:cs="宋体"/>
          <w:color w:val="auto"/>
          <w:sz w:val="30"/>
          <w:highlight w:val="none"/>
          <w:u w:val="single"/>
        </w:rPr>
        <w:t>健坤康乾工程咨询有限公司（盖公章）</w:t>
      </w:r>
    </w:p>
    <w:p w14:paraId="1742BEEC">
      <w:pPr>
        <w:pageBreakBefore w:val="0"/>
        <w:kinsoku/>
        <w:overflowPunct/>
        <w:bidi w:val="0"/>
        <w:snapToGrid w:val="0"/>
        <w:spacing w:beforeLines="0" w:afterLines="0" w:line="360" w:lineRule="auto"/>
        <w:ind w:left="0" w:leftChars="0" w:right="0" w:firstLine="1677" w:firstLineChars="559"/>
        <w:rPr>
          <w:rFonts w:hint="eastAsia" w:ascii="宋体" w:hAnsi="宋体" w:eastAsia="宋体" w:cs="宋体"/>
          <w:color w:val="auto"/>
          <w:sz w:val="30"/>
          <w:highlight w:val="none"/>
        </w:rPr>
      </w:pPr>
    </w:p>
    <w:p w14:paraId="04EE720F">
      <w:pPr>
        <w:pageBreakBefore w:val="0"/>
        <w:kinsoku/>
        <w:overflowPunct/>
        <w:bidi w:val="0"/>
        <w:spacing w:beforeLines="0" w:afterLines="0" w:line="360" w:lineRule="auto"/>
        <w:ind w:left="0" w:leftChars="0" w:right="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u w:val="none"/>
          <w:lang w:eastAsia="zh-CN"/>
        </w:rPr>
        <w:t>年</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u w:val="none"/>
          <w:lang w:eastAsia="zh-CN"/>
        </w:rPr>
        <w:t>月</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u w:val="none"/>
          <w:lang w:eastAsia="zh-CN"/>
        </w:rPr>
        <w:t>日</w:t>
      </w:r>
    </w:p>
    <w:p w14:paraId="0B8905CD">
      <w:pPr>
        <w:pageBreakBefore w:val="0"/>
        <w:kinsoku/>
        <w:overflowPunct/>
        <w:bidi w:val="0"/>
        <w:spacing w:beforeLines="0" w:afterLines="0" w:line="360" w:lineRule="auto"/>
        <w:ind w:left="0" w:leftChars="0" w:right="0"/>
        <w:rPr>
          <w:rFonts w:hint="eastAsia" w:ascii="宋体" w:hAnsi="宋体" w:eastAsia="宋体" w:cs="宋体"/>
          <w:color w:val="auto"/>
          <w:highlight w:val="none"/>
        </w:rPr>
        <w:sectPr>
          <w:pgSz w:w="11906" w:h="16838"/>
          <w:pgMar w:top="1440" w:right="1080" w:bottom="1440" w:left="1080" w:header="851" w:footer="992" w:gutter="0"/>
          <w:cols w:space="720" w:num="1"/>
          <w:docGrid w:type="lines" w:linePitch="312" w:charSpace="0"/>
        </w:sectPr>
      </w:pPr>
    </w:p>
    <w:p w14:paraId="54E48418">
      <w:pPr>
        <w:pageBreakBefore w:val="0"/>
        <w:kinsoku/>
        <w:overflowPunct/>
        <w:bidi w:val="0"/>
        <w:spacing w:beforeLines="0" w:afterLines="0" w:line="360" w:lineRule="auto"/>
        <w:ind w:left="0" w:leftChars="0" w:right="0"/>
        <w:jc w:val="center"/>
        <w:rPr>
          <w:rFonts w:hint="eastAsia" w:ascii="宋体" w:hAnsi="宋体" w:eastAsia="宋体" w:cs="宋体"/>
          <w:b/>
          <w:bCs/>
          <w:color w:val="auto"/>
          <w:sz w:val="32"/>
          <w:highlight w:val="none"/>
        </w:rPr>
      </w:pPr>
      <w:bookmarkStart w:id="0" w:name="_Toc144974478"/>
      <w:bookmarkStart w:id="1" w:name="_Toc152042286"/>
      <w:r>
        <w:rPr>
          <w:rFonts w:hint="eastAsia" w:ascii="宋体" w:hAnsi="宋体" w:eastAsia="宋体" w:cs="宋体"/>
          <w:b/>
          <w:bCs/>
          <w:color w:val="auto"/>
          <w:sz w:val="32"/>
          <w:highlight w:val="none"/>
        </w:rPr>
        <w:t>目     录</w:t>
      </w:r>
      <w:bookmarkEnd w:id="0"/>
      <w:bookmarkEnd w:id="1"/>
    </w:p>
    <w:p w14:paraId="44F996D8">
      <w:pPr>
        <w:pStyle w:val="49"/>
        <w:pageBreakBefore w:val="0"/>
        <w:tabs>
          <w:tab w:val="right" w:leader="dot" w:pos="9746"/>
        </w:tabs>
        <w:kinsoku/>
        <w:overflowPunct/>
        <w:bidi w:val="0"/>
        <w:spacing w:before="0" w:beforeLines="0" w:after="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kern w:val="32"/>
          <w:szCs w:val="40"/>
          <w:highlight w:val="none"/>
        </w:rPr>
        <w:fldChar w:fldCharType="begin"/>
      </w:r>
      <w:r>
        <w:rPr>
          <w:rFonts w:hint="eastAsia" w:ascii="宋体" w:hAnsi="宋体" w:eastAsia="宋体" w:cs="宋体"/>
          <w:color w:val="auto"/>
          <w:kern w:val="32"/>
          <w:szCs w:val="40"/>
          <w:highlight w:val="none"/>
        </w:rPr>
        <w:instrText xml:space="preserve">TOC \o "1-1" \h \u </w:instrText>
      </w:r>
      <w:r>
        <w:rPr>
          <w:rFonts w:hint="eastAsia" w:ascii="宋体" w:hAnsi="宋体" w:eastAsia="宋体" w:cs="宋体"/>
          <w:color w:val="auto"/>
          <w:kern w:val="32"/>
          <w:szCs w:val="40"/>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"_Toc15172" </w:instrText>
      </w:r>
      <w:r>
        <w:rPr>
          <w:rFonts w:hint="eastAsia" w:ascii="宋体" w:hAnsi="宋体" w:eastAsia="宋体" w:cs="宋体"/>
          <w:color w:val="auto"/>
          <w:highlight w:val="none"/>
        </w:rPr>
        <w:fldChar w:fldCharType="separate"/>
      </w:r>
      <w:r>
        <w:rPr>
          <w:rFonts w:hint="eastAsia" w:ascii="宋体" w:hAnsi="宋体" w:eastAsia="宋体" w:cs="宋体"/>
          <w:color w:val="auto"/>
          <w:kern w:val="32"/>
          <w:szCs w:val="40"/>
          <w:highlight w:val="none"/>
        </w:rPr>
        <w:t>投标文件否决性条款摘要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_Toc15172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93B0F8F">
      <w:pPr>
        <w:pStyle w:val="49"/>
        <w:pageBreakBefore w:val="0"/>
        <w:tabs>
          <w:tab w:val="right" w:leader="dot" w:pos="9746"/>
        </w:tabs>
        <w:kinsoku/>
        <w:overflowPunct/>
        <w:bidi w:val="0"/>
        <w:spacing w:before="0" w:beforeLines="0" w:after="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"_Toc29397" </w:instrText>
      </w:r>
      <w:r>
        <w:rPr>
          <w:rFonts w:hint="eastAsia" w:ascii="宋体" w:hAnsi="宋体" w:eastAsia="宋体" w:cs="宋体"/>
          <w:color w:val="auto"/>
          <w:highlight w:val="none"/>
        </w:rPr>
        <w:fldChar w:fldCharType="separate"/>
      </w:r>
      <w:r>
        <w:rPr>
          <w:rFonts w:hint="eastAsia" w:ascii="宋体" w:hAnsi="宋体" w:eastAsia="宋体" w:cs="宋体"/>
          <w:color w:val="auto"/>
          <w:kern w:val="32"/>
          <w:szCs w:val="40"/>
          <w:highlight w:val="none"/>
        </w:rPr>
        <w:t>投标无效、中标无效的认定及处理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B92C71B">
      <w:pPr>
        <w:pStyle w:val="49"/>
        <w:pageBreakBefore w:val="0"/>
        <w:tabs>
          <w:tab w:val="right" w:leader="dot" w:pos="9746"/>
        </w:tabs>
        <w:kinsoku/>
        <w:overflowPunct/>
        <w:bidi w:val="0"/>
        <w:spacing w:before="0" w:beforeLines="0" w:after="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"_Toc24613"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40"/>
          <w:highlight w:val="none"/>
        </w:rPr>
        <w:t>第一章 致投标人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_Toc24613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8F67E55">
      <w:pPr>
        <w:pStyle w:val="49"/>
        <w:pageBreakBefore w:val="0"/>
        <w:tabs>
          <w:tab w:val="right" w:leader="dot" w:pos="9746"/>
        </w:tabs>
        <w:kinsoku/>
        <w:overflowPunct/>
        <w:bidi w:val="0"/>
        <w:spacing w:before="0" w:beforeLines="0" w:after="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"_Toc10326" </w:instrText>
      </w:r>
      <w:r>
        <w:rPr>
          <w:rFonts w:hint="eastAsia" w:ascii="宋体" w:hAnsi="宋体" w:eastAsia="宋体" w:cs="宋体"/>
          <w:color w:val="auto"/>
          <w:highlight w:val="none"/>
        </w:rPr>
        <w:fldChar w:fldCharType="separate"/>
      </w:r>
      <w:r>
        <w:rPr>
          <w:rFonts w:hint="eastAsia" w:ascii="宋体" w:hAnsi="宋体" w:eastAsia="宋体" w:cs="宋体"/>
          <w:color w:val="auto"/>
          <w:kern w:val="32"/>
          <w:szCs w:val="40"/>
          <w:highlight w:val="none"/>
        </w:rPr>
        <w:t>第二章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CF8CF91">
      <w:pPr>
        <w:pStyle w:val="49"/>
        <w:pageBreakBefore w:val="0"/>
        <w:tabs>
          <w:tab w:val="right" w:leader="dot" w:pos="9746"/>
        </w:tabs>
        <w:kinsoku/>
        <w:overflowPunct/>
        <w:bidi w:val="0"/>
        <w:spacing w:before="0" w:beforeLines="0" w:after="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"_Toc31445"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40"/>
          <w:highlight w:val="none"/>
        </w:rPr>
        <w:t>第三章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_Toc31445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41C6191">
      <w:pPr>
        <w:pStyle w:val="49"/>
        <w:pageBreakBefore w:val="0"/>
        <w:tabs>
          <w:tab w:val="right" w:leader="dot" w:pos="9746"/>
        </w:tabs>
        <w:kinsoku/>
        <w:overflowPunct/>
        <w:bidi w:val="0"/>
        <w:spacing w:before="0" w:beforeLines="0" w:after="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"_Toc12249" </w:instrText>
      </w:r>
      <w:r>
        <w:rPr>
          <w:rFonts w:hint="eastAsia" w:ascii="宋体" w:hAnsi="宋体" w:eastAsia="宋体" w:cs="宋体"/>
          <w:color w:val="auto"/>
          <w:highlight w:val="none"/>
        </w:rPr>
        <w:fldChar w:fldCharType="separate"/>
      </w:r>
      <w:r>
        <w:rPr>
          <w:rFonts w:hint="eastAsia" w:ascii="宋体" w:hAnsi="宋体" w:eastAsia="宋体" w:cs="宋体"/>
          <w:color w:val="auto"/>
          <w:kern w:val="32"/>
          <w:szCs w:val="32"/>
          <w:highlight w:val="none"/>
        </w:rPr>
        <w:t>投标人须知前附表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_Toc12249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F11B424">
      <w:pPr>
        <w:pStyle w:val="49"/>
        <w:pageBreakBefore w:val="0"/>
        <w:tabs>
          <w:tab w:val="right" w:leader="dot" w:pos="9746"/>
        </w:tabs>
        <w:kinsoku/>
        <w:overflowPunct/>
        <w:bidi w:val="0"/>
        <w:spacing w:before="0" w:beforeLines="0" w:after="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"_Toc16953"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32"/>
          <w:szCs w:val="40"/>
          <w:highlight w:val="none"/>
        </w:rPr>
        <w:t>第四章 评标定标办法（综合评估法）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_Toc16953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724798A">
      <w:pPr>
        <w:pStyle w:val="49"/>
        <w:pageBreakBefore w:val="0"/>
        <w:tabs>
          <w:tab w:val="right" w:leader="dot" w:pos="9746"/>
        </w:tabs>
        <w:kinsoku/>
        <w:overflowPunct/>
        <w:bidi w:val="0"/>
        <w:spacing w:before="0" w:beforeLines="0" w:after="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"_Toc4611" </w:instrText>
      </w:r>
      <w:r>
        <w:rPr>
          <w:rFonts w:hint="eastAsia" w:ascii="宋体" w:hAnsi="宋体" w:eastAsia="宋体" w:cs="宋体"/>
          <w:color w:val="auto"/>
          <w:highlight w:val="none"/>
        </w:rPr>
        <w:fldChar w:fldCharType="separate"/>
      </w:r>
      <w:r>
        <w:rPr>
          <w:rFonts w:hint="eastAsia" w:ascii="宋体" w:hAnsi="宋体" w:eastAsia="宋体" w:cs="宋体"/>
          <w:color w:val="auto"/>
          <w:kern w:val="32"/>
          <w:szCs w:val="40"/>
          <w:highlight w:val="none"/>
        </w:rPr>
        <w:t>第五章 合同条款及格式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_Toc4611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925060B">
      <w:pPr>
        <w:pStyle w:val="49"/>
        <w:pageBreakBefore w:val="0"/>
        <w:tabs>
          <w:tab w:val="right" w:leader="dot" w:pos="9746"/>
        </w:tabs>
        <w:kinsoku/>
        <w:overflowPunct/>
        <w:bidi w:val="0"/>
        <w:spacing w:before="0" w:beforeLines="0" w:after="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"_Toc31834"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第六章 图纸和资料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_Toc31834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A3E24CD">
      <w:pPr>
        <w:pStyle w:val="49"/>
        <w:pageBreakBefore w:val="0"/>
        <w:tabs>
          <w:tab w:val="right" w:leader="dot" w:pos="9746"/>
        </w:tabs>
        <w:kinsoku/>
        <w:overflowPunct/>
        <w:bidi w:val="0"/>
        <w:spacing w:before="0" w:beforeLines="0" w:after="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"_Toc9445"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第七章</w:t>
      </w:r>
      <w:r>
        <w:rPr>
          <w:rFonts w:hint="eastAsia" w:ascii="宋体" w:hAnsi="宋体" w:eastAsia="宋体" w:cs="宋体"/>
          <w:color w:val="auto"/>
          <w:szCs w:val="28"/>
          <w:highlight w:val="none"/>
          <w:lang w:eastAsia="zh-CN"/>
        </w:rPr>
        <w:t>造价咨询</w:t>
      </w:r>
      <w:r>
        <w:rPr>
          <w:rFonts w:hint="eastAsia" w:ascii="宋体" w:hAnsi="宋体" w:eastAsia="宋体" w:cs="宋体"/>
          <w:color w:val="auto"/>
          <w:szCs w:val="28"/>
          <w:highlight w:val="none"/>
        </w:rPr>
        <w:t>规范和技术要求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_Toc9445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50329BA">
      <w:pPr>
        <w:pStyle w:val="49"/>
        <w:pageBreakBefore w:val="0"/>
        <w:tabs>
          <w:tab w:val="right" w:leader="dot" w:pos="9746"/>
        </w:tabs>
        <w:kinsoku/>
        <w:overflowPunct/>
        <w:bidi w:val="0"/>
        <w:spacing w:before="0" w:beforeLines="0" w:after="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"_Toc22148" </w:instrText>
      </w:r>
      <w:r>
        <w:rPr>
          <w:rFonts w:hint="eastAsia" w:ascii="宋体" w:hAnsi="宋体" w:eastAsia="宋体" w:cs="宋体"/>
          <w:color w:val="auto"/>
          <w:highlight w:val="none"/>
        </w:rPr>
        <w:fldChar w:fldCharType="separate"/>
      </w:r>
      <w:r>
        <w:rPr>
          <w:rFonts w:hint="eastAsia" w:ascii="宋体" w:hAnsi="宋体" w:eastAsia="宋体" w:cs="宋体"/>
          <w:color w:val="auto"/>
          <w:kern w:val="32"/>
          <w:szCs w:val="40"/>
          <w:highlight w:val="none"/>
        </w:rPr>
        <w:t>第八章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_Toc22148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23949C7">
      <w:pPr>
        <w:pStyle w:val="49"/>
        <w:pageBreakBefore w:val="0"/>
        <w:tabs>
          <w:tab w:val="right" w:leader="dot" w:pos="9354"/>
        </w:tabs>
        <w:kinsoku/>
        <w:overflowPunct/>
        <w:bidi w:val="0"/>
        <w:spacing w:before="0" w:beforeLines="0" w:after="0" w:afterLines="0" w:line="360" w:lineRule="auto"/>
        <w:ind w:left="0" w:leftChars="0" w:right="0" w:firstLine="402" w:firstLineChars="200"/>
        <w:rPr>
          <w:rFonts w:hint="eastAsia" w:ascii="宋体" w:hAnsi="宋体" w:eastAsia="宋体" w:cs="宋体"/>
          <w:color w:val="auto"/>
          <w:highlight w:val="none"/>
        </w:rPr>
      </w:pPr>
      <w:r>
        <w:rPr>
          <w:rFonts w:hint="eastAsia" w:ascii="宋体" w:hAnsi="宋体" w:eastAsia="宋体" w:cs="宋体"/>
          <w:color w:val="auto"/>
          <w:kern w:val="32"/>
          <w:szCs w:val="40"/>
          <w:highlight w:val="none"/>
        </w:rPr>
        <w:fldChar w:fldCharType="end"/>
      </w:r>
    </w:p>
    <w:p w14:paraId="167C52FE">
      <w:pPr>
        <w:pageBreakBefore w:val="0"/>
        <w:kinsoku/>
        <w:overflowPunct/>
        <w:bidi w:val="0"/>
        <w:spacing w:beforeLines="0" w:afterLines="0" w:line="360" w:lineRule="auto"/>
        <w:ind w:left="0" w:leftChars="0" w:right="0"/>
        <w:jc w:val="center"/>
        <w:outlineLvl w:val="0"/>
        <w:rPr>
          <w:rFonts w:hint="eastAsia" w:ascii="宋体" w:hAnsi="宋体" w:eastAsia="宋体" w:cs="宋体"/>
          <w:color w:val="auto"/>
          <w:highlight w:val="none"/>
        </w:rPr>
        <w:sectPr>
          <w:footerReference r:id="rId4" w:type="first"/>
          <w:footerReference r:id="rId3" w:type="default"/>
          <w:pgSz w:w="11906" w:h="16838"/>
          <w:pgMar w:top="1440" w:right="1080" w:bottom="1440" w:left="1080" w:header="851" w:footer="851" w:gutter="0"/>
          <w:pgNumType w:start="1"/>
          <w:cols w:space="720" w:num="1"/>
          <w:docGrid w:type="lines" w:linePitch="312" w:charSpace="0"/>
        </w:sectPr>
      </w:pPr>
      <w:bookmarkStart w:id="2" w:name="_Toc437960957"/>
      <w:bookmarkStart w:id="3" w:name="_Toc1448338273"/>
      <w:bookmarkStart w:id="4" w:name="_Toc1434428752"/>
      <w:bookmarkStart w:id="5" w:name="_Toc357586305"/>
      <w:bookmarkStart w:id="6" w:name="_Toc775"/>
      <w:bookmarkStart w:id="7" w:name="_Toc152045511"/>
      <w:bookmarkStart w:id="8" w:name="_Toc144974479"/>
      <w:bookmarkStart w:id="9" w:name="_Toc152042287"/>
    </w:p>
    <w:p w14:paraId="7EDFDE3C">
      <w:pPr>
        <w:pageBreakBefore w:val="0"/>
        <w:kinsoku/>
        <w:overflowPunct/>
        <w:bidi w:val="0"/>
        <w:spacing w:beforeLines="0" w:afterLines="0" w:line="360" w:lineRule="auto"/>
        <w:ind w:left="0" w:leftChars="0" w:right="0"/>
        <w:jc w:val="center"/>
        <w:outlineLvl w:val="0"/>
        <w:rPr>
          <w:rFonts w:hint="eastAsia" w:ascii="宋体" w:hAnsi="宋体" w:eastAsia="宋体" w:cs="宋体"/>
          <w:b/>
          <w:bCs/>
          <w:color w:val="auto"/>
          <w:kern w:val="32"/>
          <w:sz w:val="28"/>
          <w:szCs w:val="40"/>
          <w:highlight w:val="none"/>
        </w:rPr>
      </w:pPr>
      <w:bookmarkStart w:id="10" w:name="_Toc3335"/>
      <w:bookmarkStart w:id="11" w:name="_Toc15172"/>
      <w:bookmarkStart w:id="12" w:name="_Toc27845"/>
      <w:bookmarkStart w:id="13" w:name="_Toc11557"/>
      <w:bookmarkStart w:id="14" w:name="_Toc9997"/>
      <w:bookmarkStart w:id="15" w:name="_Toc19384"/>
      <w:r>
        <w:rPr>
          <w:rFonts w:hint="eastAsia" w:ascii="宋体" w:hAnsi="宋体" w:eastAsia="宋体" w:cs="宋体"/>
          <w:b/>
          <w:bCs/>
          <w:color w:val="auto"/>
          <w:kern w:val="32"/>
          <w:sz w:val="28"/>
          <w:szCs w:val="40"/>
          <w:highlight w:val="none"/>
        </w:rPr>
        <w:t>投标文件否决性条款摘要</w:t>
      </w:r>
      <w:bookmarkEnd w:id="2"/>
      <w:bookmarkEnd w:id="3"/>
      <w:bookmarkEnd w:id="4"/>
      <w:bookmarkEnd w:id="5"/>
      <w:bookmarkEnd w:id="6"/>
      <w:bookmarkEnd w:id="10"/>
      <w:bookmarkEnd w:id="11"/>
      <w:bookmarkEnd w:id="12"/>
      <w:bookmarkEnd w:id="13"/>
      <w:bookmarkEnd w:id="14"/>
      <w:bookmarkEnd w:id="15"/>
    </w:p>
    <w:p w14:paraId="557015C9">
      <w:pPr>
        <w:keepNext w:val="0"/>
        <w:keepLines w:val="0"/>
        <w:pageBreakBefore w:val="0"/>
        <w:widowControl w:val="0"/>
        <w:kinsoku/>
        <w:wordWrap/>
        <w:overflowPunct/>
        <w:topLinePunct w:val="0"/>
        <w:autoSpaceDE/>
        <w:autoSpaceDN/>
        <w:bidi w:val="0"/>
        <w:snapToGrid/>
        <w:spacing w:beforeLines="0" w:afterLines="0" w:line="360" w:lineRule="auto"/>
        <w:ind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重要提示：</w:t>
      </w:r>
      <w:r>
        <w:rPr>
          <w:rFonts w:hint="eastAsia" w:ascii="宋体" w:hAnsi="宋体" w:eastAsia="宋体" w:cs="宋体"/>
          <w:color w:val="auto"/>
          <w:sz w:val="21"/>
          <w:szCs w:val="21"/>
          <w:highlight w:val="none"/>
        </w:rPr>
        <w:t>本摘要是本招标文件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含招标文件的澄清答疑、修改、补充文件等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中涉及的所有否决性条款的集中</w:t>
      </w:r>
      <w:r>
        <w:rPr>
          <w:rFonts w:hint="eastAsia" w:ascii="宋体" w:hAnsi="宋体" w:eastAsia="宋体" w:cs="宋体"/>
          <w:color w:val="auto"/>
          <w:sz w:val="21"/>
          <w:szCs w:val="21"/>
          <w:highlight w:val="none"/>
          <w:lang w:val="en-US" w:eastAsia="zh-CN"/>
        </w:rPr>
        <w:t>载明</w:t>
      </w:r>
      <w:r>
        <w:rPr>
          <w:rFonts w:hint="eastAsia" w:ascii="宋体" w:hAnsi="宋体" w:eastAsia="宋体" w:cs="宋体"/>
          <w:color w:val="auto"/>
          <w:sz w:val="21"/>
          <w:szCs w:val="21"/>
          <w:highlight w:val="none"/>
        </w:rPr>
        <w:t>，包括：招标文件规定的在开标会上当场宣布投标文件不予受理</w:t>
      </w:r>
      <w:r>
        <w:rPr>
          <w:rFonts w:hint="eastAsia" w:ascii="宋体" w:hAnsi="宋体" w:cs="宋体"/>
          <w:color w:val="auto"/>
          <w:sz w:val="21"/>
          <w:szCs w:val="21"/>
          <w:highlight w:val="none"/>
          <w:lang w:eastAsia="zh-CN"/>
        </w:rPr>
        <w:t>或者</w:t>
      </w:r>
      <w:r>
        <w:rPr>
          <w:rFonts w:hint="eastAsia" w:ascii="宋体" w:hAnsi="宋体" w:eastAsia="宋体" w:cs="宋体"/>
          <w:color w:val="auto"/>
          <w:sz w:val="21"/>
          <w:szCs w:val="21"/>
          <w:highlight w:val="none"/>
        </w:rPr>
        <w:t>为无效投标的情形，初步评审、详细评审阶段发现重大偏差的情形。</w:t>
      </w:r>
      <w:r>
        <w:rPr>
          <w:rFonts w:hint="eastAsia" w:ascii="宋体" w:hAnsi="宋体" w:eastAsia="宋体" w:cs="宋体"/>
          <w:b/>
          <w:color w:val="auto"/>
          <w:sz w:val="21"/>
          <w:szCs w:val="21"/>
          <w:highlight w:val="none"/>
        </w:rPr>
        <w:t>除出现本摘要集中列示的否决性条款规定的情形以外</w:t>
      </w:r>
      <w:r>
        <w:rPr>
          <w:rFonts w:hint="eastAsia" w:ascii="宋体" w:hAnsi="宋体" w:eastAsia="宋体" w:cs="宋体"/>
          <w:b/>
          <w:bCs/>
          <w:color w:val="auto"/>
          <w:sz w:val="21"/>
          <w:szCs w:val="21"/>
          <w:highlight w:val="none"/>
        </w:rPr>
        <w:t>，投标文件</w:t>
      </w:r>
      <w:r>
        <w:rPr>
          <w:rFonts w:hint="eastAsia" w:ascii="宋体" w:hAnsi="宋体" w:eastAsia="宋体" w:cs="宋体"/>
          <w:b/>
          <w:bCs/>
          <w:color w:val="auto"/>
          <w:sz w:val="21"/>
          <w:szCs w:val="21"/>
          <w:highlight w:val="none"/>
          <w:lang w:val="en-US" w:eastAsia="zh-CN"/>
        </w:rPr>
        <w:t>出现</w:t>
      </w:r>
      <w:r>
        <w:rPr>
          <w:rFonts w:hint="eastAsia" w:ascii="宋体" w:hAnsi="宋体" w:eastAsia="宋体" w:cs="宋体"/>
          <w:b/>
          <w:bCs/>
          <w:color w:val="auto"/>
          <w:sz w:val="21"/>
          <w:szCs w:val="21"/>
          <w:highlight w:val="none"/>
        </w:rPr>
        <w:t>的其他任何情形均不得作否决处理。</w:t>
      </w:r>
      <w:r>
        <w:rPr>
          <w:rFonts w:hint="eastAsia" w:ascii="宋体" w:hAnsi="宋体" w:eastAsia="宋体" w:cs="宋体"/>
          <w:b/>
          <w:color w:val="auto"/>
          <w:sz w:val="21"/>
          <w:szCs w:val="21"/>
          <w:highlight w:val="none"/>
        </w:rPr>
        <w:t>招标文件中有关否决性条款的阐述与本摘要所列内容不一致的，以本摘要</w:t>
      </w:r>
      <w:r>
        <w:rPr>
          <w:rFonts w:hint="eastAsia" w:ascii="宋体" w:hAnsi="宋体" w:eastAsia="宋体" w:cs="宋体"/>
          <w:b/>
          <w:color w:val="auto"/>
          <w:sz w:val="21"/>
          <w:szCs w:val="21"/>
          <w:highlight w:val="none"/>
          <w:lang w:val="en-US" w:eastAsia="zh-CN"/>
        </w:rPr>
        <w:t>载明</w:t>
      </w:r>
      <w:r>
        <w:rPr>
          <w:rFonts w:hint="eastAsia" w:ascii="宋体" w:hAnsi="宋体" w:eastAsia="宋体" w:cs="宋体"/>
          <w:b/>
          <w:color w:val="auto"/>
          <w:sz w:val="21"/>
          <w:szCs w:val="21"/>
          <w:highlight w:val="none"/>
        </w:rPr>
        <w:t>的内容为准</w:t>
      </w:r>
      <w:r>
        <w:rPr>
          <w:rFonts w:hint="eastAsia" w:ascii="宋体" w:hAnsi="宋体" w:eastAsia="宋体" w:cs="宋体"/>
          <w:color w:val="auto"/>
          <w:sz w:val="21"/>
          <w:szCs w:val="21"/>
          <w:highlight w:val="none"/>
        </w:rPr>
        <w:t>。</w:t>
      </w:r>
    </w:p>
    <w:p w14:paraId="62336054">
      <w:pPr>
        <w:keepNext w:val="0"/>
        <w:keepLines w:val="0"/>
        <w:pageBreakBefore w:val="0"/>
        <w:widowControl w:val="0"/>
        <w:kinsoku/>
        <w:wordWrap/>
        <w:overflowPunct/>
        <w:topLinePunct w:val="0"/>
        <w:autoSpaceDE/>
        <w:autoSpaceDN/>
        <w:bidi w:val="0"/>
        <w:snapToGrid/>
        <w:spacing w:beforeLines="0" w:afterLines="0" w:line="360" w:lineRule="auto"/>
        <w:ind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招标人通过补充招标文件增加、删除、修改否决投标条款的，应当在补充招标文件中集中载明调整后完整的否决投标条款。</w:t>
      </w:r>
    </w:p>
    <w:p w14:paraId="58A35133">
      <w:pPr>
        <w:pStyle w:val="183"/>
        <w:keepNext w:val="0"/>
        <w:keepLines w:val="0"/>
        <w:pageBreakBefore w:val="0"/>
        <w:widowControl w:val="0"/>
        <w:kinsoku/>
        <w:wordWrap/>
        <w:overflowPunct/>
        <w:topLinePunct w:val="0"/>
        <w:autoSpaceDE/>
        <w:autoSpaceDN/>
        <w:bidi w:val="0"/>
        <w:snapToGrid/>
        <w:spacing w:beforeLines="0" w:afterLines="0" w:line="360" w:lineRule="auto"/>
        <w:ind w:firstLine="0" w:firstLineChars="0"/>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招标人对</w:t>
      </w:r>
      <w:r>
        <w:rPr>
          <w:rFonts w:hint="eastAsia" w:ascii="宋体" w:hAnsi="宋体" w:eastAsia="宋体" w:cs="宋体"/>
          <w:b/>
          <w:bCs/>
          <w:color w:val="auto"/>
          <w:kern w:val="2"/>
          <w:sz w:val="21"/>
          <w:szCs w:val="21"/>
          <w:highlight w:val="none"/>
          <w:lang w:val="en-US" w:eastAsia="zh-CN"/>
        </w:rPr>
        <w:t>投标文件否决性条款摘要</w:t>
      </w:r>
      <w:r>
        <w:rPr>
          <w:rFonts w:hint="eastAsia" w:ascii="宋体" w:hAnsi="宋体" w:eastAsia="宋体" w:cs="宋体"/>
          <w:b/>
          <w:bCs/>
          <w:color w:val="auto"/>
          <w:kern w:val="2"/>
          <w:sz w:val="21"/>
          <w:szCs w:val="21"/>
          <w:highlight w:val="none"/>
        </w:rPr>
        <w:t>的修改：</w:t>
      </w:r>
    </w:p>
    <w:p w14:paraId="63E10D25">
      <w:pPr>
        <w:pStyle w:val="183"/>
        <w:keepNext w:val="0"/>
        <w:keepLines w:val="0"/>
        <w:pageBreakBefore w:val="0"/>
        <w:widowControl w:val="0"/>
        <w:kinsoku/>
        <w:wordWrap/>
        <w:overflowPunct/>
        <w:topLinePunct w:val="0"/>
        <w:autoSpaceDE/>
        <w:autoSpaceDN/>
        <w:bidi w:val="0"/>
        <w:snapToGrid/>
        <w:spacing w:beforeLines="0" w:afterLines="0" w:line="360" w:lineRule="auto"/>
        <w:ind w:firstLine="0" w:firstLineChars="0"/>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第[      ]</w:t>
      </w:r>
      <w:r>
        <w:rPr>
          <w:rFonts w:hint="eastAsia" w:ascii="宋体" w:hAnsi="宋体" w:eastAsia="宋体" w:cs="宋体"/>
          <w:color w:val="auto"/>
          <w:kern w:val="2"/>
          <w:sz w:val="21"/>
          <w:szCs w:val="21"/>
          <w:highlight w:val="none"/>
          <w:lang w:val="en-US" w:eastAsia="zh-CN"/>
        </w:rPr>
        <w:t>项</w:t>
      </w:r>
      <w:r>
        <w:rPr>
          <w:rFonts w:hint="eastAsia" w:ascii="宋体" w:hAnsi="宋体" w:eastAsia="宋体" w:cs="宋体"/>
          <w:color w:val="auto"/>
          <w:kern w:val="2"/>
          <w:sz w:val="21"/>
          <w:szCs w:val="21"/>
          <w:highlight w:val="none"/>
        </w:rPr>
        <w:t>修改为：[      ]。</w:t>
      </w:r>
    </w:p>
    <w:p w14:paraId="1E773F5C">
      <w:pPr>
        <w:pStyle w:val="183"/>
        <w:keepNext w:val="0"/>
        <w:keepLines w:val="0"/>
        <w:pageBreakBefore w:val="0"/>
        <w:widowControl w:val="0"/>
        <w:kinsoku/>
        <w:wordWrap/>
        <w:overflowPunct/>
        <w:topLinePunct w:val="0"/>
        <w:autoSpaceDE/>
        <w:autoSpaceDN/>
        <w:bidi w:val="0"/>
        <w:snapToGrid/>
        <w:spacing w:beforeLines="0" w:afterLines="0" w:line="360" w:lineRule="auto"/>
        <w:ind w:firstLine="0" w:firstLineChars="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□增加第[      ]</w:t>
      </w:r>
      <w:r>
        <w:rPr>
          <w:rFonts w:hint="eastAsia" w:ascii="宋体" w:hAnsi="宋体" w:eastAsia="宋体" w:cs="宋体"/>
          <w:color w:val="auto"/>
          <w:kern w:val="2"/>
          <w:sz w:val="21"/>
          <w:szCs w:val="21"/>
          <w:highlight w:val="none"/>
          <w:lang w:val="en-US" w:eastAsia="zh-CN"/>
        </w:rPr>
        <w:t>项</w:t>
      </w:r>
      <w:r>
        <w:rPr>
          <w:rFonts w:hint="eastAsia" w:ascii="宋体" w:hAnsi="宋体" w:eastAsia="宋体" w:cs="宋体"/>
          <w:color w:val="auto"/>
          <w:kern w:val="2"/>
          <w:sz w:val="21"/>
          <w:szCs w:val="21"/>
          <w:highlight w:val="none"/>
        </w:rPr>
        <w:t>：[      ]。</w:t>
      </w:r>
    </w:p>
    <w:p w14:paraId="7115B470">
      <w:pPr>
        <w:keepNext w:val="0"/>
        <w:keepLines w:val="0"/>
        <w:pageBreakBefore w:val="0"/>
        <w:widowControl w:val="0"/>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招标人应派代表参加开标会，并负责在开标会上判定投标文件不予受理或为无效投</w:t>
      </w:r>
      <w:r>
        <w:rPr>
          <w:rFonts w:hint="eastAsia" w:ascii="宋体" w:hAnsi="宋体" w:cs="宋体"/>
          <w:color w:val="auto"/>
          <w:sz w:val="21"/>
          <w:szCs w:val="21"/>
          <w:highlight w:val="none"/>
          <w:lang w:eastAsia="zh-CN"/>
        </w:rPr>
        <w:t>标</w:t>
      </w:r>
      <w:r>
        <w:rPr>
          <w:rFonts w:hint="eastAsia" w:ascii="宋体" w:hAnsi="宋体" w:eastAsia="宋体" w:cs="宋体"/>
          <w:color w:val="auto"/>
          <w:sz w:val="21"/>
          <w:szCs w:val="21"/>
          <w:highlight w:val="none"/>
        </w:rPr>
        <w:t>。</w:t>
      </w:r>
    </w:p>
    <w:p w14:paraId="42B3C5E1">
      <w:pPr>
        <w:keepNext w:val="0"/>
        <w:keepLines w:val="0"/>
        <w:pageBreakBefore w:val="0"/>
        <w:widowControl w:val="0"/>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应将在初步评审阶段发现的投标文件中的重大偏差情况列入评标报告中的“否决投标情况说明”，对该投标文件作否决处理；对于发现的</w:t>
      </w:r>
      <w:r>
        <w:rPr>
          <w:rFonts w:hint="eastAsia" w:ascii="宋体" w:hAnsi="宋体" w:eastAsia="宋体" w:cs="宋体"/>
          <w:color w:val="auto"/>
          <w:sz w:val="21"/>
          <w:szCs w:val="21"/>
          <w:highlight w:val="none"/>
          <w:lang w:val="en-US" w:eastAsia="zh-CN"/>
        </w:rPr>
        <w:t>投标文件格式等</w:t>
      </w:r>
      <w:r>
        <w:rPr>
          <w:rFonts w:hint="eastAsia" w:ascii="宋体" w:hAnsi="宋体" w:eastAsia="宋体" w:cs="宋体"/>
          <w:color w:val="auto"/>
          <w:sz w:val="21"/>
          <w:szCs w:val="21"/>
          <w:highlight w:val="none"/>
        </w:rPr>
        <w:t>其他偏差情况应列入细微偏差</w:t>
      </w:r>
      <w:r>
        <w:rPr>
          <w:rFonts w:hint="eastAsia" w:ascii="宋体" w:hAnsi="宋体" w:cs="宋体"/>
          <w:color w:val="auto"/>
          <w:sz w:val="21"/>
          <w:szCs w:val="21"/>
          <w:highlight w:val="none"/>
          <w:lang w:eastAsia="zh-CN"/>
        </w:rPr>
        <w:t>，并</w:t>
      </w:r>
      <w:r>
        <w:rPr>
          <w:rFonts w:hint="eastAsia" w:ascii="宋体" w:hAnsi="宋体" w:eastAsia="宋体" w:cs="宋体"/>
          <w:color w:val="auto"/>
          <w:sz w:val="21"/>
          <w:szCs w:val="21"/>
          <w:highlight w:val="none"/>
        </w:rPr>
        <w:t>向招标人提出相关意见和建议，但不得对该投标作否决处理。</w:t>
      </w:r>
    </w:p>
    <w:p w14:paraId="42F51FBA">
      <w:pPr>
        <w:keepNext w:val="0"/>
        <w:keepLines w:val="0"/>
        <w:pageBreakBefore w:val="0"/>
        <w:widowControl w:val="0"/>
        <w:kinsoku/>
        <w:wordWrap/>
        <w:overflowPunct/>
        <w:topLinePunct w:val="0"/>
        <w:autoSpaceDE/>
        <w:autoSpaceDN/>
        <w:bidi w:val="0"/>
        <w:snapToGrid/>
        <w:spacing w:beforeLines="0" w:afterLines="0" w:line="360" w:lineRule="auto"/>
        <w:ind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 xml:space="preserve">在开标会上，判定投标文件不予受理或为无效投标的情形（由招标人负责判定）： </w:t>
      </w:r>
    </w:p>
    <w:p w14:paraId="423B5A12">
      <w:pPr>
        <w:keepNext w:val="0"/>
        <w:keepLines w:val="0"/>
        <w:pageBreakBefore w:val="0"/>
        <w:widowControl w:val="0"/>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宣布投标文件为无效投标的情形：</w:t>
      </w:r>
    </w:p>
    <w:p w14:paraId="55713934">
      <w:pPr>
        <w:keepNext w:val="0"/>
        <w:keepLines w:val="0"/>
        <w:pageBreakBefore w:val="0"/>
        <w:widowControl w:val="0"/>
        <w:tabs>
          <w:tab w:val="left" w:pos="1080"/>
        </w:tabs>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未按照招标文件的要求提供投标保证金；</w:t>
      </w:r>
    </w:p>
    <w:p w14:paraId="60C9F06C">
      <w:pPr>
        <w:keepNext w:val="0"/>
        <w:keepLines w:val="0"/>
        <w:pageBreakBefore w:val="0"/>
        <w:widowControl w:val="0"/>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投标文件中投标人名称与</w:t>
      </w:r>
      <w:r>
        <w:rPr>
          <w:rFonts w:hint="eastAsia" w:ascii="宋体" w:hAnsi="宋体" w:cs="宋体"/>
          <w:color w:val="auto"/>
          <w:sz w:val="21"/>
          <w:szCs w:val="21"/>
          <w:highlight w:val="none"/>
          <w:lang w:val="en-US" w:eastAsia="zh-CN"/>
        </w:rPr>
        <w:t>营业执照</w:t>
      </w:r>
      <w:r>
        <w:rPr>
          <w:rFonts w:hint="eastAsia" w:ascii="宋体" w:hAnsi="宋体" w:eastAsia="宋体" w:cs="宋体"/>
          <w:color w:val="auto"/>
          <w:sz w:val="21"/>
          <w:szCs w:val="21"/>
          <w:highlight w:val="none"/>
          <w:lang w:val="en-US" w:eastAsia="zh-CN"/>
        </w:rPr>
        <w:t>显示</w:t>
      </w:r>
      <w:r>
        <w:rPr>
          <w:rFonts w:hint="eastAsia" w:ascii="宋体" w:hAnsi="宋体" w:eastAsia="宋体" w:cs="宋体"/>
          <w:color w:val="auto"/>
          <w:sz w:val="21"/>
          <w:szCs w:val="21"/>
          <w:highlight w:val="none"/>
        </w:rPr>
        <w:t>不一致的（已在</w:t>
      </w:r>
      <w:r>
        <w:rPr>
          <w:rFonts w:hint="eastAsia" w:ascii="宋体" w:hAnsi="宋体" w:eastAsia="宋体" w:cs="宋体"/>
          <w:color w:val="auto"/>
          <w:sz w:val="21"/>
          <w:szCs w:val="21"/>
          <w:highlight w:val="none"/>
          <w:lang w:val="en-US" w:eastAsia="zh-CN"/>
        </w:rPr>
        <w:t>市场监督管理</w:t>
      </w:r>
      <w:r>
        <w:rPr>
          <w:rFonts w:hint="eastAsia" w:ascii="宋体" w:hAnsi="宋体" w:eastAsia="宋体" w:cs="宋体"/>
          <w:color w:val="auto"/>
          <w:sz w:val="21"/>
          <w:szCs w:val="21"/>
          <w:highlight w:val="none"/>
        </w:rPr>
        <w:t>部门办理了工商更名登记手续及相关证书更名手续的除外）</w:t>
      </w:r>
    </w:p>
    <w:p w14:paraId="535CEBC2">
      <w:pPr>
        <w:keepNext w:val="0"/>
        <w:keepLines w:val="0"/>
        <w:pageBreakBefore w:val="0"/>
        <w:widowControl w:val="0"/>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1.1.3</w:t>
      </w:r>
      <w:r>
        <w:rPr>
          <w:rFonts w:hint="eastAsia" w:ascii="宋体" w:hAnsi="宋体" w:eastAsia="宋体" w:cs="宋体"/>
          <w:color w:val="auto"/>
          <w:sz w:val="21"/>
          <w:szCs w:val="21"/>
          <w:highlight w:val="none"/>
        </w:rPr>
        <w:t>未在投标函上填写投标报价</w:t>
      </w:r>
      <w:r>
        <w:rPr>
          <w:rFonts w:hint="eastAsia" w:ascii="宋体" w:hAnsi="宋体" w:eastAsia="宋体" w:cs="宋体"/>
          <w:color w:val="auto"/>
          <w:sz w:val="21"/>
          <w:szCs w:val="21"/>
          <w:highlight w:val="none"/>
          <w:lang w:eastAsia="zh-CN"/>
        </w:rPr>
        <w:t>；</w:t>
      </w:r>
    </w:p>
    <w:p w14:paraId="2D1383D7">
      <w:pPr>
        <w:keepNext w:val="0"/>
        <w:keepLines w:val="0"/>
        <w:pageBreakBefore w:val="0"/>
        <w:widowControl w:val="0"/>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法律法规规定的其他情形。</w:t>
      </w:r>
    </w:p>
    <w:p w14:paraId="7F0C22AC">
      <w:pPr>
        <w:keepNext w:val="0"/>
        <w:keepLines w:val="0"/>
        <w:pageBreakBefore w:val="0"/>
        <w:widowControl w:val="0"/>
        <w:kinsoku/>
        <w:wordWrap/>
        <w:overflowPunct/>
        <w:topLinePunct w:val="0"/>
        <w:autoSpaceDE/>
        <w:autoSpaceDN/>
        <w:bidi w:val="0"/>
        <w:snapToGrid/>
        <w:spacing w:beforeLines="0" w:afterLines="0" w:line="360" w:lineRule="auto"/>
        <w:ind w:right="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注：投标文件出现上述情形被宣布为无效投标</w:t>
      </w:r>
      <w:r>
        <w:rPr>
          <w:rFonts w:hint="eastAsia" w:ascii="宋体" w:hAnsi="宋体" w:eastAsia="宋体" w:cs="宋体"/>
          <w:b/>
          <w:color w:val="auto"/>
          <w:sz w:val="21"/>
          <w:szCs w:val="21"/>
          <w:highlight w:val="none"/>
          <w:lang w:val="en-US" w:eastAsia="zh-CN"/>
        </w:rPr>
        <w:t>的</w:t>
      </w:r>
      <w:r>
        <w:rPr>
          <w:rFonts w:hint="eastAsia" w:ascii="宋体" w:hAnsi="宋体" w:eastAsia="宋体" w:cs="宋体"/>
          <w:b/>
          <w:color w:val="auto"/>
          <w:sz w:val="21"/>
          <w:szCs w:val="21"/>
          <w:highlight w:val="none"/>
        </w:rPr>
        <w:t>，应当作为无效投标文件，不得进入评标。</w:t>
      </w:r>
    </w:p>
    <w:p w14:paraId="00E63392">
      <w:pPr>
        <w:keepNext w:val="0"/>
        <w:keepLines w:val="0"/>
        <w:pageBreakBefore w:val="0"/>
        <w:widowControl w:val="0"/>
        <w:kinsoku/>
        <w:wordWrap/>
        <w:overflowPunct/>
        <w:topLinePunct w:val="0"/>
        <w:autoSpaceDE/>
        <w:autoSpaceDN/>
        <w:bidi w:val="0"/>
        <w:snapToGrid/>
        <w:spacing w:beforeLines="0" w:afterLines="0" w:line="360" w:lineRule="auto"/>
        <w:ind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初步评审阶段有下列情形之一的，</w:t>
      </w:r>
      <w:r>
        <w:rPr>
          <w:rFonts w:hint="eastAsia" w:ascii="宋体" w:hAnsi="宋体" w:cs="宋体"/>
          <w:b/>
          <w:color w:val="auto"/>
          <w:sz w:val="21"/>
          <w:szCs w:val="21"/>
          <w:highlight w:val="none"/>
          <w:lang w:val="en-US" w:eastAsia="zh-CN"/>
        </w:rPr>
        <w:t>评标委员会</w:t>
      </w:r>
      <w:r>
        <w:rPr>
          <w:rFonts w:hint="eastAsia" w:ascii="宋体" w:hAnsi="宋体" w:eastAsia="宋体" w:cs="宋体"/>
          <w:b/>
          <w:color w:val="auto"/>
          <w:sz w:val="21"/>
          <w:szCs w:val="21"/>
          <w:highlight w:val="none"/>
        </w:rPr>
        <w:t xml:space="preserve">应当否决其投标： </w:t>
      </w:r>
    </w:p>
    <w:p w14:paraId="2324CF99">
      <w:pPr>
        <w:keepNext w:val="0"/>
        <w:keepLines w:val="0"/>
        <w:pageBreakBefore w:val="0"/>
        <w:widowControl w:val="0"/>
        <w:tabs>
          <w:tab w:val="left" w:pos="1080"/>
        </w:tabs>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b w:val="0"/>
          <w:i w:val="0"/>
          <w:caps w:val="0"/>
          <w:color w:val="auto"/>
          <w:spacing w:val="0"/>
          <w:kern w:val="0"/>
          <w:sz w:val="21"/>
          <w:szCs w:val="21"/>
          <w:highlight w:val="none"/>
          <w:lang w:val="en-US" w:eastAsia="zh-CN" w:bidi="ar"/>
        </w:rPr>
        <w:t>投标文件未按规定签字、盖章；</w:t>
      </w:r>
    </w:p>
    <w:p w14:paraId="1BBF31CA">
      <w:pPr>
        <w:pStyle w:val="2"/>
        <w:keepNext w:val="0"/>
        <w:keepLines w:val="0"/>
        <w:pageBreakBefore w:val="0"/>
        <w:widowControl w:val="0"/>
        <w:kinsoku/>
        <w:wordWrap/>
        <w:overflowPunct/>
        <w:topLinePunct w:val="0"/>
        <w:autoSpaceDE/>
        <w:autoSpaceDN/>
        <w:bidi w:val="0"/>
        <w:snapToGrid/>
        <w:spacing w:beforeLines="0" w:afterLines="0" w:line="360" w:lineRule="auto"/>
        <w:ind w:firstLine="422"/>
        <w:rPr>
          <w:rFonts w:hint="eastAsia" w:ascii="宋体" w:hAnsi="宋体" w:eastAsia="宋体" w:cs="宋体"/>
          <w:color w:val="auto"/>
          <w:sz w:val="21"/>
          <w:szCs w:val="21"/>
          <w:highlight w:val="none"/>
          <w:lang w:val="en-US"/>
        </w:rPr>
      </w:pPr>
      <w:r>
        <w:rPr>
          <w:rFonts w:hint="eastAsia" w:ascii="宋体" w:hAnsi="宋体" w:eastAsia="宋体" w:cs="宋体"/>
          <w:b w:val="0"/>
          <w:i w:val="0"/>
          <w:caps w:val="0"/>
          <w:color w:val="auto"/>
          <w:spacing w:val="0"/>
          <w:kern w:val="0"/>
          <w:sz w:val="21"/>
          <w:szCs w:val="21"/>
          <w:highlight w:val="none"/>
          <w:lang w:val="en-US" w:eastAsia="zh-CN" w:bidi="ar"/>
        </w:rPr>
        <w:t>2.2投标联合体没有提交</w:t>
      </w:r>
      <w:r>
        <w:rPr>
          <w:rFonts w:hint="eastAsia" w:ascii="宋体" w:hAnsi="宋体" w:eastAsia="宋体" w:cs="宋体"/>
          <w:color w:val="auto"/>
          <w:sz w:val="21"/>
          <w:szCs w:val="21"/>
          <w:highlight w:val="none"/>
          <w:lang w:eastAsia="zh-CN"/>
        </w:rPr>
        <w:t>联合投标协议书</w:t>
      </w:r>
      <w:r>
        <w:rPr>
          <w:rFonts w:hint="eastAsia" w:ascii="宋体" w:hAnsi="宋体" w:eastAsia="宋体" w:cs="宋体"/>
          <w:b w:val="0"/>
          <w:i w:val="0"/>
          <w:caps w:val="0"/>
          <w:color w:val="auto"/>
          <w:spacing w:val="0"/>
          <w:kern w:val="0"/>
          <w:sz w:val="21"/>
          <w:szCs w:val="21"/>
          <w:highlight w:val="none"/>
          <w:lang w:val="en-US" w:eastAsia="zh-CN" w:bidi="ar"/>
        </w:rPr>
        <w:t>；</w:t>
      </w:r>
    </w:p>
    <w:p w14:paraId="20628D5A">
      <w:pPr>
        <w:keepNext w:val="0"/>
        <w:keepLines w:val="0"/>
        <w:pageBreakBefore w:val="0"/>
        <w:widowControl w:val="0"/>
        <w:tabs>
          <w:tab w:val="left" w:pos="1080"/>
        </w:tabs>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投标人不符合招标文件规定的资格条件；</w:t>
      </w:r>
    </w:p>
    <w:p w14:paraId="55313928">
      <w:pPr>
        <w:keepNext w:val="0"/>
        <w:keepLines w:val="0"/>
        <w:pageBreakBefore w:val="0"/>
        <w:widowControl w:val="0"/>
        <w:tabs>
          <w:tab w:val="left" w:pos="1080"/>
        </w:tabs>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b w:val="0"/>
          <w:i w:val="0"/>
          <w:caps w:val="0"/>
          <w:color w:val="auto"/>
          <w:spacing w:val="0"/>
          <w:kern w:val="0"/>
          <w:sz w:val="21"/>
          <w:szCs w:val="21"/>
          <w:highlight w:val="none"/>
          <w:lang w:val="en-US" w:eastAsia="zh-CN" w:bidi="ar"/>
        </w:rPr>
        <w:t>同一投标人提交两个以上不同的投标文件或者投标报价，但招标文件要求提交备选投标的除外；</w:t>
      </w:r>
    </w:p>
    <w:p w14:paraId="6237B60D">
      <w:pPr>
        <w:keepNext w:val="0"/>
        <w:keepLines w:val="0"/>
        <w:pageBreakBefore w:val="0"/>
        <w:widowControl w:val="0"/>
        <w:tabs>
          <w:tab w:val="left" w:pos="1080"/>
        </w:tabs>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2.5投标报价高于招标文件设定的招标控制价（最高投标限价）；</w:t>
      </w:r>
    </w:p>
    <w:p w14:paraId="6C793C41">
      <w:pPr>
        <w:pStyle w:val="2"/>
        <w:keepNext w:val="0"/>
        <w:keepLines w:val="0"/>
        <w:pageBreakBefore w:val="0"/>
        <w:widowControl w:val="0"/>
        <w:kinsoku/>
        <w:wordWrap/>
        <w:overflowPunct/>
        <w:topLinePunct w:val="0"/>
        <w:autoSpaceDE/>
        <w:autoSpaceDN/>
        <w:bidi w:val="0"/>
        <w:snapToGrid/>
        <w:spacing w:beforeLines="0" w:afterLines="0" w:line="360" w:lineRule="auto"/>
        <w:ind w:firstLine="422"/>
        <w:rPr>
          <w:rFonts w:hint="eastAsia" w:ascii="宋体" w:hAnsi="宋体" w:eastAsia="宋体" w:cs="宋体"/>
          <w:b w:val="0"/>
          <w:i w:val="0"/>
          <w:caps w:val="0"/>
          <w:color w:val="auto"/>
          <w:spacing w:val="0"/>
          <w:kern w:val="0"/>
          <w:sz w:val="21"/>
          <w:szCs w:val="21"/>
          <w:highlight w:val="none"/>
          <w:lang w:val="en-US" w:eastAsia="zh-CN" w:bidi="ar"/>
        </w:rPr>
      </w:pPr>
      <w:r>
        <w:rPr>
          <w:rFonts w:hint="eastAsia" w:ascii="宋体" w:hAnsi="宋体" w:eastAsia="宋体" w:cs="宋体"/>
          <w:b w:val="0"/>
          <w:i w:val="0"/>
          <w:caps w:val="0"/>
          <w:color w:val="auto"/>
          <w:spacing w:val="0"/>
          <w:kern w:val="0"/>
          <w:sz w:val="21"/>
          <w:szCs w:val="21"/>
          <w:highlight w:val="none"/>
          <w:lang w:val="en-US" w:eastAsia="zh-CN" w:bidi="ar"/>
        </w:rPr>
        <w:t>2.6投标文件没有对招标文件的实质性要求和条件作出响应；</w:t>
      </w:r>
    </w:p>
    <w:p w14:paraId="792F2666">
      <w:pPr>
        <w:keepNext w:val="0"/>
        <w:keepLines w:val="0"/>
        <w:pageBreakBefore w:val="0"/>
        <w:widowControl w:val="0"/>
        <w:tabs>
          <w:tab w:val="left" w:pos="1080"/>
        </w:tabs>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rPr>
        <w:t>投标人有以他人的名义投标、串通投标、弄虚作假、行贿等违法行为；</w:t>
      </w:r>
    </w:p>
    <w:p w14:paraId="5E880B95">
      <w:pPr>
        <w:keepNext w:val="0"/>
        <w:keepLines w:val="0"/>
        <w:pageBreakBefore w:val="0"/>
        <w:widowControl w:val="0"/>
        <w:kinsoku/>
        <w:wordWrap/>
        <w:overflowPunct/>
        <w:topLinePunct w:val="0"/>
        <w:autoSpaceDE/>
        <w:autoSpaceDN/>
        <w:bidi w:val="0"/>
        <w:snapToGrid/>
        <w:spacing w:beforeLines="0" w:afterLines="0" w:line="360" w:lineRule="auto"/>
        <w:ind w:righ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注：以他人的名义投标、串通投标、弄虚作假的行为认定</w:t>
      </w:r>
      <w:r>
        <w:rPr>
          <w:rFonts w:hint="eastAsia" w:ascii="宋体" w:hAnsi="宋体" w:eastAsia="宋体" w:cs="宋体"/>
          <w:b/>
          <w:bCs/>
          <w:color w:val="auto"/>
          <w:sz w:val="21"/>
          <w:szCs w:val="21"/>
          <w:highlight w:val="none"/>
        </w:rPr>
        <w:t>（包括但不限于）</w:t>
      </w:r>
    </w:p>
    <w:p w14:paraId="1E6EF856">
      <w:pPr>
        <w:keepNext w:val="0"/>
        <w:keepLines w:val="0"/>
        <w:pageBreakBefore w:val="0"/>
        <w:widowControl w:val="0"/>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2.7.1</w:t>
      </w:r>
      <w:r>
        <w:rPr>
          <w:rFonts w:hint="eastAsia" w:ascii="宋体" w:hAnsi="宋体" w:eastAsia="宋体" w:cs="宋体"/>
          <w:color w:val="auto"/>
          <w:sz w:val="21"/>
          <w:szCs w:val="21"/>
          <w:highlight w:val="none"/>
          <w:shd w:val="clear" w:color="auto" w:fill="FFFFFF"/>
        </w:rPr>
        <w:t>投标人</w:t>
      </w:r>
      <w:r>
        <w:rPr>
          <w:rFonts w:hint="eastAsia" w:ascii="宋体" w:hAnsi="宋体" w:eastAsia="宋体" w:cs="宋体"/>
          <w:color w:val="auto"/>
          <w:sz w:val="21"/>
          <w:szCs w:val="21"/>
          <w:highlight w:val="none"/>
        </w:rPr>
        <w:t>使用通过受让或者租借等方式获取的资格、资质证书投标的，属于以他人名义投标。</w:t>
      </w:r>
    </w:p>
    <w:p w14:paraId="7E77D4FD">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2.7.2投标人</w:t>
      </w:r>
      <w:r>
        <w:rPr>
          <w:rFonts w:hint="eastAsia" w:ascii="宋体" w:hAnsi="宋体" w:eastAsia="宋体" w:cs="宋体"/>
          <w:color w:val="auto"/>
          <w:sz w:val="21"/>
          <w:szCs w:val="21"/>
          <w:highlight w:val="none"/>
        </w:rPr>
        <w:t>有下列情形之一的，属于相互串通投标：</w:t>
      </w:r>
    </w:p>
    <w:p w14:paraId="1F2CE3E3">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2.7.2.1</w:t>
      </w:r>
      <w:r>
        <w:rPr>
          <w:rFonts w:hint="eastAsia" w:ascii="宋体" w:hAnsi="宋体" w:eastAsia="宋体" w:cs="宋体"/>
          <w:color w:val="auto"/>
          <w:sz w:val="21"/>
          <w:szCs w:val="21"/>
          <w:highlight w:val="none"/>
        </w:rPr>
        <w:t>投标人之间协商投标报价等投标文件的实质性内容；</w:t>
      </w:r>
    </w:p>
    <w:p w14:paraId="68EFEFC5">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2.7.2.2</w:t>
      </w:r>
      <w:r>
        <w:rPr>
          <w:rFonts w:hint="eastAsia" w:ascii="宋体" w:hAnsi="宋体" w:eastAsia="宋体" w:cs="宋体"/>
          <w:color w:val="auto"/>
          <w:sz w:val="21"/>
          <w:szCs w:val="21"/>
          <w:highlight w:val="none"/>
        </w:rPr>
        <w:t>投标人之间约定中标人；</w:t>
      </w:r>
    </w:p>
    <w:p w14:paraId="3C01356C">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2.7.2.3</w:t>
      </w:r>
      <w:r>
        <w:rPr>
          <w:rFonts w:hint="eastAsia" w:ascii="宋体" w:hAnsi="宋体" w:eastAsia="宋体" w:cs="宋体"/>
          <w:color w:val="auto"/>
          <w:sz w:val="21"/>
          <w:szCs w:val="21"/>
          <w:highlight w:val="none"/>
        </w:rPr>
        <w:t>投标人之间约定部分投标人放弃投标或者中标；</w:t>
      </w:r>
    </w:p>
    <w:p w14:paraId="19C696FF">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2.7.2.4</w:t>
      </w:r>
      <w:r>
        <w:rPr>
          <w:rFonts w:hint="eastAsia" w:ascii="宋体" w:hAnsi="宋体" w:eastAsia="宋体" w:cs="宋体"/>
          <w:color w:val="auto"/>
          <w:sz w:val="21"/>
          <w:szCs w:val="21"/>
          <w:highlight w:val="none"/>
        </w:rPr>
        <w:t>属于同一集团、协会、商会等组织成员的投标人按照该组织要求协同投标；</w:t>
      </w:r>
    </w:p>
    <w:p w14:paraId="071BC0C5">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2.7.2.5</w:t>
      </w:r>
      <w:r>
        <w:rPr>
          <w:rFonts w:hint="eastAsia" w:ascii="宋体" w:hAnsi="宋体" w:eastAsia="宋体" w:cs="宋体"/>
          <w:color w:val="auto"/>
          <w:sz w:val="21"/>
          <w:szCs w:val="21"/>
          <w:highlight w:val="none"/>
        </w:rPr>
        <w:t>投标人之间为谋取中标或者排斥特定投标人而采取的其他联合行动。</w:t>
      </w:r>
    </w:p>
    <w:p w14:paraId="3613C93A">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2.7.3投标人</w:t>
      </w:r>
      <w:r>
        <w:rPr>
          <w:rFonts w:hint="eastAsia" w:ascii="宋体" w:hAnsi="宋体" w:eastAsia="宋体" w:cs="宋体"/>
          <w:color w:val="auto"/>
          <w:sz w:val="21"/>
          <w:szCs w:val="21"/>
          <w:highlight w:val="none"/>
        </w:rPr>
        <w:t>有下列情形之一的，</w:t>
      </w:r>
      <w:r>
        <w:rPr>
          <w:rFonts w:hint="eastAsia" w:ascii="宋体" w:hAnsi="宋体" w:eastAsia="宋体" w:cs="宋体"/>
          <w:color w:val="auto"/>
          <w:sz w:val="21"/>
          <w:szCs w:val="21"/>
          <w:highlight w:val="none"/>
          <w:lang w:val="en-US" w:eastAsia="zh-CN"/>
        </w:rPr>
        <w:t>视为串通投标：</w:t>
      </w:r>
    </w:p>
    <w:p w14:paraId="32A74691">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2.7.3.1 投标文件加盖的是其他投标人的公章。</w:t>
      </w:r>
    </w:p>
    <w:p w14:paraId="3BACAD26">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default"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2.7.3.2 不同投标人的法定代表人或者委托代理人或者项目管理人员由同一单位缴纳社会</w:t>
      </w:r>
      <w:r>
        <w:rPr>
          <w:rFonts w:hint="eastAsia" w:ascii="宋体" w:hAnsi="宋体" w:cs="宋体"/>
          <w:color w:val="auto"/>
          <w:sz w:val="21"/>
          <w:szCs w:val="21"/>
          <w:highlight w:val="none"/>
          <w:shd w:val="clear" w:color="auto" w:fill="auto"/>
          <w:lang w:val="en-US" w:eastAsia="zh-CN"/>
        </w:rPr>
        <w:t>保险。</w:t>
      </w:r>
    </w:p>
    <w:p w14:paraId="4C0E6CEE">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2.7.3.3 两家以上的投标文件、投标保证金由同一人递交、领取。</w:t>
      </w:r>
    </w:p>
    <w:p w14:paraId="110B7ABE">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2.7.3.4 与招标代理机构存在人员互相任职或者工作。</w:t>
      </w:r>
    </w:p>
    <w:p w14:paraId="1F94025E">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2.7.3.5 与招标代理机构存在控股、管理等利害关系。</w:t>
      </w:r>
    </w:p>
    <w:p w14:paraId="2B31A348">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2.7.3.6 与招标代理机构同一个办公地址（场所）。</w:t>
      </w:r>
    </w:p>
    <w:p w14:paraId="16D3BEDD">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2.7.3.7 行业主管部门依法依规调查确认的其他违法违规情形。</w:t>
      </w:r>
    </w:p>
    <w:p w14:paraId="60BD7695">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2.7.3.8 法律法规规定的其他禁止性情形。</w:t>
      </w:r>
    </w:p>
    <w:p w14:paraId="4C3E4D10">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2.7.4</w:t>
      </w:r>
      <w:r>
        <w:rPr>
          <w:rFonts w:hint="eastAsia" w:ascii="宋体" w:hAnsi="宋体" w:eastAsia="宋体" w:cs="宋体"/>
          <w:color w:val="auto"/>
          <w:sz w:val="21"/>
          <w:szCs w:val="21"/>
          <w:highlight w:val="none"/>
        </w:rPr>
        <w:t>投标人有下列情形之一的，属于以其他方式弄虚作假的行为：</w:t>
      </w:r>
    </w:p>
    <w:p w14:paraId="0C77E963">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2.7.4.1</w:t>
      </w:r>
      <w:r>
        <w:rPr>
          <w:rFonts w:hint="eastAsia" w:ascii="宋体" w:hAnsi="宋体" w:eastAsia="宋体" w:cs="宋体"/>
          <w:color w:val="auto"/>
          <w:sz w:val="21"/>
          <w:szCs w:val="21"/>
          <w:highlight w:val="none"/>
        </w:rPr>
        <w:t>使用伪造、变造的许可证件；</w:t>
      </w:r>
    </w:p>
    <w:p w14:paraId="0F6C8835">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2.7.4.2</w:t>
      </w:r>
      <w:r>
        <w:rPr>
          <w:rFonts w:hint="eastAsia" w:ascii="宋体" w:hAnsi="宋体" w:eastAsia="宋体" w:cs="宋体"/>
          <w:color w:val="auto"/>
          <w:sz w:val="21"/>
          <w:szCs w:val="21"/>
          <w:highlight w:val="none"/>
        </w:rPr>
        <w:t>提供虚假的财务状况或者业绩；</w:t>
      </w:r>
    </w:p>
    <w:p w14:paraId="0383A698">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2.7.4.3</w:t>
      </w:r>
      <w:r>
        <w:rPr>
          <w:rFonts w:hint="eastAsia" w:ascii="宋体" w:hAnsi="宋体" w:eastAsia="宋体" w:cs="宋体"/>
          <w:color w:val="auto"/>
          <w:sz w:val="21"/>
          <w:szCs w:val="21"/>
          <w:highlight w:val="none"/>
        </w:rPr>
        <w:t>提供虚假的</w:t>
      </w:r>
      <w:r>
        <w:rPr>
          <w:rFonts w:hint="eastAsia" w:ascii="宋体" w:hAnsi="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或者主要技术人员简历、劳动关系证明；</w:t>
      </w:r>
    </w:p>
    <w:p w14:paraId="07519487">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2.7.4.4</w:t>
      </w:r>
      <w:r>
        <w:rPr>
          <w:rFonts w:hint="eastAsia" w:ascii="宋体" w:hAnsi="宋体" w:eastAsia="宋体" w:cs="宋体"/>
          <w:color w:val="auto"/>
          <w:sz w:val="21"/>
          <w:szCs w:val="21"/>
          <w:highlight w:val="none"/>
        </w:rPr>
        <w:t>提供虚假的信用状况；</w:t>
      </w:r>
    </w:p>
    <w:p w14:paraId="64E4EDEF">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2.7.4.5经查实有利用、冒用领导干部名义插手干预工程建设项目招标投标；</w:t>
      </w:r>
    </w:p>
    <w:p w14:paraId="07F10C47">
      <w:pPr>
        <w:keepNext w:val="0"/>
        <w:keepLines w:val="0"/>
        <w:pageBreakBefore w:val="0"/>
        <w:widowControl w:val="0"/>
        <w:kinsoku/>
        <w:wordWrap/>
        <w:overflowPunct/>
        <w:topLinePunct w:val="0"/>
        <w:autoSpaceDE/>
        <w:autoSpaceDN/>
        <w:bidi w:val="0"/>
        <w:snapToGrid/>
        <w:spacing w:beforeLines="0" w:afterLines="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2.7.4.6</w:t>
      </w:r>
      <w:r>
        <w:rPr>
          <w:rFonts w:hint="eastAsia" w:ascii="宋体" w:hAnsi="宋体" w:eastAsia="宋体" w:cs="宋体"/>
          <w:color w:val="auto"/>
          <w:sz w:val="21"/>
          <w:szCs w:val="21"/>
          <w:highlight w:val="none"/>
        </w:rPr>
        <w:t>其他弄虚作假的行为。</w:t>
      </w:r>
    </w:p>
    <w:p w14:paraId="1EDD324C">
      <w:pPr>
        <w:keepNext w:val="0"/>
        <w:keepLines w:val="0"/>
        <w:pageBreakBefore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2.7.5投标人有下列情形之一的：</w:t>
      </w:r>
    </w:p>
    <w:p w14:paraId="362A453A">
      <w:pPr>
        <w:keepNext w:val="0"/>
        <w:keepLines w:val="0"/>
        <w:pageBreakBefore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2.7.5.1 不同投标人编制的投标文件的实质性内容存在两处以上细节错误</w:t>
      </w:r>
      <w:r>
        <w:rPr>
          <w:rFonts w:hint="eastAsia" w:ascii="宋体" w:hAnsi="宋体" w:cs="宋体"/>
          <w:color w:val="auto"/>
          <w:sz w:val="21"/>
          <w:szCs w:val="21"/>
          <w:highlight w:val="none"/>
          <w:lang w:val="en-US" w:eastAsia="zh-CN"/>
        </w:rPr>
        <w:t>且一</w:t>
      </w:r>
      <w:r>
        <w:rPr>
          <w:rFonts w:hint="eastAsia" w:ascii="宋体" w:hAnsi="宋体" w:eastAsia="宋体" w:cs="宋体"/>
          <w:color w:val="auto"/>
          <w:sz w:val="21"/>
          <w:szCs w:val="21"/>
          <w:highlight w:val="none"/>
          <w:lang w:val="en-US" w:eastAsia="zh-CN"/>
        </w:rPr>
        <w:t>致；</w:t>
      </w:r>
    </w:p>
    <w:p w14:paraId="6EA61A6C">
      <w:pPr>
        <w:keepNext w:val="0"/>
        <w:keepLines w:val="0"/>
        <w:pageBreakBefore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2.7.5.2 参加投标活动的人员为同一</w:t>
      </w:r>
      <w:r>
        <w:rPr>
          <w:rFonts w:hint="eastAsia" w:ascii="宋体" w:hAnsi="宋体" w:cs="宋体"/>
          <w:color w:val="auto"/>
          <w:sz w:val="21"/>
          <w:szCs w:val="21"/>
          <w:highlight w:val="none"/>
          <w:lang w:val="en-US" w:eastAsia="zh-CN"/>
        </w:rPr>
        <w:t>包组</w:t>
      </w:r>
      <w:r>
        <w:rPr>
          <w:rFonts w:hint="eastAsia" w:ascii="宋体" w:hAnsi="宋体" w:eastAsia="宋体" w:cs="宋体"/>
          <w:color w:val="auto"/>
          <w:sz w:val="21"/>
          <w:szCs w:val="21"/>
          <w:highlight w:val="none"/>
          <w:lang w:val="en-US" w:eastAsia="zh-CN"/>
        </w:rPr>
        <w:t>其他投标人的在职人员；</w:t>
      </w:r>
    </w:p>
    <w:p w14:paraId="091CBE90">
      <w:pPr>
        <w:pStyle w:val="2"/>
        <w:keepNext w:val="0"/>
        <w:keepLines w:val="0"/>
        <w:pageBreakBefore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2.7.5.</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不同投标人的投标保证金从投标人各自的基本账户转出，但是，所需资金来自同一单位或者个人账户。</w:t>
      </w:r>
    </w:p>
    <w:p w14:paraId="2066EAE3">
      <w:pPr>
        <w:pStyle w:val="2"/>
        <w:keepNext w:val="0"/>
        <w:keepLines w:val="0"/>
        <w:pageBreakBefore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r>
        <w:rPr>
          <w:rFonts w:hint="eastAsia" w:ascii="宋体" w:hAnsi="宋体" w:cs="宋体"/>
          <w:color w:val="auto"/>
          <w:sz w:val="21"/>
          <w:szCs w:val="21"/>
          <w:highlight w:val="none"/>
          <w:lang w:val="en-US" w:eastAsia="zh-CN"/>
        </w:rPr>
        <w:t>6法律法规</w:t>
      </w:r>
      <w:r>
        <w:rPr>
          <w:rFonts w:hint="eastAsia" w:ascii="宋体" w:hAnsi="宋体" w:eastAsia="宋体" w:cs="宋体"/>
          <w:color w:val="auto"/>
          <w:sz w:val="21"/>
          <w:szCs w:val="21"/>
          <w:highlight w:val="none"/>
          <w:lang w:eastAsia="zh-CN"/>
        </w:rPr>
        <w:t>、规章、规范性文件以及国家、省、市各级政府部门工作文件</w:t>
      </w:r>
      <w:r>
        <w:rPr>
          <w:rFonts w:hint="eastAsia" w:ascii="宋体" w:hAnsi="宋体" w:eastAsia="宋体" w:cs="宋体"/>
          <w:color w:val="auto"/>
          <w:sz w:val="21"/>
          <w:szCs w:val="21"/>
          <w:highlight w:val="none"/>
        </w:rPr>
        <w:t>规定的其他</w:t>
      </w:r>
      <w:r>
        <w:rPr>
          <w:rFonts w:hint="eastAsia" w:ascii="宋体" w:hAnsi="宋体" w:eastAsia="宋体" w:cs="宋体"/>
          <w:color w:val="auto"/>
          <w:sz w:val="21"/>
          <w:szCs w:val="21"/>
          <w:highlight w:val="none"/>
          <w:lang w:val="en-US" w:eastAsia="zh-CN"/>
        </w:rPr>
        <w:t>认定标准。</w:t>
      </w:r>
    </w:p>
    <w:p w14:paraId="4FA2FAF1">
      <w:pPr>
        <w:keepNext w:val="0"/>
        <w:keepLines w:val="0"/>
        <w:pageBreakBefore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2.8投标人有下列情形之一的：</w:t>
      </w:r>
    </w:p>
    <w:p w14:paraId="24C8F40D">
      <w:pPr>
        <w:keepNext w:val="0"/>
        <w:keepLines w:val="0"/>
        <w:pageBreakBefore w:val="0"/>
        <w:widowControl w:val="0"/>
        <w:tabs>
          <w:tab w:val="left" w:pos="1080"/>
        </w:tabs>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.1投标人近2年内（从投标截止之日起倒算）在佛山市本招标项目行业领域发生过拒不履行合同或者履约评价不合格（“近2年”以履约评价时间为准进行计算）；</w:t>
      </w:r>
    </w:p>
    <w:p w14:paraId="03F090E0">
      <w:pPr>
        <w:keepNext w:val="0"/>
        <w:keepLines w:val="0"/>
        <w:pageBreakBefore w:val="0"/>
        <w:widowControl w:val="0"/>
        <w:tabs>
          <w:tab w:val="left" w:pos="1080"/>
        </w:tabs>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投标人近1年内（从投标截止之日起倒算）在佛山市招标投标活动中提出两次以上投诉但查无实据（“近1年”以行业主管部门出具的《投诉处理决定书》的落款时间为准进行计算）；</w:t>
      </w:r>
    </w:p>
    <w:p w14:paraId="69B7163F">
      <w:pPr>
        <w:keepNext w:val="0"/>
        <w:keepLines w:val="0"/>
        <w:pageBreakBefore w:val="0"/>
        <w:widowControl w:val="0"/>
        <w:tabs>
          <w:tab w:val="left" w:pos="1080"/>
        </w:tabs>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投标人因串通投标、采用行贿手段谋取中标、以他人名义投标或者以其他方式弄虚作假骗取中标等违法行为受到过被取消投标资格的行政处罚，且在被取消投标资格的行政处罚期内；</w:t>
      </w:r>
    </w:p>
    <w:p w14:paraId="27C9BA42">
      <w:pPr>
        <w:keepNext w:val="0"/>
        <w:keepLines w:val="0"/>
        <w:pageBreakBefore w:val="0"/>
        <w:widowControl w:val="0"/>
        <w:tabs>
          <w:tab w:val="left" w:pos="1080"/>
        </w:tabs>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投标人的报价明显低于其他通过符合性审查投标人的报价，可能严重影响履约且不能证明其报价合理性；</w:t>
      </w:r>
    </w:p>
    <w:p w14:paraId="7EF94A2B">
      <w:pPr>
        <w:keepNext w:val="0"/>
        <w:keepLines w:val="0"/>
        <w:pageBreakBefore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2.9投标人拒不按照</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en-US" w:eastAsia="zh-CN"/>
        </w:rPr>
        <w:t>要求对投标文件进行澄清、说明或者补正的；</w:t>
      </w:r>
    </w:p>
    <w:p w14:paraId="1A96D8F3">
      <w:pPr>
        <w:keepNext w:val="0"/>
        <w:keepLines w:val="0"/>
        <w:pageBreakBefore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2.10超过半数的</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en-US" w:eastAsia="zh-CN"/>
        </w:rPr>
        <w:t>成员认为投标人的报价可能低于其成本的，要求投标人在指定时间内书面说明，并提供相关证明材料，但投标人拒绝书面说明或者不能提供相关证明材料或者理由不充分的，</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en-US" w:eastAsia="zh-CN"/>
        </w:rPr>
        <w:t>应当认定该投标人以低于成本报价竞标；</w:t>
      </w:r>
    </w:p>
    <w:p w14:paraId="1A6365E1">
      <w:pPr>
        <w:keepNext w:val="0"/>
        <w:keepLines w:val="0"/>
        <w:pageBreakBefore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en-US" w:eastAsia="zh-CN"/>
        </w:rPr>
        <w:t>根据评标办法对投标文件的计算错误进行修正后，投标人不接受修正后的投标报</w:t>
      </w:r>
      <w:r>
        <w:rPr>
          <w:rFonts w:hint="eastAsia" w:ascii="宋体" w:hAnsi="宋体" w:eastAsia="宋体" w:cs="宋体"/>
          <w:color w:val="auto"/>
          <w:sz w:val="21"/>
          <w:szCs w:val="21"/>
          <w:highlight w:val="none"/>
        </w:rPr>
        <w:t>价；</w:t>
      </w:r>
    </w:p>
    <w:p w14:paraId="2F8C5793">
      <w:pPr>
        <w:keepNext w:val="0"/>
        <w:keepLines w:val="0"/>
        <w:pageBreakBefore w:val="0"/>
        <w:widowControl w:val="0"/>
        <w:tabs>
          <w:tab w:val="left" w:pos="1080"/>
        </w:tabs>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投标文件不符合招标文件评标办法前附表的要求</w:t>
      </w:r>
      <w:r>
        <w:rPr>
          <w:rFonts w:hint="eastAsia" w:ascii="宋体" w:hAnsi="宋体" w:eastAsia="宋体" w:cs="宋体"/>
          <w:color w:val="auto"/>
          <w:sz w:val="21"/>
          <w:szCs w:val="21"/>
          <w:highlight w:val="none"/>
          <w:lang w:eastAsia="zh-CN"/>
        </w:rPr>
        <w:t>；</w:t>
      </w:r>
    </w:p>
    <w:p w14:paraId="30161C05">
      <w:pPr>
        <w:keepNext w:val="0"/>
        <w:keepLines w:val="0"/>
        <w:pageBreakBefore w:val="0"/>
        <w:widowControl w:val="0"/>
        <w:tabs>
          <w:tab w:val="left" w:pos="1080"/>
        </w:tabs>
        <w:kinsoku/>
        <w:wordWrap/>
        <w:overflowPunct/>
        <w:topLinePunct w:val="0"/>
        <w:autoSpaceDE/>
        <w:autoSpaceDN/>
        <w:bidi w:val="0"/>
        <w:snapToGrid/>
        <w:spacing w:beforeLines="0" w:afterLines="0" w:line="360" w:lineRule="auto"/>
        <w:ind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法律法规规定的其他情形。</w:t>
      </w:r>
    </w:p>
    <w:p w14:paraId="471E4726">
      <w:pPr>
        <w:pageBreakBefore w:val="0"/>
        <w:kinsoku/>
        <w:overflowPunct/>
        <w:bidi w:val="0"/>
        <w:spacing w:beforeLines="0" w:afterLines="0" w:line="360" w:lineRule="auto"/>
        <w:ind w:left="0" w:leftChars="0" w:right="0"/>
        <w:rPr>
          <w:rFonts w:hint="eastAsia" w:ascii="宋体" w:hAnsi="宋体" w:eastAsia="宋体" w:cs="宋体"/>
          <w:b/>
          <w:bCs/>
          <w:color w:val="auto"/>
          <w:kern w:val="32"/>
          <w:sz w:val="28"/>
          <w:szCs w:val="40"/>
          <w:highlight w:val="none"/>
        </w:rPr>
      </w:pPr>
      <w:bookmarkStart w:id="16" w:name="_Toc792613642"/>
      <w:bookmarkStart w:id="17" w:name="_Toc29666"/>
      <w:bookmarkStart w:id="18" w:name="_Toc12294"/>
      <w:bookmarkStart w:id="19" w:name="_Toc3921"/>
      <w:bookmarkStart w:id="20" w:name="_Toc11278"/>
      <w:bookmarkStart w:id="21" w:name="_Toc437960958"/>
      <w:bookmarkStart w:id="22" w:name="_Toc494215566"/>
      <w:r>
        <w:rPr>
          <w:rFonts w:hint="eastAsia" w:ascii="宋体" w:hAnsi="宋体" w:eastAsia="宋体" w:cs="宋体"/>
          <w:b/>
          <w:bCs/>
          <w:color w:val="auto"/>
          <w:kern w:val="32"/>
          <w:sz w:val="28"/>
          <w:szCs w:val="40"/>
          <w:highlight w:val="none"/>
        </w:rPr>
        <w:br w:type="page"/>
      </w:r>
    </w:p>
    <w:p w14:paraId="6427EAC0">
      <w:pPr>
        <w:pageBreakBefore w:val="0"/>
        <w:kinsoku/>
        <w:overflowPunct/>
        <w:bidi w:val="0"/>
        <w:spacing w:beforeLines="0" w:afterLines="0" w:line="360" w:lineRule="auto"/>
        <w:ind w:left="0" w:leftChars="0" w:right="0"/>
        <w:jc w:val="center"/>
        <w:outlineLvl w:val="0"/>
        <w:rPr>
          <w:rFonts w:hint="eastAsia" w:ascii="宋体" w:hAnsi="宋体" w:eastAsia="宋体" w:cs="宋体"/>
          <w:b/>
          <w:bCs/>
          <w:color w:val="auto"/>
          <w:kern w:val="32"/>
          <w:sz w:val="28"/>
          <w:szCs w:val="40"/>
          <w:highlight w:val="none"/>
        </w:rPr>
      </w:pPr>
      <w:bookmarkStart w:id="23" w:name="_Toc32730"/>
      <w:bookmarkStart w:id="24" w:name="_Toc29397"/>
      <w:r>
        <w:rPr>
          <w:rFonts w:hint="eastAsia" w:ascii="宋体" w:hAnsi="宋体" w:eastAsia="宋体" w:cs="宋体"/>
          <w:b/>
          <w:bCs/>
          <w:color w:val="auto"/>
          <w:kern w:val="32"/>
          <w:sz w:val="28"/>
          <w:szCs w:val="40"/>
          <w:highlight w:val="none"/>
        </w:rPr>
        <w:t>投标无效、中标无效的认定及处理</w:t>
      </w:r>
      <w:bookmarkEnd w:id="16"/>
      <w:bookmarkEnd w:id="17"/>
      <w:bookmarkEnd w:id="18"/>
      <w:bookmarkEnd w:id="19"/>
      <w:bookmarkEnd w:id="20"/>
      <w:bookmarkEnd w:id="21"/>
      <w:bookmarkEnd w:id="22"/>
      <w:bookmarkEnd w:id="23"/>
      <w:bookmarkEnd w:id="24"/>
    </w:p>
    <w:p w14:paraId="55BD5010">
      <w:pPr>
        <w:pStyle w:val="183"/>
        <w:keepNext w:val="0"/>
        <w:keepLines w:val="0"/>
        <w:widowControl w:val="0"/>
        <w:kinsoku/>
        <w:wordWrap/>
        <w:overflowPunct/>
        <w:topLinePunct w:val="0"/>
        <w:autoSpaceDE/>
        <w:autoSpaceDN/>
        <w:bidi w:val="0"/>
        <w:snapToGrid/>
        <w:spacing w:beforeLines="0" w:afterLines="0" w:line="360" w:lineRule="auto"/>
        <w:rPr>
          <w:rFonts w:hint="eastAsia" w:ascii="宋体" w:hAnsi="宋体"/>
          <w:color w:val="auto"/>
          <w:kern w:val="2"/>
          <w:sz w:val="21"/>
          <w:szCs w:val="21"/>
          <w:highlight w:val="none"/>
        </w:rPr>
      </w:pPr>
      <w:r>
        <w:rPr>
          <w:rFonts w:hint="eastAsia" w:ascii="宋体" w:hAnsi="宋体"/>
          <w:b/>
          <w:bCs/>
          <w:color w:val="auto"/>
          <w:kern w:val="2"/>
          <w:sz w:val="21"/>
          <w:szCs w:val="21"/>
          <w:highlight w:val="none"/>
        </w:rPr>
        <w:t>招标人对投标无效、中标无效的认定及处理的修改：</w:t>
      </w:r>
    </w:p>
    <w:p w14:paraId="36E3F573">
      <w:pPr>
        <w:pStyle w:val="183"/>
        <w:keepNext w:val="0"/>
        <w:keepLines w:val="0"/>
        <w:widowControl w:val="0"/>
        <w:kinsoku/>
        <w:wordWrap/>
        <w:overflowPunct/>
        <w:topLinePunct w:val="0"/>
        <w:autoSpaceDE/>
        <w:autoSpaceDN/>
        <w:bidi w:val="0"/>
        <w:snapToGrid/>
        <w:spacing w:beforeLines="0" w:afterLines="0" w:line="360" w:lineRule="auto"/>
        <w:rPr>
          <w:rFonts w:hint="eastAsia" w:ascii="宋体" w:hAnsi="宋体"/>
          <w:color w:val="auto"/>
          <w:kern w:val="2"/>
          <w:sz w:val="21"/>
          <w:szCs w:val="21"/>
          <w:highlight w:val="none"/>
        </w:rPr>
      </w:pP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rPr>
        <w:t>第[      ]</w:t>
      </w:r>
      <w:r>
        <w:rPr>
          <w:rFonts w:hint="eastAsia" w:ascii="宋体" w:hAnsi="宋体"/>
          <w:color w:val="auto"/>
          <w:kern w:val="2"/>
          <w:sz w:val="21"/>
          <w:szCs w:val="21"/>
          <w:highlight w:val="none"/>
          <w:lang w:val="en-US" w:eastAsia="zh-CN"/>
        </w:rPr>
        <w:t>项</w:t>
      </w:r>
      <w:r>
        <w:rPr>
          <w:rFonts w:hint="eastAsia" w:ascii="宋体" w:hAnsi="宋体"/>
          <w:color w:val="auto"/>
          <w:kern w:val="2"/>
          <w:sz w:val="21"/>
          <w:szCs w:val="21"/>
          <w:highlight w:val="none"/>
        </w:rPr>
        <w:t>修改为：[      ]。</w:t>
      </w:r>
    </w:p>
    <w:p w14:paraId="03491EB2">
      <w:pPr>
        <w:pStyle w:val="183"/>
        <w:keepNext w:val="0"/>
        <w:keepLines w:val="0"/>
        <w:widowControl w:val="0"/>
        <w:kinsoku/>
        <w:wordWrap/>
        <w:overflowPunct/>
        <w:topLinePunct w:val="0"/>
        <w:autoSpaceDE/>
        <w:autoSpaceDN/>
        <w:bidi w:val="0"/>
        <w:snapToGrid/>
        <w:spacing w:beforeLines="0" w:afterLines="0" w:line="360" w:lineRule="auto"/>
        <w:rPr>
          <w:rFonts w:hint="eastAsia" w:ascii="宋体" w:hAnsi="宋体"/>
          <w:color w:val="auto"/>
          <w:kern w:val="2"/>
          <w:sz w:val="21"/>
          <w:szCs w:val="21"/>
          <w:highlight w:val="none"/>
        </w:rPr>
      </w:pPr>
      <w:r>
        <w:rPr>
          <w:rFonts w:hint="eastAsia" w:ascii="宋体" w:hAnsi="宋体"/>
          <w:color w:val="auto"/>
          <w:kern w:val="2"/>
          <w:sz w:val="21"/>
          <w:szCs w:val="21"/>
          <w:highlight w:val="none"/>
        </w:rPr>
        <w:t>□增加第[      ]</w:t>
      </w:r>
      <w:r>
        <w:rPr>
          <w:rFonts w:hint="eastAsia" w:ascii="宋体" w:hAnsi="宋体"/>
          <w:color w:val="auto"/>
          <w:kern w:val="2"/>
          <w:sz w:val="21"/>
          <w:szCs w:val="21"/>
          <w:highlight w:val="none"/>
          <w:lang w:val="en-US" w:eastAsia="zh-CN"/>
        </w:rPr>
        <w:t>项</w:t>
      </w:r>
      <w:r>
        <w:rPr>
          <w:rFonts w:hint="eastAsia" w:ascii="宋体" w:hAnsi="宋体"/>
          <w:color w:val="auto"/>
          <w:kern w:val="2"/>
          <w:sz w:val="21"/>
          <w:szCs w:val="21"/>
          <w:highlight w:val="none"/>
        </w:rPr>
        <w:t>：[      ]。</w:t>
      </w:r>
    </w:p>
    <w:p w14:paraId="6AEA780C">
      <w:pPr>
        <w:keepNext w:val="0"/>
        <w:keepLines w:val="0"/>
        <w:widowControl w:val="0"/>
        <w:kinsoku/>
        <w:wordWrap/>
        <w:overflowPunct/>
        <w:topLinePunct w:val="0"/>
        <w:autoSpaceDE/>
        <w:autoSpaceDN/>
        <w:bidi w:val="0"/>
        <w:snapToGrid/>
        <w:spacing w:beforeLines="0" w:afterLines="0" w:line="360" w:lineRule="auto"/>
        <w:ind w:firstLine="0" w:firstLineChars="0"/>
        <w:rPr>
          <w:rFonts w:hint="eastAsia" w:ascii="宋体" w:hAnsi="宋体" w:eastAsia="宋体" w:cs="宋体"/>
          <w:b/>
          <w:bCs/>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投标无效的情形（包括但不限于）：</w:t>
      </w:r>
    </w:p>
    <w:p w14:paraId="7EC7AF07">
      <w:pPr>
        <w:keepNext w:val="0"/>
        <w:keepLines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与招标人存在利害关系可能影响招标公正性的法人、其他组织或者个人参加投标的；</w:t>
      </w:r>
    </w:p>
    <w:p w14:paraId="1A9B0DB3">
      <w:pPr>
        <w:keepNext w:val="0"/>
        <w:keepLines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单位负责人为同一人或者存在控股、管理关系的不同单位，参加同一</w:t>
      </w:r>
      <w:r>
        <w:rPr>
          <w:rFonts w:hint="eastAsia" w:ascii="宋体" w:hAnsi="宋体" w:cs="宋体"/>
          <w:color w:val="auto"/>
          <w:sz w:val="21"/>
          <w:szCs w:val="21"/>
          <w:highlight w:val="none"/>
          <w:lang w:eastAsia="zh-CN"/>
        </w:rPr>
        <w:t>包组</w:t>
      </w:r>
      <w:r>
        <w:rPr>
          <w:rFonts w:hint="eastAsia" w:ascii="宋体" w:hAnsi="宋体" w:cs="宋体"/>
          <w:color w:val="auto"/>
          <w:sz w:val="21"/>
          <w:szCs w:val="21"/>
          <w:highlight w:val="none"/>
        </w:rPr>
        <w:t>投标或者未划分</w:t>
      </w:r>
      <w:r>
        <w:rPr>
          <w:rFonts w:hint="eastAsia" w:ascii="宋体" w:hAnsi="宋体" w:cs="宋体"/>
          <w:color w:val="auto"/>
          <w:sz w:val="21"/>
          <w:szCs w:val="21"/>
          <w:highlight w:val="none"/>
          <w:lang w:eastAsia="zh-CN"/>
        </w:rPr>
        <w:t>包组</w:t>
      </w:r>
      <w:r>
        <w:rPr>
          <w:rFonts w:hint="eastAsia" w:ascii="宋体" w:hAnsi="宋体" w:cs="宋体"/>
          <w:color w:val="auto"/>
          <w:sz w:val="21"/>
          <w:szCs w:val="21"/>
          <w:highlight w:val="none"/>
        </w:rPr>
        <w:t>的同一招标项目投标的；</w:t>
      </w:r>
    </w:p>
    <w:p w14:paraId="5D1D19D2">
      <w:pPr>
        <w:keepNext w:val="0"/>
        <w:keepLines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联合体各方在同一招标项目中以自己名义单独投标或者参加其他联合体投标的；</w:t>
      </w:r>
    </w:p>
    <w:p w14:paraId="74710431">
      <w:pPr>
        <w:keepNext w:val="0"/>
        <w:keepLines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rPr>
        <w:t>投标人发生合并、分立、破产等重大变化，不再具备招标文件规定的资格条件或者其投标影响招标公正性的</w:t>
      </w:r>
      <w:r>
        <w:rPr>
          <w:rFonts w:hint="eastAsia" w:ascii="宋体" w:hAnsi="宋体" w:cs="宋体"/>
          <w:color w:val="auto"/>
          <w:sz w:val="21"/>
          <w:szCs w:val="21"/>
          <w:highlight w:val="none"/>
          <w:lang w:eastAsia="zh-CN"/>
        </w:rPr>
        <w:t>。</w:t>
      </w:r>
    </w:p>
    <w:p w14:paraId="2B93FAB3">
      <w:pPr>
        <w:keepNext w:val="0"/>
        <w:keepLines w:val="0"/>
        <w:widowControl w:val="0"/>
        <w:kinsoku/>
        <w:wordWrap/>
        <w:overflowPunct/>
        <w:topLinePunct w:val="0"/>
        <w:autoSpaceDE/>
        <w:autoSpaceDN/>
        <w:bidi w:val="0"/>
        <w:snapToGrid/>
        <w:spacing w:beforeLines="0" w:afterLines="0"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投标被确认无效的，在评标过程中，相关投标应当被否决；在中标候选人公示阶段，应当取消其中标资格；已发出中标通知书的，中标无效。</w:t>
      </w:r>
    </w:p>
    <w:p w14:paraId="7B0C1BB2">
      <w:pPr>
        <w:keepNext w:val="0"/>
        <w:keepLines w:val="0"/>
        <w:widowControl w:val="0"/>
        <w:kinsoku/>
        <w:wordWrap/>
        <w:overflowPunct/>
        <w:topLinePunct w:val="0"/>
        <w:autoSpaceDE/>
        <w:autoSpaceDN/>
        <w:bidi w:val="0"/>
        <w:snapToGrid/>
        <w:spacing w:beforeLines="0" w:afterLines="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rPr>
        <w:t>中标无效的情形（包括但不限于）：</w:t>
      </w:r>
    </w:p>
    <w:p w14:paraId="1D1A5A58">
      <w:pPr>
        <w:keepNext w:val="0"/>
        <w:keepLines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招标代理机构泄露应当保密的与招标投标活动有关的情况和资料的，或者与招标人、投标人串通损害国家利益、社会公共利益或者他人合法权益，影响中标结果的</w:t>
      </w:r>
      <w:r>
        <w:rPr>
          <w:rFonts w:hint="eastAsia" w:ascii="宋体" w:hAnsi="宋体" w:cs="宋体"/>
          <w:color w:val="auto"/>
          <w:sz w:val="21"/>
          <w:szCs w:val="21"/>
          <w:highlight w:val="none"/>
          <w:lang w:eastAsia="zh-CN"/>
        </w:rPr>
        <w:t>；</w:t>
      </w:r>
    </w:p>
    <w:p w14:paraId="545C325D">
      <w:pPr>
        <w:keepNext w:val="0"/>
        <w:keepLines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依法必须进行招标的项目的招标人向他人透露已获取招标文件的潜在投标人的名称、数量或者可能影响公平竞争的有关招标投标的其他情况的，影响中标结果的；</w:t>
      </w:r>
    </w:p>
    <w:p w14:paraId="3A86F66B">
      <w:pPr>
        <w:keepNext w:val="0"/>
        <w:keepLines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2.3</w:t>
      </w:r>
      <w:r>
        <w:rPr>
          <w:rFonts w:hint="eastAsia" w:ascii="宋体" w:hAnsi="宋体" w:cs="宋体"/>
          <w:color w:val="auto"/>
          <w:sz w:val="21"/>
          <w:szCs w:val="21"/>
          <w:highlight w:val="none"/>
        </w:rPr>
        <w:t>投标人相互串通投标或者与招标人串通投标的，投标人以向招标人或者</w:t>
      </w:r>
      <w:r>
        <w:rPr>
          <w:rFonts w:hint="eastAsia" w:ascii="宋体" w:hAnsi="宋体" w:cs="宋体"/>
          <w:color w:val="auto"/>
          <w:sz w:val="21"/>
          <w:szCs w:val="21"/>
          <w:highlight w:val="none"/>
          <w:lang w:val="en-US" w:eastAsia="zh-CN"/>
        </w:rPr>
        <w:t>评标委员会</w:t>
      </w:r>
      <w:r>
        <w:rPr>
          <w:rFonts w:hint="eastAsia" w:ascii="宋体" w:hAnsi="宋体" w:cs="宋体"/>
          <w:color w:val="auto"/>
          <w:sz w:val="21"/>
          <w:szCs w:val="21"/>
          <w:highlight w:val="none"/>
        </w:rPr>
        <w:t>成员行贿的手段谋取中标的；</w:t>
      </w:r>
    </w:p>
    <w:p w14:paraId="6504631D">
      <w:pPr>
        <w:keepNext w:val="0"/>
        <w:keepLines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rPr>
        <w:t>投标人以他人名义投标或者以其他方式弄虚作假，骗取中标的；</w:t>
      </w:r>
    </w:p>
    <w:p w14:paraId="329BFD38">
      <w:pPr>
        <w:keepNext w:val="0"/>
        <w:keepLines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依法必须进行招标的项目，招标人违反</w:t>
      </w:r>
      <w:r>
        <w:rPr>
          <w:rFonts w:hint="eastAsia" w:ascii="宋体" w:hAnsi="宋体" w:cs="宋体"/>
          <w:color w:val="auto"/>
          <w:sz w:val="21"/>
          <w:szCs w:val="21"/>
          <w:highlight w:val="none"/>
          <w:lang w:eastAsia="zh-CN"/>
        </w:rPr>
        <w:t>《中华人民共和国招标投标法》</w:t>
      </w:r>
      <w:r>
        <w:rPr>
          <w:rFonts w:hint="eastAsia" w:ascii="宋体" w:hAnsi="宋体" w:cs="宋体"/>
          <w:color w:val="auto"/>
          <w:sz w:val="21"/>
          <w:szCs w:val="21"/>
          <w:highlight w:val="none"/>
        </w:rPr>
        <w:t>规定，与投标人就投标价格、投标方案等实质性内容进行谈判，影响中标结果的；</w:t>
      </w:r>
    </w:p>
    <w:p w14:paraId="6844BF3B">
      <w:pPr>
        <w:keepNext w:val="0"/>
        <w:keepLines w:val="0"/>
        <w:widowControl w:val="0"/>
        <w:kinsoku/>
        <w:wordWrap/>
        <w:overflowPunct/>
        <w:topLinePunct w:val="0"/>
        <w:autoSpaceDE/>
        <w:autoSpaceDN/>
        <w:bidi w:val="0"/>
        <w:snapToGrid/>
        <w:spacing w:beforeLines="0" w:afterLines="0"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2.6</w:t>
      </w:r>
      <w:r>
        <w:rPr>
          <w:rFonts w:hint="eastAsia" w:ascii="宋体" w:hAnsi="宋体" w:cs="宋体"/>
          <w:color w:val="auto"/>
          <w:sz w:val="21"/>
          <w:szCs w:val="21"/>
          <w:highlight w:val="none"/>
        </w:rPr>
        <w:t>招标人在</w:t>
      </w:r>
      <w:r>
        <w:rPr>
          <w:rFonts w:hint="eastAsia" w:ascii="宋体" w:hAnsi="宋体" w:cs="宋体"/>
          <w:color w:val="auto"/>
          <w:sz w:val="21"/>
          <w:szCs w:val="21"/>
          <w:highlight w:val="none"/>
          <w:lang w:val="en-US" w:eastAsia="zh-CN"/>
        </w:rPr>
        <w:t>评标委员会</w:t>
      </w:r>
      <w:r>
        <w:rPr>
          <w:rFonts w:hint="eastAsia" w:ascii="宋体" w:hAnsi="宋体" w:cs="宋体"/>
          <w:color w:val="auto"/>
          <w:sz w:val="21"/>
          <w:szCs w:val="21"/>
          <w:highlight w:val="none"/>
        </w:rPr>
        <w:t>依法推荐的中标候选人以外确定中标人的，依法必须进行招标的项目在所有投标被</w:t>
      </w:r>
      <w:r>
        <w:rPr>
          <w:rFonts w:hint="eastAsia" w:ascii="宋体" w:hAnsi="宋体" w:cs="宋体"/>
          <w:color w:val="auto"/>
          <w:sz w:val="21"/>
          <w:szCs w:val="21"/>
          <w:highlight w:val="none"/>
          <w:lang w:val="en-US" w:eastAsia="zh-CN"/>
        </w:rPr>
        <w:t>评标委员会</w:t>
      </w:r>
      <w:r>
        <w:rPr>
          <w:rFonts w:hint="eastAsia" w:ascii="宋体" w:hAnsi="宋体" w:cs="宋体"/>
          <w:color w:val="auto"/>
          <w:sz w:val="21"/>
          <w:szCs w:val="21"/>
          <w:highlight w:val="none"/>
        </w:rPr>
        <w:t>否决后自行确定中标人的</w:t>
      </w:r>
      <w:r>
        <w:rPr>
          <w:rFonts w:hint="eastAsia" w:ascii="宋体" w:hAnsi="宋体" w:cs="宋体"/>
          <w:color w:val="auto"/>
          <w:sz w:val="21"/>
          <w:szCs w:val="21"/>
          <w:highlight w:val="none"/>
          <w:lang w:eastAsia="zh-CN"/>
        </w:rPr>
        <w:t>；</w:t>
      </w:r>
    </w:p>
    <w:p w14:paraId="33F7904D">
      <w:pPr>
        <w:keepNext w:val="0"/>
        <w:keepLines w:val="0"/>
        <w:widowControl w:val="0"/>
        <w:kinsoku/>
        <w:wordWrap/>
        <w:overflowPunct/>
        <w:topLinePunct w:val="0"/>
        <w:autoSpaceDE/>
        <w:autoSpaceDN/>
        <w:bidi w:val="0"/>
        <w:snapToGrid/>
        <w:spacing w:beforeLines="0" w:afterLines="0" w:line="360" w:lineRule="auto"/>
        <w:ind w:firstLine="420" w:firstLineChars="200"/>
        <w:jc w:val="left"/>
        <w:rPr>
          <w:rFonts w:hint="default" w:ascii="宋体" w:hAnsi="宋体" w:cs="宋体"/>
          <w:b/>
          <w:color w:val="auto"/>
          <w:sz w:val="21"/>
          <w:szCs w:val="21"/>
          <w:highlight w:val="none"/>
          <w:lang w:val="en-US"/>
        </w:rPr>
      </w:pPr>
      <w:r>
        <w:rPr>
          <w:rFonts w:hint="eastAsia" w:ascii="宋体" w:hAnsi="宋体" w:cs="宋体"/>
          <w:color w:val="auto"/>
          <w:sz w:val="21"/>
          <w:szCs w:val="21"/>
          <w:highlight w:val="none"/>
          <w:lang w:val="en-US" w:eastAsia="zh-CN"/>
        </w:rPr>
        <w:t>2.7中标人未按要求提交低价风险担保的。</w:t>
      </w:r>
    </w:p>
    <w:p w14:paraId="1C8D1D99">
      <w:pPr>
        <w:keepNext w:val="0"/>
        <w:keepLines w:val="0"/>
        <w:widowControl w:val="0"/>
        <w:kinsoku/>
        <w:wordWrap/>
        <w:overflowPunct/>
        <w:topLinePunct w:val="0"/>
        <w:autoSpaceDE/>
        <w:autoSpaceDN/>
        <w:bidi w:val="0"/>
        <w:snapToGrid/>
        <w:spacing w:beforeLines="0" w:afterLines="0" w:line="360" w:lineRule="auto"/>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中标被确认无效的，由招标人</w:t>
      </w:r>
      <w:r>
        <w:rPr>
          <w:rFonts w:hint="eastAsia" w:ascii="宋体" w:hAnsi="宋体" w:cs="宋体"/>
          <w:b/>
          <w:bCs w:val="0"/>
          <w:color w:val="auto"/>
          <w:sz w:val="21"/>
          <w:szCs w:val="21"/>
          <w:highlight w:val="none"/>
          <w:lang w:val="en-US" w:eastAsia="zh-CN"/>
        </w:rPr>
        <w:t>按照相关法律法规</w:t>
      </w:r>
      <w:r>
        <w:rPr>
          <w:rFonts w:hint="eastAsia" w:ascii="宋体" w:hAnsi="宋体"/>
          <w:b/>
          <w:bCs w:val="0"/>
          <w:color w:val="auto"/>
          <w:sz w:val="21"/>
          <w:szCs w:val="21"/>
          <w:highlight w:val="none"/>
          <w:lang w:eastAsia="zh-CN"/>
        </w:rPr>
        <w:t>、规章、规范性文件以及国家、省、市各级政府部门工作文件</w:t>
      </w:r>
      <w:r>
        <w:rPr>
          <w:rFonts w:hint="eastAsia" w:ascii="宋体" w:hAnsi="宋体"/>
          <w:b/>
          <w:bCs w:val="0"/>
          <w:color w:val="auto"/>
          <w:sz w:val="21"/>
          <w:szCs w:val="21"/>
          <w:highlight w:val="none"/>
          <w:lang w:val="en-US" w:eastAsia="zh-CN"/>
        </w:rPr>
        <w:t>的</w:t>
      </w:r>
      <w:r>
        <w:rPr>
          <w:rFonts w:hint="eastAsia" w:ascii="宋体" w:hAnsi="宋体"/>
          <w:b/>
          <w:bCs w:val="0"/>
          <w:color w:val="auto"/>
          <w:sz w:val="21"/>
          <w:szCs w:val="21"/>
          <w:highlight w:val="none"/>
        </w:rPr>
        <w:t>规定</w:t>
      </w:r>
      <w:r>
        <w:rPr>
          <w:rFonts w:hint="eastAsia" w:ascii="宋体" w:hAnsi="宋体" w:cs="宋体"/>
          <w:b/>
          <w:bCs w:val="0"/>
          <w:color w:val="auto"/>
          <w:sz w:val="21"/>
          <w:szCs w:val="21"/>
          <w:highlight w:val="none"/>
        </w:rPr>
        <w:t>从符</w:t>
      </w:r>
      <w:r>
        <w:rPr>
          <w:rFonts w:hint="eastAsia" w:ascii="宋体" w:hAnsi="宋体" w:cs="宋体"/>
          <w:b/>
          <w:color w:val="auto"/>
          <w:sz w:val="21"/>
          <w:szCs w:val="21"/>
          <w:highlight w:val="none"/>
        </w:rPr>
        <w:t>合条件的其他中标候选人中确定中标人或者重新招标。</w:t>
      </w:r>
    </w:p>
    <w:p w14:paraId="721F0287">
      <w:pPr>
        <w:pStyle w:val="21"/>
        <w:pageBreakBefore w:val="0"/>
        <w:kinsoku/>
        <w:overflowPunct/>
        <w:bidi w:val="0"/>
        <w:spacing w:beforeLines="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sz w:val="21"/>
          <w:szCs w:val="21"/>
          <w:highlight w:val="none"/>
          <w:u w:val="single"/>
        </w:rPr>
        <w:br w:type="page"/>
      </w:r>
      <w:bookmarkEnd w:id="7"/>
      <w:bookmarkEnd w:id="8"/>
      <w:bookmarkEnd w:id="9"/>
      <w:bookmarkStart w:id="25" w:name="_Toc24613"/>
      <w:bookmarkStart w:id="26" w:name="_Toc20059"/>
      <w:bookmarkStart w:id="27" w:name="_Toc524942570"/>
      <w:bookmarkStart w:id="28" w:name="_Toc1929"/>
      <w:bookmarkStart w:id="29" w:name="_Toc1004218339"/>
      <w:bookmarkStart w:id="30" w:name="_Toc12642"/>
      <w:bookmarkStart w:id="31" w:name="_Toc1169352430"/>
      <w:bookmarkStart w:id="32" w:name="_Toc17836"/>
      <w:bookmarkStart w:id="33" w:name="_Toc2051"/>
      <w:bookmarkStart w:id="34" w:name="_Toc2257"/>
      <w:bookmarkStart w:id="35" w:name="_Toc32625"/>
      <w:bookmarkStart w:id="36" w:name="_Toc359208401"/>
      <w:bookmarkStart w:id="37" w:name="_Toc1899"/>
      <w:bookmarkStart w:id="38" w:name="_Toc31841"/>
      <w:bookmarkStart w:id="39" w:name="_Toc437960960"/>
      <w:r>
        <w:rPr>
          <w:rFonts w:hint="eastAsia" w:ascii="宋体" w:hAnsi="宋体" w:eastAsia="宋体" w:cs="宋体"/>
          <w:color w:val="auto"/>
          <w:sz w:val="28"/>
          <w:szCs w:val="40"/>
          <w:highlight w:val="none"/>
        </w:rPr>
        <w:t>第一章 致投标人</w:t>
      </w:r>
      <w:bookmarkEnd w:id="25"/>
      <w:bookmarkEnd w:id="26"/>
      <w:bookmarkEnd w:id="27"/>
      <w:bookmarkEnd w:id="28"/>
      <w:bookmarkEnd w:id="29"/>
      <w:bookmarkEnd w:id="30"/>
      <w:bookmarkEnd w:id="31"/>
      <w:bookmarkEnd w:id="32"/>
      <w:bookmarkEnd w:id="33"/>
      <w:bookmarkEnd w:id="34"/>
    </w:p>
    <w:p w14:paraId="7DF9B614">
      <w:pPr>
        <w:pStyle w:val="42"/>
        <w:keepNext w:val="0"/>
        <w:keepLines w:val="0"/>
        <w:pageBreakBefore w:val="0"/>
        <w:kinsoku/>
        <w:wordWrap/>
        <w:overflowPunct/>
        <w:topLinePunct w:val="0"/>
        <w:autoSpaceDE/>
        <w:autoSpaceDN/>
        <w:bidi w:val="0"/>
        <w:adjustRightInd/>
        <w:snapToGrid/>
        <w:spacing w:beforeLines="0" w:afterLines="0" w:line="360" w:lineRule="auto"/>
        <w:ind w:firstLine="422" w:firstLineChars="200"/>
        <w:jc w:val="left"/>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特别提示：</w:t>
      </w:r>
    </w:p>
    <w:p w14:paraId="66B688E7">
      <w:pPr>
        <w:pStyle w:val="42"/>
        <w:keepNext w:val="0"/>
        <w:keepLines w:val="0"/>
        <w:pageBreakBefore w:val="0"/>
        <w:kinsoku/>
        <w:wordWrap/>
        <w:overflowPunct/>
        <w:topLinePunct w:val="0"/>
        <w:autoSpaceDE/>
        <w:autoSpaceDN/>
        <w:bidi w:val="0"/>
        <w:adjustRightInd/>
        <w:snapToGrid/>
        <w:spacing w:beforeLines="0" w:afterLines="0" w:line="360" w:lineRule="auto"/>
        <w:ind w:firstLine="422" w:firstLineChars="200"/>
        <w:jc w:val="left"/>
        <w:textAlignment w:val="auto"/>
        <w:rPr>
          <w:rFonts w:hint="eastAsia" w:hAnsi="宋体"/>
          <w:color w:val="auto"/>
          <w:sz w:val="21"/>
          <w:szCs w:val="24"/>
          <w:highlight w:val="none"/>
        </w:rPr>
      </w:pPr>
      <w:r>
        <w:rPr>
          <w:rFonts w:hint="eastAsia" w:hAnsi="宋体"/>
          <w:color w:val="auto"/>
          <w:sz w:val="21"/>
          <w:szCs w:val="24"/>
          <w:highlight w:val="none"/>
        </w:rPr>
        <w:t>一、本招标文件是依据有关招标投标的</w:t>
      </w:r>
      <w:r>
        <w:rPr>
          <w:rFonts w:hint="eastAsia" w:hAnsi="宋体"/>
          <w:color w:val="auto"/>
          <w:sz w:val="21"/>
          <w:szCs w:val="24"/>
          <w:highlight w:val="none"/>
          <w:lang w:eastAsia="zh-CN"/>
        </w:rPr>
        <w:t>法律法规、规章、规范性文件以及国家、省、市各级政府部门工作文件的</w:t>
      </w:r>
      <w:r>
        <w:rPr>
          <w:rFonts w:hint="eastAsia" w:ascii="宋体" w:hAnsi="宋体"/>
          <w:color w:val="auto"/>
          <w:sz w:val="21"/>
          <w:szCs w:val="24"/>
          <w:highlight w:val="none"/>
        </w:rPr>
        <w:t>规定</w:t>
      </w:r>
      <w:r>
        <w:rPr>
          <w:rFonts w:hint="eastAsia" w:hAnsi="宋体"/>
          <w:color w:val="auto"/>
          <w:sz w:val="21"/>
          <w:szCs w:val="24"/>
          <w:highlight w:val="none"/>
        </w:rPr>
        <w:t>，</w:t>
      </w:r>
      <w:r>
        <w:rPr>
          <w:rFonts w:hint="eastAsia" w:hAnsi="宋体"/>
          <w:color w:val="auto"/>
          <w:sz w:val="21"/>
          <w:szCs w:val="24"/>
          <w:highlight w:val="none"/>
          <w:lang w:val="en-US" w:eastAsia="zh-CN"/>
        </w:rPr>
        <w:t>以及</w:t>
      </w:r>
      <w:r>
        <w:rPr>
          <w:rFonts w:hint="eastAsia" w:hAnsi="宋体"/>
          <w:color w:val="auto"/>
          <w:sz w:val="21"/>
          <w:szCs w:val="24"/>
          <w:highlight w:val="none"/>
        </w:rPr>
        <w:t>本</w:t>
      </w:r>
      <w:r>
        <w:rPr>
          <w:rFonts w:hint="eastAsia" w:hAnsi="宋体"/>
          <w:color w:val="auto"/>
          <w:sz w:val="21"/>
          <w:szCs w:val="24"/>
          <w:highlight w:val="none"/>
          <w:lang w:eastAsia="zh-CN"/>
        </w:rPr>
        <w:t>招标项目</w:t>
      </w:r>
      <w:r>
        <w:rPr>
          <w:rFonts w:hint="eastAsia" w:hAnsi="宋体"/>
          <w:color w:val="auto"/>
          <w:sz w:val="21"/>
          <w:szCs w:val="24"/>
          <w:highlight w:val="none"/>
        </w:rPr>
        <w:t>的特点和需要编制的。招标文件的编制遵循公开、公平、公正和诚实信用的原则，招标文件的内容已清楚地反映了工程的规模、性质以及商务和技术要求等。</w:t>
      </w:r>
    </w:p>
    <w:p w14:paraId="7EA7C13D">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二、投标人获取招标文件后，应仔细阅读招标文件及附件的全部内容，招标文件与附件具有同等效力。</w:t>
      </w:r>
    </w:p>
    <w:p w14:paraId="24481B36">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三、投标人在投标截止时间前，应通过</w:t>
      </w:r>
      <w:r>
        <w:rPr>
          <w:rFonts w:hint="eastAsia" w:ascii="宋体" w:hAnsi="宋体" w:cs="宋体"/>
          <w:b w:val="0"/>
          <w:bCs w:val="0"/>
          <w:color w:val="auto"/>
          <w:kern w:val="0"/>
          <w:sz w:val="21"/>
          <w:szCs w:val="21"/>
          <w:highlight w:val="none"/>
          <w:lang w:val="en-US" w:eastAsia="zh-CN"/>
        </w:rPr>
        <w:t>本项目发布媒介</w:t>
      </w:r>
      <w:r>
        <w:rPr>
          <w:rFonts w:hint="eastAsia" w:ascii="宋体" w:hAnsi="宋体"/>
          <w:color w:val="auto"/>
          <w:sz w:val="21"/>
          <w:szCs w:val="21"/>
          <w:highlight w:val="none"/>
        </w:rPr>
        <w:t>随时查看有关该工程招标文件的澄清（答疑）、补充、修改内容。招标文件</w:t>
      </w:r>
      <w:r>
        <w:rPr>
          <w:rFonts w:hint="eastAsia" w:ascii="宋体" w:hAnsi="宋体"/>
          <w:color w:val="auto"/>
          <w:sz w:val="21"/>
          <w:szCs w:val="21"/>
          <w:highlight w:val="none"/>
          <w:lang w:val="en-US" w:eastAsia="zh-CN"/>
        </w:rPr>
        <w:t>的</w:t>
      </w:r>
      <w:r>
        <w:rPr>
          <w:rFonts w:hint="eastAsia" w:ascii="宋体" w:hAnsi="宋体"/>
          <w:color w:val="auto"/>
          <w:sz w:val="21"/>
          <w:szCs w:val="21"/>
          <w:highlight w:val="none"/>
        </w:rPr>
        <w:t>澄清（答疑）、补充、修改内容不一致时，以最后发出的为准。</w:t>
      </w:r>
    </w:p>
    <w:p w14:paraId="7BE8E3F2">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四、投标人应在遵循招标文件的各项规定和要求的前提下，编制投标文件。编制投标文件时，应注意：</w:t>
      </w:r>
    </w:p>
    <w:p w14:paraId="4BF109D2">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1、投标文件必须满足招标文件中的实质性要求和条件。投标文件的所有否决性条款已在招标文件中集中载明，若出现其中任何一个情形的，其投标将会被否决。</w:t>
      </w:r>
    </w:p>
    <w:p w14:paraId="748213BF">
      <w:pPr>
        <w:keepNext w:val="0"/>
        <w:keepLines w:val="0"/>
        <w:pageBreakBefore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cs="仿宋_GB2312"/>
          <w:bCs/>
          <w:color w:val="auto"/>
          <w:sz w:val="21"/>
          <w:szCs w:val="21"/>
          <w:highlight w:val="none"/>
        </w:rPr>
      </w:pPr>
      <w:r>
        <w:rPr>
          <w:rFonts w:hint="eastAsia" w:ascii="宋体" w:hAnsi="宋体"/>
          <w:color w:val="auto"/>
          <w:sz w:val="21"/>
          <w:szCs w:val="21"/>
          <w:highlight w:val="none"/>
        </w:rPr>
        <w:t>2、投标人对招标文件有不明之处，</w:t>
      </w:r>
      <w:r>
        <w:rPr>
          <w:rFonts w:hint="eastAsia" w:ascii="宋体" w:hAnsi="宋体"/>
          <w:color w:val="auto"/>
          <w:sz w:val="21"/>
          <w:szCs w:val="21"/>
          <w:highlight w:val="none"/>
          <w:lang w:eastAsia="zh-CN"/>
        </w:rPr>
        <w:t>应当</w:t>
      </w:r>
      <w:r>
        <w:rPr>
          <w:rFonts w:hint="eastAsia" w:ascii="宋体" w:hAnsi="宋体"/>
          <w:color w:val="auto"/>
          <w:sz w:val="21"/>
          <w:szCs w:val="21"/>
          <w:highlight w:val="none"/>
        </w:rPr>
        <w:t>通过</w:t>
      </w:r>
      <w:r>
        <w:rPr>
          <w:rFonts w:hint="eastAsia" w:ascii="宋体" w:hAnsi="宋体" w:cs="宋体"/>
          <w:color w:val="auto"/>
          <w:sz w:val="21"/>
          <w:szCs w:val="21"/>
          <w:highlight w:val="none"/>
          <w:lang w:val="en-US" w:eastAsia="zh-CN"/>
        </w:rPr>
        <w:t>招标文件指定的方式</w:t>
      </w:r>
      <w:r>
        <w:rPr>
          <w:rFonts w:hint="eastAsia" w:ascii="宋体" w:hAnsi="宋体"/>
          <w:color w:val="auto"/>
          <w:sz w:val="21"/>
          <w:szCs w:val="21"/>
          <w:highlight w:val="none"/>
        </w:rPr>
        <w:t>以不记名方式向招标人提出疑问</w:t>
      </w:r>
      <w:r>
        <w:rPr>
          <w:rFonts w:hint="eastAsia" w:ascii="宋体" w:hAnsi="宋体"/>
          <w:color w:val="auto"/>
          <w:sz w:val="21"/>
          <w:szCs w:val="21"/>
          <w:highlight w:val="none"/>
          <w:lang w:eastAsia="zh-CN"/>
        </w:rPr>
        <w:t>（</w:t>
      </w:r>
      <w:r>
        <w:rPr>
          <w:rFonts w:hint="eastAsia" w:ascii="宋体" w:hAnsi="宋体" w:cs="仿宋_GB2312"/>
          <w:bCs/>
          <w:color w:val="auto"/>
          <w:sz w:val="21"/>
          <w:szCs w:val="21"/>
          <w:highlight w:val="none"/>
        </w:rPr>
        <w:t>疑问应</w:t>
      </w:r>
      <w:r>
        <w:rPr>
          <w:rFonts w:hint="eastAsia" w:ascii="宋体" w:hAnsi="宋体" w:cs="仿宋_GB2312"/>
          <w:bCs/>
          <w:color w:val="auto"/>
          <w:sz w:val="21"/>
          <w:szCs w:val="21"/>
          <w:highlight w:val="none"/>
          <w:lang w:val="en-US" w:eastAsia="zh-CN"/>
        </w:rPr>
        <w:t>当</w:t>
      </w:r>
      <w:r>
        <w:rPr>
          <w:rFonts w:hint="eastAsia" w:ascii="宋体" w:hAnsi="宋体" w:cs="仿宋_GB2312"/>
          <w:bCs/>
          <w:color w:val="auto"/>
          <w:sz w:val="21"/>
          <w:szCs w:val="21"/>
          <w:highlight w:val="none"/>
        </w:rPr>
        <w:t>在招标文件规定的时间内提出</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认为</w:t>
      </w:r>
      <w:r>
        <w:rPr>
          <w:rFonts w:hint="eastAsia" w:ascii="宋体" w:hAnsi="宋体" w:cs="仿宋_GB2312"/>
          <w:bCs/>
          <w:color w:val="auto"/>
          <w:sz w:val="21"/>
          <w:szCs w:val="21"/>
          <w:highlight w:val="none"/>
        </w:rPr>
        <w:t>招标文件的内容违法违规或不公平、不公正，损害其利益的，应当在投标截止时间</w:t>
      </w:r>
      <w:r>
        <w:rPr>
          <w:rFonts w:hint="eastAsia" w:ascii="宋体" w:hAnsi="宋体" w:cs="仿宋_GB2312"/>
          <w:bCs/>
          <w:color w:val="auto"/>
          <w:sz w:val="21"/>
          <w:szCs w:val="21"/>
          <w:highlight w:val="none"/>
          <w:lang w:val="en-US" w:eastAsia="zh-CN"/>
        </w:rPr>
        <w:t>5</w:t>
      </w:r>
      <w:r>
        <w:rPr>
          <w:rFonts w:hint="eastAsia" w:ascii="宋体" w:hAnsi="宋体" w:cs="仿宋_GB2312"/>
          <w:bCs/>
          <w:color w:val="auto"/>
          <w:sz w:val="21"/>
          <w:szCs w:val="21"/>
          <w:highlight w:val="none"/>
        </w:rPr>
        <w:t>日前</w:t>
      </w:r>
      <w:r>
        <w:rPr>
          <w:rFonts w:hint="eastAsia" w:ascii="宋体" w:hAnsi="宋体"/>
          <w:color w:val="auto"/>
          <w:sz w:val="21"/>
          <w:szCs w:val="21"/>
          <w:highlight w:val="none"/>
        </w:rPr>
        <w:t>向招标人提出异议</w:t>
      </w:r>
      <w:r>
        <w:rPr>
          <w:rFonts w:hint="eastAsia" w:ascii="宋体" w:hAnsi="宋体"/>
          <w:color w:val="auto"/>
          <w:sz w:val="21"/>
          <w:szCs w:val="21"/>
          <w:highlight w:val="none"/>
          <w:lang w:eastAsia="zh-CN"/>
        </w:rPr>
        <w:t>。</w:t>
      </w:r>
    </w:p>
    <w:p w14:paraId="2A9A8533">
      <w:pPr>
        <w:keepNext w:val="0"/>
        <w:keepLines w:val="0"/>
        <w:pageBreakBefore w:val="0"/>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3、请务必按相关要求编制投标文件，有疑问的可通过</w:t>
      </w:r>
      <w:r>
        <w:rPr>
          <w:rFonts w:hint="eastAsia" w:ascii="宋体" w:hAnsi="宋体"/>
          <w:color w:val="auto"/>
          <w:sz w:val="21"/>
          <w:szCs w:val="21"/>
          <w:highlight w:val="none"/>
          <w:lang w:val="en-US" w:eastAsia="zh-CN"/>
        </w:rPr>
        <w:t>招标文件</w:t>
      </w:r>
      <w:r>
        <w:rPr>
          <w:rFonts w:hint="eastAsia" w:ascii="宋体" w:hAnsi="宋体"/>
          <w:color w:val="auto"/>
          <w:sz w:val="21"/>
          <w:szCs w:val="21"/>
          <w:highlight w:val="none"/>
        </w:rPr>
        <w:t>载明的联系方式</w:t>
      </w:r>
      <w:r>
        <w:rPr>
          <w:rFonts w:hint="eastAsia" w:ascii="宋体" w:hAnsi="宋体"/>
          <w:color w:val="auto"/>
          <w:sz w:val="21"/>
          <w:szCs w:val="21"/>
          <w:highlight w:val="none"/>
          <w:lang w:eastAsia="zh-CN"/>
        </w:rPr>
        <w:t>进行</w:t>
      </w:r>
      <w:r>
        <w:rPr>
          <w:rFonts w:hint="eastAsia" w:ascii="宋体" w:hAnsi="宋体"/>
          <w:color w:val="auto"/>
          <w:sz w:val="21"/>
          <w:szCs w:val="21"/>
          <w:highlight w:val="none"/>
        </w:rPr>
        <w:t>咨询。</w:t>
      </w:r>
    </w:p>
    <w:p w14:paraId="5A169028">
      <w:pPr>
        <w:keepNext w:val="0"/>
        <w:keepLines w:val="0"/>
        <w:pageBreakBefore w:val="0"/>
        <w:kinsoku/>
        <w:wordWrap/>
        <w:overflowPunct/>
        <w:topLinePunct w:val="0"/>
        <w:autoSpaceDE/>
        <w:autoSpaceDN/>
        <w:bidi w:val="0"/>
        <w:adjustRightInd/>
        <w:snapToGrid/>
        <w:spacing w:beforeLines="0" w:afterLines="0" w:line="360" w:lineRule="auto"/>
        <w:ind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w:t>
      </w:r>
      <w:r>
        <w:rPr>
          <w:rFonts w:hint="eastAsia" w:ascii="宋体" w:hAnsi="宋体" w:eastAsia="宋体" w:cs="Times New Roman"/>
          <w:color w:val="auto"/>
          <w:sz w:val="21"/>
          <w:szCs w:val="21"/>
          <w:highlight w:val="none"/>
          <w:lang w:val="en-US" w:eastAsia="zh-CN"/>
        </w:rPr>
        <w:t>投标文件中需签字、盖章的，</w:t>
      </w:r>
      <w:r>
        <w:rPr>
          <w:rFonts w:hint="eastAsia" w:ascii="宋体" w:hAnsi="宋体" w:eastAsia="宋体" w:cs="Times New Roman"/>
          <w:color w:val="auto"/>
          <w:sz w:val="21"/>
          <w:szCs w:val="21"/>
          <w:highlight w:val="none"/>
        </w:rPr>
        <w:t>投标人应</w:t>
      </w:r>
      <w:r>
        <w:rPr>
          <w:rFonts w:hint="eastAsia" w:ascii="宋体" w:hAnsi="宋体" w:eastAsia="宋体" w:cs="Times New Roman"/>
          <w:color w:val="auto"/>
          <w:sz w:val="21"/>
          <w:szCs w:val="21"/>
          <w:highlight w:val="none"/>
          <w:lang w:val="en-US" w:eastAsia="zh-CN"/>
        </w:rPr>
        <w:t>按</w:t>
      </w:r>
      <w:r>
        <w:rPr>
          <w:rFonts w:hint="eastAsia" w:ascii="宋体" w:hAnsi="宋体" w:eastAsia="宋体" w:cs="Times New Roman"/>
          <w:color w:val="auto"/>
          <w:sz w:val="21"/>
          <w:szCs w:val="21"/>
          <w:highlight w:val="none"/>
        </w:rPr>
        <w:t>要求签字、盖章</w:t>
      </w:r>
      <w:r>
        <w:rPr>
          <w:rFonts w:hint="eastAsia" w:ascii="宋体" w:hAnsi="宋体" w:eastAsia="宋体" w:cs="Times New Roman"/>
          <w:color w:val="auto"/>
          <w:sz w:val="21"/>
          <w:szCs w:val="21"/>
          <w:highlight w:val="none"/>
          <w:lang w:eastAsia="zh-CN"/>
        </w:rPr>
        <w:t>。</w:t>
      </w:r>
    </w:p>
    <w:p w14:paraId="00A7E48B">
      <w:pPr>
        <w:pageBreakBefore w:val="0"/>
        <w:kinsoku/>
        <w:overflowPunct/>
        <w:bidi w:val="0"/>
        <w:spacing w:beforeLines="0" w:afterLines="0" w:line="360" w:lineRule="auto"/>
        <w:ind w:left="0" w:leftChars="0" w:right="0" w:firstLine="480" w:firstLineChars="200"/>
        <w:jc w:val="center"/>
        <w:outlineLvl w:val="0"/>
        <w:rPr>
          <w:rFonts w:hint="eastAsia" w:ascii="宋体" w:hAnsi="宋体" w:eastAsia="宋体" w:cs="宋体"/>
          <w:color w:val="auto"/>
          <w:sz w:val="24"/>
          <w:highlight w:val="none"/>
          <w:u w:val="single"/>
        </w:rPr>
        <w:sectPr>
          <w:footerReference r:id="rId5" w:type="default"/>
          <w:pgSz w:w="11906" w:h="16838"/>
          <w:pgMar w:top="1440" w:right="1080" w:bottom="1440" w:left="1080" w:header="851" w:footer="851" w:gutter="0"/>
          <w:pgNumType w:fmt="decimal" w:start="1"/>
          <w:cols w:space="720" w:num="1"/>
          <w:docGrid w:type="lines" w:linePitch="312" w:charSpace="0"/>
        </w:sectPr>
      </w:pPr>
    </w:p>
    <w:p w14:paraId="7ACCA697">
      <w:pPr>
        <w:pStyle w:val="2"/>
        <w:pageBreakBefore w:val="0"/>
        <w:kinsoku/>
        <w:overflowPunct/>
        <w:bidi w:val="0"/>
        <w:spacing w:beforeLines="0" w:afterLines="0" w:line="360" w:lineRule="auto"/>
        <w:ind w:left="0" w:leftChars="0" w:right="0" w:firstLine="562"/>
        <w:jc w:val="center"/>
        <w:outlineLvl w:val="0"/>
        <w:rPr>
          <w:rFonts w:hint="eastAsia" w:ascii="宋体" w:hAnsi="宋体" w:eastAsia="宋体" w:cs="宋体"/>
          <w:b/>
          <w:bCs/>
          <w:color w:val="auto"/>
          <w:kern w:val="32"/>
          <w:sz w:val="28"/>
          <w:szCs w:val="40"/>
          <w:highlight w:val="none"/>
        </w:rPr>
      </w:pPr>
      <w:bookmarkStart w:id="40" w:name="_Toc10326"/>
      <w:bookmarkStart w:id="41" w:name="_Toc6024"/>
      <w:bookmarkStart w:id="42" w:name="_Toc823641800"/>
      <w:bookmarkStart w:id="43" w:name="_Toc1683437313"/>
      <w:r>
        <w:rPr>
          <w:rFonts w:hint="eastAsia" w:ascii="宋体" w:hAnsi="宋体" w:eastAsia="宋体" w:cs="宋体"/>
          <w:b/>
          <w:bCs/>
          <w:color w:val="auto"/>
          <w:kern w:val="32"/>
          <w:sz w:val="28"/>
          <w:szCs w:val="40"/>
          <w:highlight w:val="none"/>
        </w:rPr>
        <w:t>第二章 招标公告</w:t>
      </w:r>
      <w:bookmarkEnd w:id="40"/>
      <w:bookmarkEnd w:id="41"/>
    </w:p>
    <w:p w14:paraId="47182C17">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健坤康乾工程咨询有限公司</w:t>
      </w:r>
      <w:r>
        <w:rPr>
          <w:rFonts w:hint="eastAsia" w:ascii="宋体" w:hAnsi="宋体" w:eastAsia="宋体" w:cs="宋体"/>
          <w:color w:val="auto"/>
          <w:kern w:val="0"/>
          <w:sz w:val="21"/>
          <w:szCs w:val="21"/>
          <w:highlight w:val="none"/>
        </w:rPr>
        <w:t>受</w:t>
      </w:r>
      <w:r>
        <w:rPr>
          <w:rFonts w:hint="eastAsia" w:ascii="宋体" w:hAnsi="宋体" w:eastAsia="宋体" w:cs="宋体"/>
          <w:color w:val="auto"/>
          <w:kern w:val="0"/>
          <w:sz w:val="21"/>
          <w:szCs w:val="21"/>
          <w:highlight w:val="none"/>
          <w:lang w:eastAsia="zh-CN"/>
        </w:rPr>
        <w:t>广东南海城建集团有限公司</w:t>
      </w:r>
      <w:r>
        <w:rPr>
          <w:rFonts w:hint="eastAsia" w:ascii="宋体" w:hAnsi="宋体" w:eastAsia="宋体" w:cs="宋体"/>
          <w:color w:val="auto"/>
          <w:kern w:val="0"/>
          <w:sz w:val="21"/>
          <w:szCs w:val="21"/>
          <w:highlight w:val="none"/>
        </w:rPr>
        <w:t>的委托，对</w:t>
      </w:r>
      <w:r>
        <w:rPr>
          <w:rFonts w:hint="eastAsia" w:ascii="宋体" w:hAnsi="宋体" w:eastAsia="宋体" w:cs="宋体"/>
          <w:color w:val="auto"/>
          <w:kern w:val="0"/>
          <w:sz w:val="21"/>
          <w:szCs w:val="21"/>
          <w:highlight w:val="none"/>
          <w:lang w:eastAsia="zh-CN"/>
        </w:rPr>
        <w:t>粤港澳大湾区—佛山市南海区电力管廊（一期）项目—佛山220千伏沥中输变电线路配套电力管廊建设工程预算审核（复审）</w:t>
      </w:r>
      <w:r>
        <w:rPr>
          <w:rFonts w:hint="eastAsia" w:ascii="宋体" w:hAnsi="宋体" w:eastAsia="宋体" w:cs="宋体"/>
          <w:color w:val="auto"/>
          <w:kern w:val="0"/>
          <w:sz w:val="21"/>
          <w:szCs w:val="21"/>
          <w:highlight w:val="none"/>
        </w:rPr>
        <w:t>招标采购，欢迎符合资格条件的投标人投标。</w:t>
      </w:r>
    </w:p>
    <w:p w14:paraId="5544E087">
      <w:pPr>
        <w:keepNext w:val="0"/>
        <w:keepLines w:val="0"/>
        <w:pageBreakBefore w:val="0"/>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一、采</w:t>
      </w:r>
      <w:r>
        <w:rPr>
          <w:rFonts w:hint="eastAsia" w:ascii="宋体" w:hAnsi="宋体" w:eastAsia="宋体" w:cs="宋体"/>
          <w:color w:val="auto"/>
          <w:kern w:val="0"/>
          <w:sz w:val="21"/>
          <w:szCs w:val="21"/>
          <w:highlight w:val="none"/>
        </w:rPr>
        <w:t>购项目编号：</w:t>
      </w:r>
      <w:r>
        <w:rPr>
          <w:rFonts w:hint="eastAsia" w:ascii="宋体" w:hAnsi="宋体" w:eastAsia="宋体" w:cs="宋体"/>
          <w:color w:val="auto"/>
          <w:kern w:val="0"/>
          <w:sz w:val="21"/>
          <w:szCs w:val="21"/>
          <w:highlight w:val="none"/>
          <w:u w:val="single"/>
        </w:rPr>
        <w:t>JKKQ20250428ZB-001</w:t>
      </w:r>
    </w:p>
    <w:p w14:paraId="115C614B">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二、采购项目名称：</w:t>
      </w:r>
      <w:r>
        <w:rPr>
          <w:rFonts w:hint="eastAsia" w:ascii="宋体" w:hAnsi="宋体" w:eastAsia="宋体" w:cs="宋体"/>
          <w:color w:val="auto"/>
          <w:kern w:val="0"/>
          <w:sz w:val="21"/>
          <w:szCs w:val="21"/>
          <w:highlight w:val="none"/>
          <w:u w:val="single"/>
        </w:rPr>
        <w:t>粤港澳大湾区—佛山市南海区电力管廊（一期）项目—佛山220千伏沥中输变电线路配套电力管廊建设工程预算审核（复审）</w:t>
      </w:r>
    </w:p>
    <w:p w14:paraId="35E61944">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三、采购项目控制总额（元）：人民币</w:t>
      </w:r>
      <w:r>
        <w:rPr>
          <w:rFonts w:hint="eastAsia" w:ascii="宋体" w:hAnsi="宋体" w:eastAsia="宋体" w:cs="宋体"/>
          <w:color w:val="auto"/>
          <w:kern w:val="0"/>
          <w:sz w:val="21"/>
          <w:szCs w:val="21"/>
          <w:highlight w:val="none"/>
          <w:u w:val="single"/>
        </w:rPr>
        <w:t>1,551,430.69</w:t>
      </w:r>
      <w:r>
        <w:rPr>
          <w:rFonts w:hint="eastAsia" w:ascii="宋体" w:hAnsi="宋体" w:eastAsia="宋体" w:cs="宋体"/>
          <w:color w:val="auto"/>
          <w:kern w:val="0"/>
          <w:sz w:val="21"/>
          <w:szCs w:val="21"/>
          <w:highlight w:val="none"/>
        </w:rPr>
        <w:t>元</w:t>
      </w:r>
    </w:p>
    <w:p w14:paraId="6431A2D6">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四、采购项目</w:t>
      </w:r>
      <w:r>
        <w:rPr>
          <w:rFonts w:hint="eastAsia" w:ascii="宋体" w:hAnsi="宋体" w:eastAsia="宋体" w:cs="宋体"/>
          <w:color w:val="auto"/>
          <w:kern w:val="0"/>
          <w:sz w:val="21"/>
          <w:szCs w:val="21"/>
          <w:highlight w:val="none"/>
          <w:lang w:eastAsia="zh-CN"/>
        </w:rPr>
        <w:t>类型：服务</w:t>
      </w:r>
      <w:r>
        <w:rPr>
          <w:rFonts w:hint="eastAsia" w:ascii="宋体" w:hAnsi="宋体" w:eastAsia="宋体" w:cs="宋体"/>
          <w:color w:val="auto"/>
          <w:kern w:val="0"/>
          <w:sz w:val="21"/>
          <w:szCs w:val="21"/>
          <w:highlight w:val="none"/>
          <w:lang w:val="en-US" w:eastAsia="zh-CN"/>
        </w:rPr>
        <w:t>类</w:t>
      </w:r>
    </w:p>
    <w:p w14:paraId="24A558D3">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采购</w:t>
      </w:r>
      <w:r>
        <w:rPr>
          <w:rFonts w:hint="eastAsia" w:ascii="宋体" w:hAnsi="宋体" w:eastAsia="宋体" w:cs="宋体"/>
          <w:color w:val="auto"/>
          <w:kern w:val="0"/>
          <w:sz w:val="21"/>
          <w:szCs w:val="21"/>
          <w:highlight w:val="none"/>
          <w:lang w:val="en-US" w:eastAsia="zh-CN"/>
        </w:rPr>
        <w:t>性质：企业采购</w:t>
      </w:r>
    </w:p>
    <w:p w14:paraId="59532A24">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五、采购项目内容及需求（技术规格、参数及要求）：具体内容详见</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w:t>
      </w:r>
    </w:p>
    <w:p w14:paraId="42EEFD7C">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六、投标人资格：</w:t>
      </w:r>
    </w:p>
    <w:p w14:paraId="00BA4FD0">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1.法人资格</w:t>
      </w:r>
    </w:p>
    <w:p w14:paraId="427AFA40">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投标人应具有独立法人资格并依法取得有效的营业执照。</w:t>
      </w:r>
    </w:p>
    <w:p w14:paraId="4BA7C9DB">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2.投标人须由法定代表人对《诚信投标承诺书》签字，并加盖单位公章。</w:t>
      </w:r>
    </w:p>
    <w:p w14:paraId="5D11B273">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3.省外进粤企业须提供广东建设信息网（网址：www.gdcic.net）“进粤企业和人员诚信信息登记平台”专栏关于投标人进粤企业及人员信息登记的网页打印件。</w:t>
      </w:r>
    </w:p>
    <w:p w14:paraId="04A4A8FF">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4对投标人拟派项目负责人的要求</w:t>
      </w:r>
    </w:p>
    <w:p w14:paraId="1C6DB921">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4.1对拟项目负责人的资格要求：须具备注册于投标人本单位的注册造价工程师注册证或一级造价工程师注册证（专业：土木建筑工程）。</w:t>
      </w:r>
    </w:p>
    <w:p w14:paraId="63C6CA9D">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4.2省外进粤企业拟派项目负责人须在“进粤企业和人员诚信信息登记平台”办理登记手续。</w:t>
      </w:r>
    </w:p>
    <w:p w14:paraId="222001BD">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需提供投标人近期（自本招标项目招标公告发出之日起往前顺推6个月，即2024年*月至2025年*月）为拟派项目负责人缴纳社保资金的有效社保证明材料，以投标人（或其分支机构）所属当地社保管理部门出具的证明材料扫描件为准。</w:t>
      </w:r>
    </w:p>
    <w:p w14:paraId="4593DB69">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5.对投标人企业的信誉要求</w:t>
      </w:r>
    </w:p>
    <w:p w14:paraId="7A12600F">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5.1目前未处于被责令停业，财产被接管、冻结，破产状态。</w:t>
      </w:r>
    </w:p>
    <w:p w14:paraId="39F74F2B">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5.2目前未处于被取消投标资格的行政处罚期内。</w:t>
      </w:r>
    </w:p>
    <w:p w14:paraId="602C4877">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5.3近3年内没有骗取中标和严重违约及重大工程质量问题。</w:t>
      </w:r>
    </w:p>
    <w:p w14:paraId="3629DD78">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5.4目前未被列为失信被执行人。</w:t>
      </w:r>
    </w:p>
    <w:p w14:paraId="0EAEC04C">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5.5目前未被列入失信名单。</w:t>
      </w:r>
    </w:p>
    <w:p w14:paraId="38BA9589">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6.对投标人企业完成过的类似业绩要求（如有）</w:t>
      </w:r>
    </w:p>
    <w:p w14:paraId="6FB8C2BA">
      <w:pPr>
        <w:pStyle w:val="223"/>
        <w:pageBreakBefore w:val="0"/>
        <w:widowControl w:val="0"/>
        <w:kinsoku/>
        <w:overflowPunct/>
        <w:bidi w:val="0"/>
        <w:spacing w:beforeLines="0" w:afterLines="0" w:line="360" w:lineRule="auto"/>
        <w:ind w:left="0" w:leftChars="0" w:right="0" w:firstLine="422" w:firstLineChars="200"/>
        <w:rPr>
          <w:rFonts w:hint="eastAsia" w:ascii="宋体" w:hAnsi="宋体" w:eastAsia="宋体" w:cs="宋体"/>
          <w:b/>
          <w:bCs/>
          <w:color w:val="auto"/>
          <w:highlight w:val="none"/>
        </w:rPr>
      </w:pPr>
      <w:r>
        <w:rPr>
          <w:rFonts w:hint="eastAsia" w:ascii="宋体" w:hAnsi="宋体" w:eastAsia="宋体" w:cs="宋体"/>
          <w:b/>
          <w:bCs/>
          <w:color w:val="auto"/>
          <w:kern w:val="2"/>
          <w:highlight w:val="none"/>
          <w:lang w:eastAsia="zh-CN"/>
        </w:rPr>
        <w:t>☑</w:t>
      </w:r>
      <w:r>
        <w:rPr>
          <w:rFonts w:hint="eastAsia" w:ascii="宋体" w:hAnsi="宋体" w:eastAsia="宋体" w:cs="宋体"/>
          <w:b/>
          <w:bCs/>
          <w:color w:val="auto"/>
          <w:kern w:val="2"/>
          <w:highlight w:val="none"/>
        </w:rPr>
        <w:t>本项目不要求投标人提供类似业绩作为资格审查要求</w:t>
      </w:r>
    </w:p>
    <w:p w14:paraId="336C7D4C">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kern w:val="2"/>
          <w:highlight w:val="none"/>
          <w:lang w:eastAsia="zh-CN"/>
        </w:rPr>
        <w:t>□</w:t>
      </w:r>
      <w:r>
        <w:rPr>
          <w:rFonts w:hint="eastAsia" w:ascii="宋体" w:hAnsi="宋体" w:eastAsia="宋体" w:cs="宋体"/>
          <w:color w:val="auto"/>
          <w:highlight w:val="none"/>
        </w:rPr>
        <w:t>投标人近三年内（自本工程招标公告发布之日起往前顺推，以合同签订时间为准）</w:t>
      </w:r>
    </w:p>
    <w:p w14:paraId="4D88BBD3">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承担过总长度3.7公里或以上的综合管廓或电力管廊或电力隧道工程的造价咨询（预算或结算或全过程造价咨询）业绩</w:t>
      </w:r>
    </w:p>
    <w:p w14:paraId="381B9E45">
      <w:pPr>
        <w:pStyle w:val="223"/>
        <w:pageBreakBefore w:val="0"/>
        <w:widowControl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注：相关证明材料仅限于要求提供中标通知书、合同协议书、</w:t>
      </w:r>
      <w:r>
        <w:rPr>
          <w:rFonts w:hint="eastAsia" w:ascii="宋体" w:hAnsi="宋体" w:eastAsia="宋体" w:cs="宋体"/>
          <w:color w:val="auto"/>
          <w:highlight w:val="none"/>
          <w:u w:val="single"/>
          <w:lang w:eastAsia="zh-CN"/>
        </w:rPr>
        <w:t>成果文件</w:t>
      </w:r>
      <w:r>
        <w:rPr>
          <w:rFonts w:hint="eastAsia" w:ascii="宋体" w:hAnsi="宋体" w:eastAsia="宋体" w:cs="宋体"/>
          <w:color w:val="auto"/>
          <w:highlight w:val="none"/>
        </w:rPr>
        <w:t>；如前述证明材料不能清晰反映有关特征和必要信息的，还需提供该项目工程业绩的业主证明材料并须附有业主方的联系人及联系电话。</w:t>
      </w:r>
    </w:p>
    <w:p w14:paraId="5EB2205E">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法律、法规规定的其他资格条件。</w:t>
      </w:r>
    </w:p>
    <w:p w14:paraId="05362D8A">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本项目不接受联合体投标。</w:t>
      </w:r>
    </w:p>
    <w:p w14:paraId="3C924836">
      <w:pPr>
        <w:keepNext w:val="0"/>
        <w:keepLines w:val="0"/>
        <w:pageBreakBefore w:val="0"/>
        <w:widowControl/>
        <w:numPr>
          <w:ilvl w:val="-1"/>
          <w:numId w:val="0"/>
        </w:numPr>
        <w:shd w:val="clear" w:color="auto" w:fill="auto"/>
        <w:kinsoku/>
        <w:wordWrap/>
        <w:overflowPunct/>
        <w:topLinePunct w:val="0"/>
        <w:autoSpaceDE/>
        <w:autoSpaceDN/>
        <w:bidi w:val="0"/>
        <w:adjustRightInd/>
        <w:snapToGrid/>
        <w:spacing w:beforeLines="0" w:beforeAutospacing="0" w:afterLines="0" w:afterAutospacing="0" w:line="360" w:lineRule="auto"/>
        <w:ind w:left="420" w:leftChars="200" w:right="0" w:rightChars="0" w:firstLine="0" w:firstLineChars="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w:t>
      </w:r>
      <w:r>
        <w:rPr>
          <w:rFonts w:hint="eastAsia" w:ascii="宋体" w:hAnsi="宋体" w:eastAsia="宋体" w:cs="宋体"/>
          <w:b/>
          <w:color w:val="auto"/>
          <w:kern w:val="0"/>
          <w:sz w:val="21"/>
          <w:szCs w:val="21"/>
          <w:highlight w:val="none"/>
          <w:lang w:eastAsia="zh-CN"/>
        </w:rPr>
        <w:t>采购</w:t>
      </w:r>
      <w:r>
        <w:rPr>
          <w:rFonts w:hint="eastAsia" w:ascii="宋体" w:hAnsi="宋体" w:eastAsia="宋体" w:cs="宋体"/>
          <w:b/>
          <w:color w:val="auto"/>
          <w:kern w:val="0"/>
          <w:sz w:val="21"/>
          <w:szCs w:val="21"/>
          <w:highlight w:val="none"/>
        </w:rPr>
        <w:t>文件的获取</w:t>
      </w:r>
    </w:p>
    <w:p w14:paraId="1AA03653">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采购</w:t>
      </w:r>
      <w:r>
        <w:rPr>
          <w:rFonts w:hint="eastAsia" w:ascii="宋体" w:hAnsi="宋体" w:eastAsia="宋体" w:cs="宋体"/>
          <w:b/>
          <w:color w:val="auto"/>
          <w:kern w:val="0"/>
          <w:sz w:val="21"/>
          <w:szCs w:val="21"/>
          <w:highlight w:val="none"/>
        </w:rPr>
        <w:t>文件详见附件</w:t>
      </w:r>
      <w:r>
        <w:rPr>
          <w:rFonts w:hint="eastAsia" w:ascii="宋体" w:hAnsi="宋体" w:eastAsia="宋体" w:cs="宋体"/>
          <w:b/>
          <w:color w:val="auto"/>
          <w:kern w:val="0"/>
          <w:sz w:val="21"/>
          <w:szCs w:val="21"/>
          <w:highlight w:val="none"/>
          <w:lang w:eastAsia="zh-CN"/>
        </w:rPr>
        <w:t>采购</w:t>
      </w:r>
      <w:r>
        <w:rPr>
          <w:rFonts w:hint="eastAsia" w:ascii="宋体" w:hAnsi="宋体" w:eastAsia="宋体" w:cs="宋体"/>
          <w:b/>
          <w:color w:val="auto"/>
          <w:kern w:val="0"/>
          <w:sz w:val="21"/>
          <w:szCs w:val="21"/>
          <w:highlight w:val="none"/>
        </w:rPr>
        <w:t>文件下载</w:t>
      </w:r>
    </w:p>
    <w:p w14:paraId="72A63671">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八、投标时间自2025</w:t>
      </w:r>
      <w:r>
        <w:rPr>
          <w:rFonts w:hint="eastAsia" w:ascii="宋体" w:hAnsi="宋体" w:eastAsia="宋体" w:cs="宋体"/>
          <w:color w:val="auto"/>
          <w:kern w:val="0"/>
          <w:sz w:val="21"/>
          <w:szCs w:val="21"/>
          <w:highlight w:val="none"/>
          <w:u w:val="single"/>
        </w:rPr>
        <w:t>年</w:t>
      </w: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u w:val="single"/>
        </w:rPr>
        <w:t>月</w:t>
      </w: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u w:val="single"/>
        </w:rPr>
        <w:t>日</w:t>
      </w:r>
      <w:r>
        <w:rPr>
          <w:rFonts w:hint="eastAsia" w:ascii="宋体" w:hAnsi="宋体" w:eastAsia="宋体" w:cs="宋体"/>
          <w:color w:val="auto"/>
          <w:kern w:val="0"/>
          <w:sz w:val="21"/>
          <w:szCs w:val="21"/>
          <w:highlight w:val="none"/>
        </w:rPr>
        <w:t>上午9时00分至</w:t>
      </w:r>
      <w:r>
        <w:rPr>
          <w:rFonts w:hint="eastAsia" w:ascii="宋体" w:hAnsi="宋体" w:cs="宋体"/>
          <w:color w:val="auto"/>
          <w:kern w:val="0"/>
          <w:szCs w:val="21"/>
          <w:highlight w:val="none"/>
        </w:rPr>
        <w:t>2025年7</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rPr>
        <w:t>16</w:t>
      </w:r>
      <w:r>
        <w:rPr>
          <w:rFonts w:hint="eastAsia" w:ascii="宋体" w:hAnsi="宋体" w:cs="宋体"/>
          <w:color w:val="auto"/>
          <w:kern w:val="0"/>
          <w:szCs w:val="21"/>
          <w:highlight w:val="none"/>
          <w:u w:val="single"/>
        </w:rPr>
        <w:t>日</w:t>
      </w:r>
      <w:r>
        <w:rPr>
          <w:rFonts w:hint="eastAsia" w:ascii="宋体" w:hAnsi="宋体" w:eastAsia="宋体" w:cs="宋体"/>
          <w:color w:val="auto"/>
          <w:kern w:val="0"/>
          <w:sz w:val="21"/>
          <w:szCs w:val="21"/>
          <w:highlight w:val="none"/>
        </w:rPr>
        <w:t>上午9时30分止。</w:t>
      </w:r>
    </w:p>
    <w:p w14:paraId="626A9641">
      <w:pPr>
        <w:pStyle w:val="58"/>
        <w:keepNext w:val="0"/>
        <w:keepLines w:val="0"/>
        <w:pageBreakBefore w:val="0"/>
        <w:widowControl/>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九、提交投标文件地点：</w:t>
      </w:r>
      <w:r>
        <w:rPr>
          <w:rFonts w:hint="eastAsia" w:ascii="宋体" w:hAnsi="宋体" w:eastAsia="宋体" w:cs="宋体"/>
          <w:color w:val="auto"/>
          <w:kern w:val="2"/>
          <w:sz w:val="21"/>
          <w:szCs w:val="21"/>
          <w:highlight w:val="none"/>
          <w:lang w:val="en-US" w:eastAsia="zh-CN" w:bidi="ar-SA"/>
        </w:rPr>
        <w:t>佛山市南海区桂城海六路8号联达大厦21楼佛山市南海公有资产流转服务有限公司。</w:t>
      </w:r>
    </w:p>
    <w:p w14:paraId="6A993C35">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十、开标时间</w:t>
      </w:r>
      <w:r>
        <w:rPr>
          <w:rFonts w:hint="eastAsia" w:ascii="宋体" w:hAnsi="宋体" w:cs="宋体"/>
          <w:color w:val="auto"/>
          <w:kern w:val="0"/>
          <w:sz w:val="21"/>
          <w:szCs w:val="21"/>
          <w:highlight w:val="none"/>
          <w:u w:val="single"/>
          <w:lang w:val="en-US" w:eastAsia="zh-CN"/>
        </w:rPr>
        <w:t>2025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u w:val="single"/>
          <w:lang w:val="en-US" w:eastAsia="zh-CN"/>
        </w:rPr>
        <w:t>7</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u w:val="single"/>
          <w:lang w:val="en-US" w:eastAsia="zh-CN"/>
        </w:rPr>
        <w:t>16</w:t>
      </w:r>
      <w:r>
        <w:rPr>
          <w:rFonts w:hint="eastAsia" w:ascii="宋体" w:hAnsi="宋体" w:eastAsia="宋体" w:cs="宋体"/>
          <w:color w:val="auto"/>
          <w:kern w:val="0"/>
          <w:sz w:val="21"/>
          <w:szCs w:val="21"/>
          <w:highlight w:val="none"/>
        </w:rPr>
        <w:t>日上午9时30分。</w:t>
      </w:r>
    </w:p>
    <w:p w14:paraId="5A330952">
      <w:pPr>
        <w:pStyle w:val="58"/>
        <w:keepNext w:val="0"/>
        <w:keepLines w:val="0"/>
        <w:pageBreakBefore w:val="0"/>
        <w:widowControl/>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十一、开标地点：佛山市南海区桂城海六路8号联达大厦21楼佛山市南海公有资产流转服务有限公司。</w:t>
      </w:r>
    </w:p>
    <w:p w14:paraId="575CBECD">
      <w:pPr>
        <w:keepNext w:val="0"/>
        <w:keepLines w:val="0"/>
        <w:pageBreakBefore w:val="0"/>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十二、投标保证金递交时间、其支付方式及保证金金额：投标人须于公告之日起至</w:t>
      </w:r>
      <w:r>
        <w:rPr>
          <w:rFonts w:hint="eastAsia" w:ascii="宋体" w:hAnsi="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日下午17：00时前，将采购项目保证金由投标人名下的银行账户（采用银行柜台、网上银行转账两种方式之一的方式）缴纳到以下指定账户，以银行到账为准。保证金金额为</w:t>
      </w:r>
      <w:r>
        <w:rPr>
          <w:rFonts w:hint="eastAsia" w:ascii="宋体" w:hAnsi="宋体" w:eastAsia="宋体" w:cs="宋体"/>
          <w:color w:val="auto"/>
          <w:kern w:val="0"/>
          <w:sz w:val="21"/>
          <w:szCs w:val="21"/>
          <w:highlight w:val="none"/>
          <w:lang w:val="en-US" w:eastAsia="zh-CN"/>
        </w:rPr>
        <w:t>30000.00</w:t>
      </w:r>
      <w:r>
        <w:rPr>
          <w:rFonts w:hint="eastAsia" w:ascii="宋体" w:hAnsi="宋体" w:eastAsia="宋体" w:cs="宋体"/>
          <w:color w:val="auto"/>
          <w:sz w:val="21"/>
          <w:szCs w:val="21"/>
          <w:highlight w:val="none"/>
        </w:rPr>
        <w:t>元（大写：</w:t>
      </w:r>
      <w:r>
        <w:rPr>
          <w:rFonts w:hint="eastAsia" w:ascii="宋体" w:hAnsi="宋体" w:eastAsia="宋体" w:cs="宋体"/>
          <w:color w:val="auto"/>
          <w:kern w:val="0"/>
          <w:sz w:val="21"/>
          <w:szCs w:val="21"/>
          <w:highlight w:val="none"/>
          <w:lang w:val="en-US" w:eastAsia="zh-CN"/>
        </w:rPr>
        <w:t>叁万元整</w:t>
      </w:r>
      <w:r>
        <w:rPr>
          <w:rFonts w:hint="eastAsia" w:ascii="宋体" w:hAnsi="宋体" w:eastAsia="宋体" w:cs="宋体"/>
          <w:color w:val="auto"/>
          <w:sz w:val="21"/>
          <w:szCs w:val="21"/>
          <w:highlight w:val="none"/>
        </w:rPr>
        <w:t>）。</w:t>
      </w:r>
    </w:p>
    <w:p w14:paraId="5A244FB4">
      <w:pPr>
        <w:keepNext w:val="0"/>
        <w:keepLines w:val="0"/>
        <w:pageBreakBefore w:val="0"/>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（特别说明：</w:t>
      </w:r>
      <w:r>
        <w:rPr>
          <w:rFonts w:hint="eastAsia" w:ascii="宋体" w:hAnsi="宋体" w:eastAsia="宋体" w:cs="宋体"/>
          <w:color w:val="auto"/>
          <w:kern w:val="0"/>
          <w:sz w:val="21"/>
          <w:szCs w:val="21"/>
          <w:highlight w:val="none"/>
        </w:rPr>
        <w:t>本项目无须报名，已经缴纳保证金的</w:t>
      </w:r>
      <w:r>
        <w:rPr>
          <w:rFonts w:hint="eastAsia" w:ascii="宋体" w:hAnsi="宋体" w:eastAsia="宋体" w:cs="宋体"/>
          <w:color w:val="auto"/>
          <w:sz w:val="21"/>
          <w:szCs w:val="21"/>
          <w:highlight w:val="none"/>
        </w:rPr>
        <w:t>投标人须在规定时间内提交投标文件，《企业采购保证金退付委托书》</w:t>
      </w:r>
      <w:r>
        <w:rPr>
          <w:rFonts w:hint="eastAsia" w:ascii="宋体" w:hAnsi="宋体" w:eastAsia="宋体" w:cs="宋体"/>
          <w:color w:val="auto"/>
          <w:kern w:val="0"/>
          <w:sz w:val="21"/>
          <w:szCs w:val="21"/>
          <w:highlight w:val="none"/>
          <w:lang w:val="en-US" w:eastAsia="zh-CN"/>
        </w:rPr>
        <w:t>和营业执照复印件（需盖单位公章）须另外单独提交，其</w:t>
      </w:r>
      <w:r>
        <w:rPr>
          <w:rFonts w:hint="eastAsia" w:ascii="宋体" w:hAnsi="宋体" w:eastAsia="宋体" w:cs="宋体"/>
          <w:color w:val="auto"/>
          <w:sz w:val="21"/>
          <w:szCs w:val="21"/>
          <w:highlight w:val="none"/>
        </w:rPr>
        <w:t>为投标人办理投标保证金退付的必须资料，由佛山市南海公有资产流转服务有限公司按照相关文件要求规定办理退款</w:t>
      </w:r>
      <w:r>
        <w:rPr>
          <w:rFonts w:hint="eastAsia" w:ascii="宋体" w:hAnsi="宋体" w:eastAsia="宋体" w:cs="宋体"/>
          <w:color w:val="auto"/>
          <w:sz w:val="21"/>
          <w:szCs w:val="21"/>
          <w:highlight w:val="none"/>
          <w:lang w:eastAsia="zh-CN"/>
        </w:rPr>
        <w:t>（不计利息）</w:t>
      </w:r>
      <w:r>
        <w:rPr>
          <w:rFonts w:hint="eastAsia" w:ascii="宋体" w:hAnsi="宋体" w:eastAsia="宋体" w:cs="宋体"/>
          <w:color w:val="auto"/>
          <w:sz w:val="21"/>
          <w:szCs w:val="21"/>
          <w:highlight w:val="none"/>
        </w:rPr>
        <w:t>。）</w:t>
      </w:r>
    </w:p>
    <w:p w14:paraId="29421DD2">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（1）通过银行柜台转账时，必须在银行进账单或汇款凭证中准确填写收款人和交款人名称、账户，以及缴纳金额、交纳人证件号码信息；银行进账单或汇款凭证的备注/用途/附言等备注信息栏中</w:t>
      </w:r>
      <w:r>
        <w:rPr>
          <w:rFonts w:hint="eastAsia" w:ascii="宋体" w:hAnsi="宋体" w:eastAsia="宋体" w:cs="宋体"/>
          <w:color w:val="auto"/>
          <w:kern w:val="0"/>
          <w:sz w:val="21"/>
          <w:szCs w:val="21"/>
          <w:highlight w:val="none"/>
          <w:lang w:eastAsia="zh-CN"/>
        </w:rPr>
        <w:t>需</w:t>
      </w:r>
      <w:r>
        <w:rPr>
          <w:rFonts w:hint="eastAsia" w:ascii="宋体" w:hAnsi="宋体" w:eastAsia="宋体" w:cs="宋体"/>
          <w:color w:val="auto"/>
          <w:kern w:val="0"/>
          <w:sz w:val="21"/>
          <w:szCs w:val="21"/>
          <w:highlight w:val="none"/>
        </w:rPr>
        <w:t>准确填写采购项目的项目名称简称。</w:t>
      </w:r>
    </w:p>
    <w:p w14:paraId="29C0F6A9">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（2）通过网上银行转账时，必须在网上银行支付界面准确填写收款人和交款人名称、账户、缴纳金额，备注/用途/附言等备注信息栏中</w:t>
      </w:r>
      <w:r>
        <w:rPr>
          <w:rFonts w:hint="eastAsia" w:ascii="宋体" w:hAnsi="宋体" w:eastAsia="宋体" w:cs="宋体"/>
          <w:color w:val="auto"/>
          <w:kern w:val="0"/>
          <w:sz w:val="21"/>
          <w:szCs w:val="21"/>
          <w:highlight w:val="none"/>
          <w:lang w:eastAsia="zh-CN"/>
        </w:rPr>
        <w:t>需</w:t>
      </w:r>
      <w:r>
        <w:rPr>
          <w:rFonts w:hint="eastAsia" w:ascii="宋体" w:hAnsi="宋体" w:eastAsia="宋体" w:cs="宋体"/>
          <w:color w:val="auto"/>
          <w:kern w:val="0"/>
          <w:sz w:val="21"/>
          <w:szCs w:val="21"/>
          <w:highlight w:val="none"/>
        </w:rPr>
        <w:t>准确填写采购项目的项目名称简称。</w:t>
      </w:r>
    </w:p>
    <w:p w14:paraId="5C54A9F4">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rPr>
        <w:t>（3）本项目名称简称：</w:t>
      </w:r>
      <w:r>
        <w:rPr>
          <w:rFonts w:hint="eastAsia" w:ascii="宋体" w:hAnsi="宋体" w:eastAsia="宋体" w:cs="宋体"/>
          <w:color w:val="auto"/>
          <w:kern w:val="0"/>
          <w:sz w:val="21"/>
          <w:szCs w:val="21"/>
          <w:highlight w:val="none"/>
          <w:u w:val="single"/>
          <w:lang w:eastAsia="zh-CN"/>
        </w:rPr>
        <w:t>沥中电力管廊预算复审</w:t>
      </w:r>
    </w:p>
    <w:p w14:paraId="1322A7A5">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收款（人）单位名称：佛山市南海公有资产流转服务有限公司</w:t>
      </w:r>
    </w:p>
    <w:p w14:paraId="603CC8F4">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账号：44504001040012386</w:t>
      </w:r>
    </w:p>
    <w:p w14:paraId="163BF7AD">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开户行：中国农业银行佛山南海</w:t>
      </w:r>
      <w:r>
        <w:rPr>
          <w:rFonts w:hint="eastAsia" w:ascii="宋体" w:hAnsi="宋体" w:eastAsia="宋体" w:cs="宋体"/>
          <w:color w:val="auto"/>
          <w:kern w:val="0"/>
          <w:sz w:val="21"/>
          <w:szCs w:val="21"/>
          <w:highlight w:val="none"/>
          <w:lang w:eastAsia="zh-CN"/>
        </w:rPr>
        <w:t>灯湖</w:t>
      </w:r>
      <w:r>
        <w:rPr>
          <w:rFonts w:hint="eastAsia" w:ascii="宋体" w:hAnsi="宋体" w:eastAsia="宋体" w:cs="宋体"/>
          <w:color w:val="auto"/>
          <w:kern w:val="0"/>
          <w:sz w:val="21"/>
          <w:szCs w:val="21"/>
          <w:highlight w:val="none"/>
        </w:rPr>
        <w:t>支行</w:t>
      </w:r>
    </w:p>
    <w:p w14:paraId="1381FC13">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十三、本公告期限（5个工作日）自</w:t>
      </w:r>
      <w:r>
        <w:rPr>
          <w:rFonts w:hint="eastAsia" w:ascii="宋体" w:hAnsi="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rPr>
        <w:t>日至</w:t>
      </w:r>
      <w:r>
        <w:rPr>
          <w:rFonts w:hint="eastAsia" w:ascii="宋体" w:hAnsi="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日止。</w:t>
      </w:r>
    </w:p>
    <w:p w14:paraId="61C59DBA">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十四、采购过程如出现异常情况，佛山市南海公有资产流转服务有限公司有权暂停或者中止该采购项目。</w:t>
      </w:r>
    </w:p>
    <w:p w14:paraId="6C2B4C6B">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default"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十五、其他说明</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无</w:t>
      </w:r>
    </w:p>
    <w:p w14:paraId="249406EA">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十六、联系事项</w:t>
      </w:r>
    </w:p>
    <w:p w14:paraId="325F3084">
      <w:pPr>
        <w:keepNext w:val="0"/>
        <w:keepLines w:val="0"/>
        <w:pageBreakBefore w:val="0"/>
        <w:widowControl/>
        <w:numPr>
          <w:ilvl w:val="0"/>
          <w:numId w:val="2"/>
        </w:numPr>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w:t>
      </w:r>
      <w:r>
        <w:rPr>
          <w:rFonts w:hint="eastAsia" w:ascii="宋体" w:hAnsi="宋体" w:eastAsia="宋体" w:cs="宋体"/>
          <w:color w:val="auto"/>
          <w:kern w:val="0"/>
          <w:sz w:val="21"/>
          <w:szCs w:val="21"/>
          <w:highlight w:val="none"/>
          <w:lang w:eastAsia="zh-CN"/>
        </w:rPr>
        <w:t>广东南海城建集团有限公司</w:t>
      </w:r>
      <w:r>
        <w:rPr>
          <w:rFonts w:hint="eastAsia" w:ascii="宋体" w:hAnsi="宋体" w:eastAsia="宋体" w:cs="宋体"/>
          <w:color w:val="auto"/>
          <w:kern w:val="0"/>
          <w:sz w:val="21"/>
          <w:szCs w:val="21"/>
          <w:highlight w:val="none"/>
        </w:rPr>
        <w:t>（盖章）</w:t>
      </w:r>
    </w:p>
    <w:p w14:paraId="07A8E557">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地址：佛山市南海区桂城街道清风西路29号金科大厦20楼</w:t>
      </w:r>
    </w:p>
    <w:p w14:paraId="100EBF7D">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eastAsia="zh-CN"/>
        </w:rPr>
        <w:t>麦工</w:t>
      </w:r>
      <w:r>
        <w:rPr>
          <w:rFonts w:hint="eastAsia" w:ascii="宋体" w:hAnsi="宋体" w:eastAsia="宋体" w:cs="宋体"/>
          <w:color w:val="auto"/>
          <w:kern w:val="0"/>
          <w:sz w:val="21"/>
          <w:szCs w:val="21"/>
          <w:highlight w:val="none"/>
        </w:rPr>
        <w:t xml:space="preserve">                       联系电话：0757-86200521</w:t>
      </w:r>
    </w:p>
    <w:p w14:paraId="7A3495AF">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邮    编：528225</w:t>
      </w:r>
    </w:p>
    <w:p w14:paraId="3C6938EC">
      <w:pPr>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采购代理机构：</w:t>
      </w:r>
      <w:r>
        <w:rPr>
          <w:rFonts w:hint="eastAsia" w:ascii="宋体" w:hAnsi="宋体" w:eastAsia="宋体" w:cs="宋体"/>
          <w:color w:val="auto"/>
          <w:kern w:val="0"/>
          <w:sz w:val="21"/>
          <w:szCs w:val="21"/>
          <w:highlight w:val="none"/>
          <w:lang w:eastAsia="zh-CN"/>
        </w:rPr>
        <w:t>健坤康乾工程咨询有限公司</w:t>
      </w:r>
    </w:p>
    <w:p w14:paraId="3937637B">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地址：广东省广州市黄埔区科丰路31号华南新材料创新园G1幢709室</w:t>
      </w:r>
    </w:p>
    <w:p w14:paraId="5515AE58">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eastAsia="zh-CN"/>
        </w:rPr>
        <w:t>李工</w:t>
      </w:r>
      <w:r>
        <w:rPr>
          <w:rFonts w:hint="eastAsia" w:ascii="宋体" w:hAnsi="宋体" w:eastAsia="宋体" w:cs="宋体"/>
          <w:color w:val="auto"/>
          <w:kern w:val="0"/>
          <w:sz w:val="21"/>
          <w:szCs w:val="21"/>
          <w:highlight w:val="none"/>
        </w:rPr>
        <w:t xml:space="preserve">                        联系电话：</w:t>
      </w:r>
      <w:r>
        <w:rPr>
          <w:rFonts w:hint="eastAsia" w:ascii="宋体" w:hAnsi="宋体" w:eastAsia="宋体" w:cs="宋体"/>
          <w:color w:val="auto"/>
          <w:kern w:val="0"/>
          <w:sz w:val="21"/>
          <w:szCs w:val="21"/>
          <w:highlight w:val="none"/>
          <w:lang w:val="en-US" w:eastAsia="zh-CN"/>
        </w:rPr>
        <w:t>13046308980</w:t>
      </w:r>
    </w:p>
    <w:p w14:paraId="6B6F182C">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邮    编：510663</w:t>
      </w:r>
    </w:p>
    <w:p w14:paraId="4DDAA7B6">
      <w:pPr>
        <w:keepNext w:val="0"/>
        <w:keepLines w:val="0"/>
        <w:pageBreakBefore w:val="0"/>
        <w:widowControl/>
        <w:numPr>
          <w:ilvl w:val="0"/>
          <w:numId w:val="3"/>
        </w:numPr>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采购项目联系人：</w:t>
      </w:r>
      <w:r>
        <w:rPr>
          <w:rFonts w:hint="eastAsia" w:ascii="宋体" w:hAnsi="宋体" w:eastAsia="宋体" w:cs="宋体"/>
          <w:color w:val="auto"/>
          <w:kern w:val="0"/>
          <w:sz w:val="21"/>
          <w:szCs w:val="21"/>
          <w:highlight w:val="none"/>
          <w:lang w:eastAsia="zh-CN"/>
        </w:rPr>
        <w:t>李工</w:t>
      </w:r>
      <w:r>
        <w:rPr>
          <w:rFonts w:hint="eastAsia" w:ascii="宋体" w:hAnsi="宋体" w:eastAsia="宋体" w:cs="宋体"/>
          <w:color w:val="auto"/>
          <w:kern w:val="0"/>
          <w:sz w:val="21"/>
          <w:szCs w:val="21"/>
          <w:highlight w:val="none"/>
        </w:rPr>
        <w:t xml:space="preserve">          联系电话：</w:t>
      </w:r>
      <w:r>
        <w:rPr>
          <w:rFonts w:hint="eastAsia" w:ascii="宋体" w:hAnsi="宋体" w:eastAsia="宋体" w:cs="宋体"/>
          <w:color w:val="auto"/>
          <w:kern w:val="0"/>
          <w:sz w:val="21"/>
          <w:szCs w:val="21"/>
          <w:highlight w:val="none"/>
          <w:lang w:val="en-US" w:eastAsia="zh-CN"/>
        </w:rPr>
        <w:t>13046308980</w:t>
      </w:r>
    </w:p>
    <w:p w14:paraId="7B282661">
      <w:pPr>
        <w:keepNext w:val="0"/>
        <w:keepLines w:val="0"/>
        <w:pageBreakBefore w:val="0"/>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0" w:firstLineChars="0"/>
        <w:jc w:val="right"/>
        <w:textAlignment w:val="auto"/>
        <w:rPr>
          <w:rFonts w:hint="eastAsia" w:ascii="宋体" w:hAnsi="宋体" w:eastAsia="宋体" w:cs="宋体"/>
          <w:color w:val="auto"/>
          <w:kern w:val="0"/>
          <w:sz w:val="21"/>
          <w:szCs w:val="21"/>
          <w:highlight w:val="none"/>
        </w:rPr>
      </w:pPr>
    </w:p>
    <w:p w14:paraId="638C10FE">
      <w:pPr>
        <w:keepNext w:val="0"/>
        <w:keepLines w:val="0"/>
        <w:pageBreakBefore w:val="0"/>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健坤康乾工程咨询有限公司（</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lang w:eastAsia="zh-CN"/>
        </w:rPr>
        <w:t>）</w:t>
      </w:r>
    </w:p>
    <w:p w14:paraId="21F1FF0F">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0" w:firstLineChars="0"/>
        <w:jc w:val="right"/>
        <w:textAlignment w:val="auto"/>
        <w:rPr>
          <w:rFonts w:hint="eastAsia" w:ascii="宋体" w:hAnsi="宋体" w:eastAsia="宋体" w:cs="宋体"/>
          <w:color w:val="auto"/>
          <w:kern w:val="0"/>
          <w:sz w:val="21"/>
          <w:szCs w:val="21"/>
          <w:highlight w:val="none"/>
        </w:rPr>
      </w:pPr>
    </w:p>
    <w:p w14:paraId="462187C1">
      <w:pPr>
        <w:keepNext w:val="0"/>
        <w:keepLines w:val="0"/>
        <w:pageBreakBefore w:val="0"/>
        <w:widowControl/>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0" w:firstLineChars="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公告日期：</w:t>
      </w:r>
      <w:r>
        <w:rPr>
          <w:rFonts w:hint="eastAsia" w:ascii="宋体" w:hAnsi="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rPr>
        <w:t>日</w:t>
      </w:r>
    </w:p>
    <w:p w14:paraId="65E5B8E9">
      <w:pPr>
        <w:keepNext w:val="0"/>
        <w:keepLines w:val="0"/>
        <w:pageBreakBefore w:val="0"/>
        <w:shd w:val="clear" w:color="auto" w:fill="auto"/>
        <w:kinsoku/>
        <w:wordWrap/>
        <w:overflowPunct/>
        <w:topLinePunct w:val="0"/>
        <w:autoSpaceDE/>
        <w:autoSpaceDN/>
        <w:bidi w:val="0"/>
        <w:adjustRightInd/>
        <w:snapToGrid/>
        <w:spacing w:beforeLines="0" w:beforeAutospacing="0" w:afterLines="0" w:afterAutospacing="0" w:line="360" w:lineRule="auto"/>
        <w:ind w:left="0" w:leftChars="0" w:right="0" w:rightChars="0" w:firstLine="0" w:firstLineChars="0"/>
        <w:textAlignment w:val="auto"/>
        <w:rPr>
          <w:rFonts w:hint="eastAsia" w:ascii="宋体" w:hAnsi="宋体" w:eastAsia="宋体" w:cs="宋体"/>
          <w:color w:val="auto"/>
          <w:sz w:val="24"/>
          <w:szCs w:val="24"/>
          <w:highlight w:val="none"/>
        </w:rPr>
      </w:pPr>
    </w:p>
    <w:p w14:paraId="799663F2">
      <w:pPr>
        <w:pStyle w:val="21"/>
        <w:pageBreakBefore w:val="0"/>
        <w:kinsoku/>
        <w:overflowPunct/>
        <w:bidi w:val="0"/>
        <w:spacing w:beforeLines="0" w:afterLines="0" w:line="360" w:lineRule="auto"/>
        <w:ind w:left="0" w:leftChars="0" w:right="0" w:firstLine="1044" w:firstLineChars="200"/>
        <w:rPr>
          <w:rFonts w:hint="eastAsia" w:ascii="宋体" w:hAnsi="宋体" w:eastAsia="宋体" w:cs="宋体"/>
          <w:color w:val="auto"/>
          <w:highlight w:val="none"/>
        </w:rPr>
      </w:pPr>
      <w:r>
        <w:rPr>
          <w:rFonts w:hint="eastAsia" w:ascii="宋体" w:hAnsi="宋体" w:eastAsia="宋体" w:cs="宋体"/>
          <w:b/>
          <w:bCs/>
          <w:color w:val="auto"/>
          <w:sz w:val="52"/>
          <w:szCs w:val="52"/>
          <w:highlight w:val="none"/>
        </w:rPr>
        <w:br w:type="page"/>
      </w:r>
      <w:bookmarkEnd w:id="35"/>
      <w:bookmarkEnd w:id="36"/>
      <w:bookmarkEnd w:id="37"/>
      <w:bookmarkEnd w:id="38"/>
      <w:bookmarkEnd w:id="39"/>
      <w:bookmarkEnd w:id="42"/>
      <w:bookmarkEnd w:id="43"/>
      <w:bookmarkStart w:id="44" w:name="_Toc268144038"/>
      <w:bookmarkStart w:id="45" w:name="_Toc437960983"/>
      <w:bookmarkStart w:id="46" w:name="_Toc13599"/>
      <w:bookmarkStart w:id="47" w:name="_Toc144974495"/>
      <w:bookmarkStart w:id="48" w:name="_Toc3327"/>
      <w:bookmarkStart w:id="49" w:name="_Toc24789"/>
      <w:bookmarkStart w:id="50" w:name="_Toc152042303"/>
      <w:bookmarkStart w:id="51" w:name="_Toc32107"/>
      <w:bookmarkStart w:id="52" w:name="_Toc152045527"/>
      <w:bookmarkStart w:id="53" w:name="_Toc11577"/>
      <w:bookmarkStart w:id="54" w:name="_Toc7160"/>
      <w:bookmarkStart w:id="55" w:name="_Toc14880"/>
      <w:bookmarkStart w:id="56" w:name="_Toc31445"/>
      <w:bookmarkStart w:id="57" w:name="_Toc433870366"/>
      <w:bookmarkStart w:id="58" w:name="_Toc11099"/>
      <w:bookmarkStart w:id="59" w:name="_Toc359208418"/>
      <w:r>
        <w:rPr>
          <w:rFonts w:hint="eastAsia" w:ascii="宋体" w:hAnsi="宋体" w:eastAsia="宋体" w:cs="宋体"/>
          <w:color w:val="auto"/>
          <w:sz w:val="28"/>
          <w:szCs w:val="40"/>
          <w:highlight w:val="none"/>
        </w:rPr>
        <w:t>第三章 投标人须知</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BABD600">
      <w:pPr>
        <w:pageBreakBefore w:val="0"/>
        <w:kinsoku/>
        <w:overflowPunct/>
        <w:bidi w:val="0"/>
        <w:spacing w:beforeLines="0" w:afterLines="0" w:line="360" w:lineRule="auto"/>
        <w:ind w:left="0" w:leftChars="0" w:right="0"/>
        <w:outlineLvl w:val="0"/>
        <w:rPr>
          <w:rFonts w:hint="eastAsia" w:ascii="宋体" w:hAnsi="宋体" w:eastAsia="宋体" w:cs="宋体"/>
          <w:b/>
          <w:bCs/>
          <w:color w:val="auto"/>
          <w:kern w:val="32"/>
          <w:sz w:val="22"/>
          <w:szCs w:val="32"/>
          <w:highlight w:val="none"/>
        </w:rPr>
      </w:pPr>
      <w:bookmarkStart w:id="60" w:name="_Toc12523"/>
      <w:bookmarkStart w:id="61" w:name="_Toc12634"/>
      <w:bookmarkStart w:id="62" w:name="_Toc12249"/>
      <w:bookmarkStart w:id="63" w:name="_Toc10505"/>
      <w:bookmarkStart w:id="64" w:name="_Toc152045528"/>
      <w:bookmarkStart w:id="65" w:name="_Toc152042304"/>
      <w:bookmarkStart w:id="66" w:name="_Toc10800"/>
      <w:bookmarkStart w:id="67" w:name="_Toc437960984"/>
      <w:bookmarkStart w:id="68" w:name="_Toc4843"/>
      <w:bookmarkStart w:id="69" w:name="_Toc30950"/>
      <w:bookmarkStart w:id="70" w:name="_Toc144974496"/>
      <w:bookmarkStart w:id="71" w:name="_Toc359208419"/>
      <w:bookmarkStart w:id="72" w:name="_Toc31177"/>
      <w:bookmarkStart w:id="73" w:name="_Toc18481"/>
      <w:r>
        <w:rPr>
          <w:rFonts w:hint="eastAsia" w:ascii="宋体" w:hAnsi="宋体" w:eastAsia="宋体" w:cs="宋体"/>
          <w:b/>
          <w:bCs/>
          <w:color w:val="auto"/>
          <w:kern w:val="32"/>
          <w:sz w:val="22"/>
          <w:szCs w:val="32"/>
          <w:highlight w:val="none"/>
        </w:rPr>
        <w:t>投标人须知前附表</w:t>
      </w:r>
      <w:bookmarkEnd w:id="60"/>
      <w:bookmarkEnd w:id="61"/>
      <w:bookmarkEnd w:id="62"/>
      <w:bookmarkEnd w:id="63"/>
      <w:bookmarkEnd w:id="64"/>
      <w:bookmarkEnd w:id="65"/>
      <w:bookmarkEnd w:id="66"/>
      <w:bookmarkEnd w:id="67"/>
      <w:bookmarkEnd w:id="68"/>
      <w:bookmarkEnd w:id="69"/>
      <w:bookmarkEnd w:id="70"/>
      <w:bookmarkEnd w:id="71"/>
      <w:bookmarkEnd w:id="72"/>
      <w:bookmarkEnd w:id="73"/>
    </w:p>
    <w:tbl>
      <w:tblPr>
        <w:tblStyle w:val="63"/>
        <w:tblW w:w="9936" w:type="dxa"/>
        <w:tblInd w:w="0" w:type="dxa"/>
        <w:tblLayout w:type="fixed"/>
        <w:tblCellMar>
          <w:top w:w="0" w:type="dxa"/>
          <w:left w:w="108" w:type="dxa"/>
          <w:bottom w:w="0" w:type="dxa"/>
          <w:right w:w="108" w:type="dxa"/>
        </w:tblCellMar>
      </w:tblPr>
      <w:tblGrid>
        <w:gridCol w:w="954"/>
        <w:gridCol w:w="1979"/>
        <w:gridCol w:w="7003"/>
      </w:tblGrid>
      <w:tr w14:paraId="2B558FC2">
        <w:tblPrEx>
          <w:tblCellMar>
            <w:top w:w="0" w:type="dxa"/>
            <w:left w:w="108" w:type="dxa"/>
            <w:bottom w:w="0" w:type="dxa"/>
            <w:right w:w="108" w:type="dxa"/>
          </w:tblCellMar>
        </w:tblPrEx>
        <w:trPr>
          <w:tblHeader/>
        </w:trPr>
        <w:tc>
          <w:tcPr>
            <w:tcW w:w="954" w:type="dxa"/>
            <w:tcBorders>
              <w:top w:val="single" w:color="auto" w:sz="4" w:space="0"/>
              <w:left w:val="single" w:color="auto" w:sz="4" w:space="0"/>
              <w:bottom w:val="single" w:color="auto" w:sz="4" w:space="0"/>
              <w:right w:val="single" w:color="auto" w:sz="4" w:space="0"/>
            </w:tcBorders>
            <w:shd w:val="clear" w:color="auto" w:fill="E6E6E6"/>
            <w:vAlign w:val="center"/>
          </w:tcPr>
          <w:p w14:paraId="0CDD4CE3">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条款号</w:t>
            </w:r>
          </w:p>
        </w:tc>
        <w:tc>
          <w:tcPr>
            <w:tcW w:w="1979" w:type="dxa"/>
            <w:tcBorders>
              <w:top w:val="single" w:color="auto" w:sz="4" w:space="0"/>
              <w:left w:val="single" w:color="auto" w:sz="4" w:space="0"/>
              <w:bottom w:val="single" w:color="auto" w:sz="4" w:space="0"/>
              <w:right w:val="single" w:color="auto" w:sz="4" w:space="0"/>
            </w:tcBorders>
            <w:shd w:val="clear" w:color="auto" w:fill="E6E6E6"/>
            <w:vAlign w:val="center"/>
          </w:tcPr>
          <w:p w14:paraId="1E56997B">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条 款 名 称</w:t>
            </w:r>
          </w:p>
        </w:tc>
        <w:tc>
          <w:tcPr>
            <w:tcW w:w="7003" w:type="dxa"/>
            <w:tcBorders>
              <w:top w:val="single" w:color="auto" w:sz="4" w:space="0"/>
              <w:left w:val="single" w:color="auto" w:sz="4" w:space="0"/>
              <w:bottom w:val="single" w:color="auto" w:sz="4" w:space="0"/>
              <w:right w:val="single" w:color="auto" w:sz="4" w:space="0"/>
            </w:tcBorders>
            <w:shd w:val="clear" w:color="auto" w:fill="E6E6E6"/>
            <w:vAlign w:val="center"/>
          </w:tcPr>
          <w:p w14:paraId="70F428FD">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编  列  内  容</w:t>
            </w:r>
          </w:p>
        </w:tc>
      </w:tr>
      <w:tr w14:paraId="7CC2E90E">
        <w:tblPrEx>
          <w:tblCellMar>
            <w:top w:w="0" w:type="dxa"/>
            <w:left w:w="108" w:type="dxa"/>
            <w:bottom w:w="0" w:type="dxa"/>
            <w:right w:w="108" w:type="dxa"/>
          </w:tblCellMar>
        </w:tblPrEx>
        <w:trPr>
          <w:trHeight w:val="939" w:hRule="atLeast"/>
        </w:trPr>
        <w:tc>
          <w:tcPr>
            <w:tcW w:w="954" w:type="dxa"/>
            <w:tcBorders>
              <w:top w:val="single" w:color="auto" w:sz="4" w:space="0"/>
              <w:left w:val="single" w:color="auto" w:sz="4" w:space="0"/>
              <w:bottom w:val="single" w:color="auto" w:sz="4" w:space="0"/>
              <w:right w:val="single" w:color="auto" w:sz="4" w:space="0"/>
            </w:tcBorders>
            <w:vAlign w:val="center"/>
          </w:tcPr>
          <w:p w14:paraId="7AC71BBB">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1.1.4</w:t>
            </w:r>
          </w:p>
        </w:tc>
        <w:tc>
          <w:tcPr>
            <w:tcW w:w="1979" w:type="dxa"/>
            <w:tcBorders>
              <w:top w:val="single" w:color="auto" w:sz="4" w:space="0"/>
              <w:left w:val="single" w:color="auto" w:sz="4" w:space="0"/>
              <w:bottom w:val="single" w:color="auto" w:sz="4" w:space="0"/>
              <w:right w:val="single" w:color="auto" w:sz="4" w:space="0"/>
            </w:tcBorders>
            <w:vAlign w:val="center"/>
          </w:tcPr>
          <w:p w14:paraId="355889CD">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招标项目名称</w:t>
            </w:r>
          </w:p>
        </w:tc>
        <w:tc>
          <w:tcPr>
            <w:tcW w:w="7003" w:type="dxa"/>
            <w:tcBorders>
              <w:top w:val="single" w:color="auto" w:sz="4" w:space="0"/>
              <w:left w:val="single" w:color="auto" w:sz="4" w:space="0"/>
              <w:bottom w:val="single" w:color="auto" w:sz="4" w:space="0"/>
              <w:right w:val="single" w:color="auto" w:sz="4" w:space="0"/>
            </w:tcBorders>
            <w:shd w:val="clear" w:color="auto" w:fill="auto"/>
            <w:vAlign w:val="center"/>
          </w:tcPr>
          <w:p w14:paraId="5941806D">
            <w:pPr>
              <w:pageBreakBefore w:val="0"/>
              <w:kinsoku/>
              <w:wordWrap/>
              <w:overflowPunct/>
              <w:topLinePunct w:val="0"/>
              <w:autoSpaceDE w:val="0"/>
              <w:autoSpaceDN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lang w:eastAsia="zh-CN"/>
              </w:rPr>
            </w:pPr>
            <w:r>
              <w:rPr>
                <w:rFonts w:hint="eastAsia" w:ascii="宋体" w:hAnsi="宋体" w:eastAsia="宋体" w:cs="宋体"/>
                <w:strike w:val="0"/>
                <w:color w:val="auto"/>
                <w:sz w:val="21"/>
                <w:szCs w:val="21"/>
                <w:highlight w:val="none"/>
                <w:lang w:eastAsia="zh-CN"/>
              </w:rPr>
              <w:t>粤港澳大湾区—佛山市南海区电力管廊（一期）项目—佛山220千伏沥中输变电线路配套电力管廊建设工程预算审核（复审）</w:t>
            </w:r>
          </w:p>
        </w:tc>
      </w:tr>
      <w:tr w14:paraId="56E1F1D3">
        <w:tblPrEx>
          <w:tblCellMar>
            <w:top w:w="0" w:type="dxa"/>
            <w:left w:w="108" w:type="dxa"/>
            <w:bottom w:w="0" w:type="dxa"/>
            <w:right w:w="108" w:type="dxa"/>
          </w:tblCellMar>
        </w:tblPrEx>
        <w:trPr>
          <w:trHeight w:val="318" w:hRule="atLeast"/>
        </w:trPr>
        <w:tc>
          <w:tcPr>
            <w:tcW w:w="954" w:type="dxa"/>
            <w:tcBorders>
              <w:top w:val="single" w:color="auto" w:sz="4" w:space="0"/>
              <w:left w:val="single" w:color="auto" w:sz="4" w:space="0"/>
              <w:bottom w:val="single" w:color="auto" w:sz="4" w:space="0"/>
              <w:right w:val="single" w:color="auto" w:sz="4" w:space="0"/>
            </w:tcBorders>
            <w:vAlign w:val="center"/>
          </w:tcPr>
          <w:p w14:paraId="7EC20668">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1.2.2</w:t>
            </w:r>
          </w:p>
        </w:tc>
        <w:tc>
          <w:tcPr>
            <w:tcW w:w="1979" w:type="dxa"/>
            <w:tcBorders>
              <w:top w:val="single" w:color="auto" w:sz="4" w:space="0"/>
              <w:left w:val="single" w:color="auto" w:sz="4" w:space="0"/>
              <w:bottom w:val="single" w:color="auto" w:sz="4" w:space="0"/>
              <w:right w:val="single" w:color="auto" w:sz="4" w:space="0"/>
            </w:tcBorders>
            <w:vAlign w:val="center"/>
          </w:tcPr>
          <w:p w14:paraId="685823D0">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出资比例</w:t>
            </w:r>
          </w:p>
        </w:tc>
        <w:tc>
          <w:tcPr>
            <w:tcW w:w="7003" w:type="dxa"/>
            <w:tcBorders>
              <w:top w:val="single" w:color="auto" w:sz="4" w:space="0"/>
              <w:left w:val="single" w:color="auto" w:sz="4" w:space="0"/>
              <w:bottom w:val="single" w:color="auto" w:sz="4" w:space="0"/>
              <w:right w:val="single" w:color="auto" w:sz="4" w:space="0"/>
            </w:tcBorders>
            <w:shd w:val="clear" w:color="auto" w:fill="auto"/>
            <w:vAlign w:val="center"/>
          </w:tcPr>
          <w:p w14:paraId="28D5E6E2">
            <w:pPr>
              <w:pageBreakBefore w:val="0"/>
              <w:kinsoku/>
              <w:wordWrap/>
              <w:overflowPunct/>
              <w:topLinePunct w:val="0"/>
              <w:autoSpaceDE w:val="0"/>
              <w:autoSpaceDN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100%财政资金</w:t>
            </w:r>
          </w:p>
        </w:tc>
      </w:tr>
      <w:tr w14:paraId="1A749FCB">
        <w:tblPrEx>
          <w:tblCellMar>
            <w:top w:w="0" w:type="dxa"/>
            <w:left w:w="108" w:type="dxa"/>
            <w:bottom w:w="0" w:type="dxa"/>
            <w:right w:w="108" w:type="dxa"/>
          </w:tblCellMar>
        </w:tblPrEx>
        <w:trPr>
          <w:trHeight w:val="385" w:hRule="atLeast"/>
        </w:trPr>
        <w:tc>
          <w:tcPr>
            <w:tcW w:w="954" w:type="dxa"/>
            <w:tcBorders>
              <w:top w:val="single" w:color="auto" w:sz="4" w:space="0"/>
              <w:left w:val="single" w:color="auto" w:sz="4" w:space="0"/>
              <w:bottom w:val="single" w:color="auto" w:sz="4" w:space="0"/>
              <w:right w:val="single" w:color="auto" w:sz="4" w:space="0"/>
            </w:tcBorders>
            <w:vAlign w:val="center"/>
          </w:tcPr>
          <w:p w14:paraId="35DE4AC0">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1.2.3</w:t>
            </w:r>
          </w:p>
        </w:tc>
        <w:tc>
          <w:tcPr>
            <w:tcW w:w="1979" w:type="dxa"/>
            <w:tcBorders>
              <w:top w:val="single" w:color="auto" w:sz="4" w:space="0"/>
              <w:left w:val="single" w:color="auto" w:sz="4" w:space="0"/>
              <w:bottom w:val="single" w:color="auto" w:sz="4" w:space="0"/>
              <w:right w:val="single" w:color="auto" w:sz="4" w:space="0"/>
            </w:tcBorders>
            <w:vAlign w:val="center"/>
          </w:tcPr>
          <w:p w14:paraId="20EF17B7">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资金落实情况</w:t>
            </w:r>
          </w:p>
        </w:tc>
        <w:tc>
          <w:tcPr>
            <w:tcW w:w="7003" w:type="dxa"/>
            <w:tcBorders>
              <w:top w:val="single" w:color="auto" w:sz="4" w:space="0"/>
              <w:left w:val="single" w:color="auto" w:sz="4" w:space="0"/>
              <w:bottom w:val="single" w:color="auto" w:sz="4" w:space="0"/>
              <w:right w:val="single" w:color="auto" w:sz="4" w:space="0"/>
            </w:tcBorders>
            <w:shd w:val="clear" w:color="auto" w:fill="auto"/>
            <w:vAlign w:val="center"/>
          </w:tcPr>
          <w:p w14:paraId="224895B6">
            <w:pPr>
              <w:pageBreakBefore w:val="0"/>
              <w:kinsoku/>
              <w:wordWrap/>
              <w:overflowPunct/>
              <w:topLinePunct w:val="0"/>
              <w:autoSpaceDE w:val="0"/>
              <w:autoSpaceDN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已落实</w:t>
            </w:r>
          </w:p>
        </w:tc>
      </w:tr>
      <w:tr w14:paraId="0073D763">
        <w:tblPrEx>
          <w:tblCellMar>
            <w:top w:w="0" w:type="dxa"/>
            <w:left w:w="108" w:type="dxa"/>
            <w:bottom w:w="0" w:type="dxa"/>
            <w:right w:w="108" w:type="dxa"/>
          </w:tblCellMar>
        </w:tblPrEx>
        <w:trPr>
          <w:trHeight w:val="4732" w:hRule="atLeast"/>
        </w:trPr>
        <w:tc>
          <w:tcPr>
            <w:tcW w:w="954" w:type="dxa"/>
            <w:tcBorders>
              <w:top w:val="single" w:color="auto" w:sz="4" w:space="0"/>
              <w:left w:val="single" w:color="auto" w:sz="4" w:space="0"/>
              <w:bottom w:val="single" w:color="auto" w:sz="4" w:space="0"/>
              <w:right w:val="single" w:color="auto" w:sz="4" w:space="0"/>
            </w:tcBorders>
            <w:vAlign w:val="center"/>
          </w:tcPr>
          <w:p w14:paraId="52EEF4FE">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1.4.2</w:t>
            </w:r>
          </w:p>
        </w:tc>
        <w:tc>
          <w:tcPr>
            <w:tcW w:w="1979" w:type="dxa"/>
            <w:tcBorders>
              <w:top w:val="single" w:color="auto" w:sz="4" w:space="0"/>
              <w:left w:val="single" w:color="auto" w:sz="4" w:space="0"/>
              <w:bottom w:val="single" w:color="auto" w:sz="4" w:space="0"/>
              <w:right w:val="single" w:color="auto" w:sz="4" w:space="0"/>
            </w:tcBorders>
            <w:vAlign w:val="center"/>
          </w:tcPr>
          <w:p w14:paraId="13D456E0">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是否接受联合体投标</w:t>
            </w:r>
          </w:p>
        </w:tc>
        <w:tc>
          <w:tcPr>
            <w:tcW w:w="7003" w:type="dxa"/>
            <w:tcBorders>
              <w:top w:val="single" w:color="auto" w:sz="4" w:space="0"/>
              <w:left w:val="single" w:color="auto" w:sz="4" w:space="0"/>
              <w:bottom w:val="single" w:color="auto" w:sz="4" w:space="0"/>
              <w:right w:val="single" w:color="auto" w:sz="4" w:space="0"/>
            </w:tcBorders>
            <w:vAlign w:val="center"/>
          </w:tcPr>
          <w:p w14:paraId="1E59B3B9">
            <w:pPr>
              <w:pageBreakBefore w:val="0"/>
              <w:kinsoku/>
              <w:wordWrap/>
              <w:overflowPunct/>
              <w:topLinePunct w:val="0"/>
              <w:autoSpaceDE w:val="0"/>
              <w:autoSpaceDN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kern w:val="0"/>
                <w:sz w:val="21"/>
                <w:szCs w:val="21"/>
                <w:highlight w:val="none"/>
              </w:rPr>
            </w:pPr>
            <w:r>
              <w:rPr>
                <w:rFonts w:hint="eastAsia" w:ascii="宋体" w:hAnsi="宋体" w:eastAsia="宋体" w:cs="宋体"/>
                <w:strike w:val="0"/>
                <w:color w:val="auto"/>
                <w:sz w:val="21"/>
                <w:szCs w:val="21"/>
                <w:highlight w:val="none"/>
              </w:rPr>
              <w:t>☑</w:t>
            </w:r>
            <w:r>
              <w:rPr>
                <w:rFonts w:hint="eastAsia" w:ascii="宋体" w:hAnsi="宋体" w:eastAsia="宋体" w:cs="宋体"/>
                <w:strike w:val="0"/>
                <w:color w:val="auto"/>
                <w:kern w:val="0"/>
                <w:sz w:val="21"/>
                <w:szCs w:val="21"/>
                <w:highlight w:val="none"/>
              </w:rPr>
              <w:t>不接受</w:t>
            </w:r>
          </w:p>
          <w:p w14:paraId="327D5904">
            <w:pPr>
              <w:pageBreakBefore w:val="0"/>
              <w:kinsoku/>
              <w:wordWrap/>
              <w:overflowPunct/>
              <w:topLinePunct w:val="0"/>
              <w:autoSpaceDE w:val="0"/>
              <w:autoSpaceDN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w:t>
            </w:r>
            <w:r>
              <w:rPr>
                <w:rFonts w:hint="eastAsia" w:ascii="宋体" w:hAnsi="宋体" w:eastAsia="宋体" w:cs="宋体"/>
                <w:strike w:val="0"/>
                <w:color w:val="auto"/>
                <w:kern w:val="0"/>
                <w:sz w:val="21"/>
                <w:szCs w:val="21"/>
                <w:highlight w:val="none"/>
              </w:rPr>
              <w:t>接受</w:t>
            </w:r>
            <w:r>
              <w:rPr>
                <w:rFonts w:hint="eastAsia" w:ascii="宋体" w:hAnsi="宋体" w:eastAsia="宋体" w:cs="宋体"/>
                <w:strike w:val="0"/>
                <w:color w:val="auto"/>
                <w:sz w:val="21"/>
                <w:szCs w:val="21"/>
                <w:highlight w:val="none"/>
              </w:rPr>
              <w:t>，联合体投标人除应符合投标人应当具备的资格条件外，还应遵守以下规定：</w:t>
            </w:r>
          </w:p>
          <w:p w14:paraId="765DAC9C">
            <w:pPr>
              <w:pageBreakBefore w:val="0"/>
              <w:kinsoku/>
              <w:wordWrap/>
              <w:overflowPunct/>
              <w:topLinePunct w:val="0"/>
              <w:autoSpaceDE w:val="0"/>
              <w:autoSpaceDN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1.投标人的投标文件及中标后签署的合同协议书，对联合体各方均有法律约束力。</w:t>
            </w:r>
          </w:p>
          <w:p w14:paraId="11F0ABC5">
            <w:pPr>
              <w:pageBreakBefore w:val="0"/>
              <w:kinsoku/>
              <w:wordWrap/>
              <w:overflowPunct/>
              <w:topLinePunct w:val="0"/>
              <w:autoSpaceDE w:val="0"/>
              <w:autoSpaceDN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2.联合体各方应按招标文件提供的格式签署联合投标协议书，并明确约定各方拟承担的工作和责任，各方资质、信誉要满足联合投标协议书约定分工对应的招标文件要求。联合投标协议书中必须指定牵头人，授权其代表所有联合体成员负责投标、委派项目负责人和合同实施阶段的主办、协调工作。</w:t>
            </w:r>
          </w:p>
          <w:p w14:paraId="021C53E8">
            <w:pPr>
              <w:pageBreakBefore w:val="0"/>
              <w:kinsoku/>
              <w:wordWrap/>
              <w:overflowPunct/>
              <w:topLinePunct w:val="0"/>
              <w:autoSpaceDE w:val="0"/>
              <w:autoSpaceDN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3.联合体各方签订联合投标协议书后，不得再以自己名义单独投标或加入其他联合体在同一标段中进行投标，如有违反，其投标和与此有关的联合体的投标将被拒绝。</w:t>
            </w:r>
          </w:p>
          <w:p w14:paraId="189C37EE">
            <w:pPr>
              <w:pageBreakBefore w:val="0"/>
              <w:kinsoku/>
              <w:wordWrap/>
              <w:overflowPunct/>
              <w:topLinePunct w:val="0"/>
              <w:autoSpaceDE w:val="0"/>
              <w:autoSpaceDN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4.联合体中标后，联合体各方应当共同与招标人签订合同，为履行合同向招标人承担连带责任。联合体牵头人应被授权作为联合体各方的代表，向招标人提交履约保证金、承担责任和接受指令，并负责整个合同的全面履行和接受本招标项目工程款的支付。</w:t>
            </w:r>
          </w:p>
          <w:p w14:paraId="3A9092FB">
            <w:pPr>
              <w:pageBreakBefore w:val="0"/>
              <w:kinsoku/>
              <w:wordWrap/>
              <w:overflowPunct/>
              <w:topLinePunct w:val="0"/>
              <w:autoSpaceDE w:val="0"/>
              <w:autoSpaceDN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5.除非另有规定和说明，本招标文件（含</w:t>
            </w:r>
            <w:r>
              <w:rPr>
                <w:rFonts w:hint="eastAsia" w:ascii="宋体" w:hAnsi="宋体" w:cs="宋体"/>
                <w:strike w:val="0"/>
                <w:color w:val="auto"/>
                <w:sz w:val="21"/>
                <w:szCs w:val="21"/>
                <w:highlight w:val="none"/>
                <w:lang w:eastAsia="zh-CN"/>
              </w:rPr>
              <w:t>招标公告</w:t>
            </w:r>
            <w:r>
              <w:rPr>
                <w:rFonts w:hint="eastAsia" w:ascii="宋体" w:hAnsi="宋体" w:eastAsia="宋体" w:cs="宋体"/>
                <w:strike w:val="0"/>
                <w:color w:val="auto"/>
                <w:sz w:val="21"/>
                <w:szCs w:val="21"/>
                <w:highlight w:val="none"/>
              </w:rPr>
              <w:t>）中的“投标人”一词亦指联合体各方。</w:t>
            </w:r>
          </w:p>
          <w:p w14:paraId="4334F54A">
            <w:pPr>
              <w:pageBreakBefore w:val="0"/>
              <w:kinsoku/>
              <w:wordWrap/>
              <w:overflowPunct/>
              <w:topLinePunct w:val="0"/>
              <w:autoSpaceDE w:val="0"/>
              <w:autoSpaceDN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b/>
                <w:bCs/>
                <w:strike w:val="0"/>
                <w:color w:val="auto"/>
                <w:sz w:val="21"/>
                <w:szCs w:val="21"/>
                <w:highlight w:val="none"/>
                <w:lang w:val="zh-CN"/>
              </w:rPr>
              <w:t>注：联合体投标人全称格式：</w:t>
            </w:r>
            <w:r>
              <w:rPr>
                <w:rFonts w:hint="eastAsia" w:ascii="宋体" w:hAnsi="宋体" w:eastAsia="宋体" w:cs="宋体"/>
                <w:b/>
                <w:bCs/>
                <w:strike w:val="0"/>
                <w:color w:val="auto"/>
                <w:sz w:val="21"/>
                <w:szCs w:val="21"/>
                <w:highlight w:val="none"/>
                <w:u w:val="single"/>
                <w:lang w:val="zh-CN"/>
              </w:rPr>
              <w:t xml:space="preserve"> 牵头人单位全称 </w:t>
            </w:r>
            <w:r>
              <w:rPr>
                <w:rFonts w:hint="eastAsia" w:ascii="宋体" w:hAnsi="宋体" w:eastAsia="宋体" w:cs="宋体"/>
                <w:b/>
                <w:bCs/>
                <w:strike w:val="0"/>
                <w:color w:val="auto"/>
                <w:sz w:val="21"/>
                <w:szCs w:val="21"/>
                <w:highlight w:val="none"/>
                <w:lang w:val="zh-CN"/>
              </w:rPr>
              <w:t>与</w:t>
            </w:r>
            <w:r>
              <w:rPr>
                <w:rFonts w:hint="eastAsia" w:ascii="宋体" w:hAnsi="宋体" w:eastAsia="宋体" w:cs="宋体"/>
                <w:b/>
                <w:bCs/>
                <w:strike w:val="0"/>
                <w:color w:val="auto"/>
                <w:sz w:val="21"/>
                <w:szCs w:val="21"/>
                <w:highlight w:val="none"/>
                <w:u w:val="single"/>
                <w:lang w:val="zh-CN"/>
              </w:rPr>
              <w:t xml:space="preserve"> 成员单位全称 </w:t>
            </w:r>
            <w:r>
              <w:rPr>
                <w:rFonts w:hint="eastAsia" w:ascii="宋体" w:hAnsi="宋体" w:eastAsia="宋体" w:cs="宋体"/>
                <w:b/>
                <w:bCs/>
                <w:strike w:val="0"/>
                <w:color w:val="auto"/>
                <w:sz w:val="21"/>
                <w:szCs w:val="21"/>
                <w:highlight w:val="none"/>
                <w:lang w:val="zh-CN"/>
              </w:rPr>
              <w:t>联合体</w:t>
            </w:r>
          </w:p>
        </w:tc>
      </w:tr>
      <w:tr w14:paraId="6D71607F">
        <w:tblPrEx>
          <w:tblCellMar>
            <w:top w:w="0" w:type="dxa"/>
            <w:left w:w="108" w:type="dxa"/>
            <w:bottom w:w="0" w:type="dxa"/>
            <w:right w:w="108" w:type="dxa"/>
          </w:tblCellMar>
        </w:tblPrEx>
        <w:trPr>
          <w:trHeight w:val="90" w:hRule="atLeast"/>
        </w:trPr>
        <w:tc>
          <w:tcPr>
            <w:tcW w:w="954" w:type="dxa"/>
            <w:tcBorders>
              <w:top w:val="single" w:color="auto" w:sz="4" w:space="0"/>
              <w:left w:val="single" w:color="auto" w:sz="4" w:space="0"/>
              <w:bottom w:val="single" w:color="auto" w:sz="4" w:space="0"/>
              <w:right w:val="single" w:color="auto" w:sz="4" w:space="0"/>
            </w:tcBorders>
            <w:vAlign w:val="center"/>
          </w:tcPr>
          <w:p w14:paraId="69A1DC2A">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1.0</w:t>
            </w:r>
          </w:p>
        </w:tc>
        <w:tc>
          <w:tcPr>
            <w:tcW w:w="1979" w:type="dxa"/>
            <w:tcBorders>
              <w:top w:val="single" w:color="auto" w:sz="4" w:space="0"/>
              <w:left w:val="single" w:color="auto" w:sz="4" w:space="0"/>
              <w:bottom w:val="single" w:color="auto" w:sz="4" w:space="0"/>
              <w:right w:val="single" w:color="auto" w:sz="4" w:space="0"/>
            </w:tcBorders>
            <w:vAlign w:val="center"/>
          </w:tcPr>
          <w:p w14:paraId="4216FD47">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分包</w:t>
            </w:r>
          </w:p>
        </w:tc>
        <w:tc>
          <w:tcPr>
            <w:tcW w:w="7003" w:type="dxa"/>
            <w:tcBorders>
              <w:top w:val="single" w:color="auto" w:sz="4" w:space="0"/>
              <w:left w:val="single" w:color="auto" w:sz="4" w:space="0"/>
              <w:bottom w:val="single" w:color="auto" w:sz="4" w:space="0"/>
              <w:right w:val="single" w:color="auto" w:sz="4" w:space="0"/>
            </w:tcBorders>
            <w:vAlign w:val="center"/>
          </w:tcPr>
          <w:p w14:paraId="2EFB033B">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b/>
                <w:bCs/>
                <w:strike w:val="0"/>
                <w:color w:val="auto"/>
                <w:kern w:val="0"/>
                <w:sz w:val="21"/>
                <w:szCs w:val="21"/>
                <w:highlight w:val="none"/>
              </w:rPr>
            </w:pPr>
            <w:r>
              <w:rPr>
                <w:rFonts w:hint="eastAsia" w:ascii="宋体" w:hAnsi="宋体" w:eastAsia="宋体" w:cs="宋体"/>
                <w:strike w:val="0"/>
                <w:color w:val="auto"/>
                <w:sz w:val="21"/>
                <w:szCs w:val="21"/>
                <w:highlight w:val="none"/>
              </w:rPr>
              <w:t>☑</w:t>
            </w:r>
            <w:r>
              <w:rPr>
                <w:rFonts w:hint="eastAsia" w:ascii="宋体" w:hAnsi="宋体" w:eastAsia="宋体" w:cs="宋体"/>
                <w:b/>
                <w:bCs/>
                <w:strike w:val="0"/>
                <w:color w:val="auto"/>
                <w:kern w:val="0"/>
                <w:sz w:val="21"/>
                <w:szCs w:val="21"/>
                <w:highlight w:val="none"/>
              </w:rPr>
              <w:t>不允许</w:t>
            </w:r>
          </w:p>
          <w:p w14:paraId="200752CB">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b/>
                <w:bCs/>
                <w:strike w:val="0"/>
                <w:color w:val="auto"/>
                <w:sz w:val="21"/>
                <w:szCs w:val="21"/>
                <w:highlight w:val="none"/>
                <w:lang w:val="zh-CN"/>
              </w:rPr>
            </w:pPr>
            <w:r>
              <w:rPr>
                <w:rFonts w:hint="eastAsia" w:ascii="宋体" w:hAnsi="宋体" w:eastAsia="宋体" w:cs="宋体"/>
                <w:strike w:val="0"/>
                <w:color w:val="auto"/>
                <w:sz w:val="21"/>
                <w:szCs w:val="21"/>
                <w:highlight w:val="none"/>
              </w:rPr>
              <w:t>□</w:t>
            </w:r>
            <w:r>
              <w:rPr>
                <w:rFonts w:hint="eastAsia" w:ascii="宋体" w:hAnsi="宋体" w:eastAsia="宋体" w:cs="宋体"/>
                <w:b/>
                <w:bCs/>
                <w:strike w:val="0"/>
                <w:color w:val="auto"/>
                <w:kern w:val="0"/>
                <w:sz w:val="21"/>
                <w:szCs w:val="21"/>
                <w:highlight w:val="none"/>
              </w:rPr>
              <w:t>允许，分包内容要求：</w:t>
            </w:r>
            <w:r>
              <w:rPr>
                <w:rFonts w:hint="eastAsia" w:ascii="宋体" w:hAnsi="宋体" w:eastAsia="宋体" w:cs="宋体"/>
                <w:b/>
                <w:bCs/>
                <w:strike w:val="0"/>
                <w:color w:val="auto"/>
                <w:kern w:val="0"/>
                <w:sz w:val="21"/>
                <w:szCs w:val="21"/>
                <w:highlight w:val="none"/>
                <w:u w:val="single"/>
              </w:rPr>
              <w:t xml:space="preserve">        </w:t>
            </w:r>
            <w:r>
              <w:rPr>
                <w:rFonts w:hint="eastAsia" w:ascii="宋体" w:hAnsi="宋体" w:eastAsia="宋体" w:cs="宋体"/>
                <w:b/>
                <w:bCs/>
                <w:strike w:val="0"/>
                <w:color w:val="auto"/>
                <w:kern w:val="0"/>
                <w:sz w:val="21"/>
                <w:szCs w:val="21"/>
                <w:highlight w:val="none"/>
              </w:rPr>
              <w:t>。</w:t>
            </w:r>
          </w:p>
        </w:tc>
      </w:tr>
      <w:tr w14:paraId="5A600E7B">
        <w:tblPrEx>
          <w:tblCellMar>
            <w:top w:w="0" w:type="dxa"/>
            <w:left w:w="108" w:type="dxa"/>
            <w:bottom w:w="0" w:type="dxa"/>
            <w:right w:w="108" w:type="dxa"/>
          </w:tblCellMar>
        </w:tblPrEx>
        <w:trPr>
          <w:trHeight w:val="90" w:hRule="atLeast"/>
        </w:trPr>
        <w:tc>
          <w:tcPr>
            <w:tcW w:w="954" w:type="dxa"/>
            <w:tcBorders>
              <w:top w:val="single" w:color="auto" w:sz="4" w:space="0"/>
              <w:left w:val="single" w:color="auto" w:sz="4" w:space="0"/>
              <w:bottom w:val="single" w:color="auto" w:sz="4" w:space="0"/>
              <w:right w:val="single" w:color="auto" w:sz="4" w:space="0"/>
            </w:tcBorders>
            <w:vAlign w:val="center"/>
          </w:tcPr>
          <w:p w14:paraId="098DFC49">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1.11</w:t>
            </w:r>
          </w:p>
        </w:tc>
        <w:tc>
          <w:tcPr>
            <w:tcW w:w="1979" w:type="dxa"/>
            <w:tcBorders>
              <w:top w:val="single" w:color="auto" w:sz="4" w:space="0"/>
              <w:left w:val="single" w:color="auto" w:sz="4" w:space="0"/>
              <w:bottom w:val="single" w:color="auto" w:sz="4" w:space="0"/>
              <w:right w:val="single" w:color="auto" w:sz="4" w:space="0"/>
            </w:tcBorders>
            <w:vAlign w:val="center"/>
          </w:tcPr>
          <w:p w14:paraId="38ABD56C">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偏离</w:t>
            </w:r>
          </w:p>
        </w:tc>
        <w:tc>
          <w:tcPr>
            <w:tcW w:w="7003" w:type="dxa"/>
            <w:tcBorders>
              <w:top w:val="single" w:color="auto" w:sz="4" w:space="0"/>
              <w:left w:val="single" w:color="auto" w:sz="4" w:space="0"/>
              <w:bottom w:val="single" w:color="auto" w:sz="4" w:space="0"/>
              <w:right w:val="single" w:color="auto" w:sz="4" w:space="0"/>
            </w:tcBorders>
            <w:vAlign w:val="center"/>
          </w:tcPr>
          <w:p w14:paraId="6718969B">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☑不允许</w:t>
            </w:r>
          </w:p>
          <w:p w14:paraId="629F65A5">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□允许，可偏离的项目和范围见第七章“</w:t>
            </w:r>
            <w:r>
              <w:rPr>
                <w:rFonts w:hint="eastAsia" w:ascii="宋体" w:hAnsi="宋体" w:eastAsia="宋体" w:cs="宋体"/>
                <w:strike w:val="0"/>
                <w:color w:val="auto"/>
                <w:sz w:val="21"/>
                <w:szCs w:val="21"/>
                <w:highlight w:val="none"/>
                <w:lang w:eastAsia="zh-CN"/>
              </w:rPr>
              <w:t>造价咨询</w:t>
            </w:r>
            <w:r>
              <w:rPr>
                <w:rFonts w:hint="eastAsia" w:ascii="宋体" w:hAnsi="宋体" w:eastAsia="宋体" w:cs="宋体"/>
                <w:strike w:val="0"/>
                <w:color w:val="auto"/>
                <w:sz w:val="21"/>
                <w:szCs w:val="21"/>
                <w:highlight w:val="none"/>
              </w:rPr>
              <w:t>规范和技术要求”；</w:t>
            </w:r>
          </w:p>
          <w:p w14:paraId="63EF7A9E">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允许偏离最高项数：/</w:t>
            </w:r>
          </w:p>
          <w:p w14:paraId="4F5A2EE7">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偏差调整方法：/</w:t>
            </w:r>
          </w:p>
        </w:tc>
      </w:tr>
      <w:tr w14:paraId="28921F3A">
        <w:tblPrEx>
          <w:tblCellMar>
            <w:top w:w="0" w:type="dxa"/>
            <w:left w:w="108" w:type="dxa"/>
            <w:bottom w:w="0" w:type="dxa"/>
            <w:right w:w="108" w:type="dxa"/>
          </w:tblCellMar>
        </w:tblPrEx>
        <w:trPr>
          <w:trHeight w:val="940" w:hRule="atLeast"/>
        </w:trPr>
        <w:tc>
          <w:tcPr>
            <w:tcW w:w="954" w:type="dxa"/>
            <w:tcBorders>
              <w:top w:val="single" w:color="auto" w:sz="4" w:space="0"/>
              <w:left w:val="single" w:color="auto" w:sz="4" w:space="0"/>
              <w:bottom w:val="single" w:color="auto" w:sz="4" w:space="0"/>
              <w:right w:val="single" w:color="auto" w:sz="4" w:space="0"/>
            </w:tcBorders>
            <w:vAlign w:val="center"/>
          </w:tcPr>
          <w:p w14:paraId="3850C873">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2.2.1</w:t>
            </w:r>
          </w:p>
        </w:tc>
        <w:tc>
          <w:tcPr>
            <w:tcW w:w="1979" w:type="dxa"/>
            <w:tcBorders>
              <w:top w:val="single" w:color="auto" w:sz="4" w:space="0"/>
              <w:left w:val="single" w:color="auto" w:sz="4" w:space="0"/>
              <w:bottom w:val="single" w:color="auto" w:sz="4" w:space="0"/>
              <w:right w:val="single" w:color="auto" w:sz="4" w:space="0"/>
            </w:tcBorders>
            <w:vAlign w:val="center"/>
          </w:tcPr>
          <w:p w14:paraId="04BDD218">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投标人要求澄清招标文件的截止时间</w:t>
            </w:r>
          </w:p>
        </w:tc>
        <w:tc>
          <w:tcPr>
            <w:tcW w:w="7003" w:type="dxa"/>
            <w:tcBorders>
              <w:top w:val="single" w:color="auto" w:sz="4" w:space="0"/>
              <w:left w:val="single" w:color="auto" w:sz="4" w:space="0"/>
              <w:bottom w:val="single" w:color="auto" w:sz="4" w:space="0"/>
              <w:right w:val="single" w:color="auto" w:sz="4" w:space="0"/>
            </w:tcBorders>
            <w:vAlign w:val="center"/>
          </w:tcPr>
          <w:p w14:paraId="122B560D">
            <w:pPr>
              <w:pageBreakBefore w:val="0"/>
              <w:kinsoku/>
              <w:wordWrap/>
              <w:overflowPunct/>
              <w:topLinePunct w:val="0"/>
              <w:bidi w:val="0"/>
              <w:adjustRightInd/>
              <w:snapToGrid/>
              <w:spacing w:beforeLines="0" w:afterLines="0" w:line="360" w:lineRule="auto"/>
              <w:ind w:left="0" w:leftChars="0" w:right="0" w:firstLine="0" w:firstLineChars="0"/>
              <w:jc w:val="both"/>
              <w:textAlignment w:val="auto"/>
              <w:rPr>
                <w:rFonts w:hint="eastAsia" w:ascii="宋体" w:hAnsi="宋体" w:eastAsia="宋体" w:cs="宋体"/>
                <w:strike w:val="0"/>
                <w:color w:val="auto"/>
                <w:sz w:val="21"/>
                <w:szCs w:val="21"/>
                <w:highlight w:val="none"/>
              </w:rPr>
            </w:pPr>
            <w:r>
              <w:rPr>
                <w:rFonts w:hint="eastAsia" w:ascii="宋体" w:hAnsi="宋体" w:cs="Times New Roman"/>
                <w:color w:val="auto"/>
                <w:szCs w:val="21"/>
                <w:highlight w:val="none"/>
                <w:u w:val="single"/>
                <w:lang w:val="en-US" w:eastAsia="zh-CN"/>
              </w:rPr>
              <w:t>2025</w:t>
            </w:r>
            <w:r>
              <w:rPr>
                <w:rFonts w:hint="eastAsia" w:ascii="宋体" w:hAnsi="宋体" w:cs="Times New Roman"/>
                <w:color w:val="auto"/>
                <w:szCs w:val="21"/>
                <w:highlight w:val="none"/>
                <w:u w:val="single"/>
              </w:rPr>
              <w:t xml:space="preserve"> </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lang w:val="en-US" w:eastAsia="zh-CN"/>
              </w:rPr>
              <w:t>7</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lang w:val="en-US" w:eastAsia="zh-CN"/>
              </w:rPr>
              <w:t>1</w:t>
            </w:r>
            <w:r>
              <w:rPr>
                <w:rFonts w:hint="eastAsia" w:ascii="宋体" w:hAnsi="宋体" w:cs="Times New Roman"/>
                <w:color w:val="auto"/>
                <w:szCs w:val="21"/>
                <w:highlight w:val="none"/>
              </w:rPr>
              <w:t>日</w:t>
            </w:r>
            <w:r>
              <w:rPr>
                <w:rFonts w:hint="eastAsia" w:ascii="宋体" w:hAnsi="宋体" w:cs="Times New Roman"/>
                <w:color w:val="auto"/>
                <w:szCs w:val="21"/>
                <w:highlight w:val="none"/>
                <w:u w:val="single"/>
                <w:lang w:val="en-US" w:eastAsia="zh-CN"/>
              </w:rPr>
              <w:t>00</w:t>
            </w:r>
            <w:r>
              <w:rPr>
                <w:rFonts w:hint="eastAsia" w:ascii="宋体" w:hAnsi="宋体" w:cs="Times New Roman"/>
                <w:color w:val="auto"/>
                <w:szCs w:val="21"/>
                <w:highlight w:val="none"/>
              </w:rPr>
              <w:t>时</w:t>
            </w:r>
            <w:r>
              <w:rPr>
                <w:rFonts w:hint="eastAsia" w:ascii="宋体" w:hAnsi="宋体" w:cs="Times New Roman"/>
                <w:color w:val="auto"/>
                <w:szCs w:val="21"/>
                <w:highlight w:val="none"/>
                <w:u w:val="single"/>
                <w:lang w:val="en-US" w:eastAsia="zh-CN"/>
              </w:rPr>
              <w:t>00</w:t>
            </w:r>
            <w:r>
              <w:rPr>
                <w:rFonts w:hint="eastAsia" w:ascii="宋体" w:hAnsi="宋体" w:cs="Times New Roman"/>
                <w:color w:val="auto"/>
                <w:szCs w:val="21"/>
                <w:highlight w:val="none"/>
              </w:rPr>
              <w:t xml:space="preserve">分前。 </w:t>
            </w:r>
          </w:p>
        </w:tc>
      </w:tr>
      <w:tr w14:paraId="4BE5963D">
        <w:tblPrEx>
          <w:tblCellMar>
            <w:top w:w="0" w:type="dxa"/>
            <w:left w:w="108" w:type="dxa"/>
            <w:bottom w:w="0" w:type="dxa"/>
            <w:right w:w="108" w:type="dxa"/>
          </w:tblCellMar>
        </w:tblPrEx>
        <w:trPr>
          <w:trHeight w:val="90" w:hRule="atLeast"/>
        </w:trPr>
        <w:tc>
          <w:tcPr>
            <w:tcW w:w="954" w:type="dxa"/>
            <w:tcBorders>
              <w:top w:val="single" w:color="auto" w:sz="4" w:space="0"/>
              <w:left w:val="single" w:color="auto" w:sz="4" w:space="0"/>
              <w:bottom w:val="single" w:color="auto" w:sz="4" w:space="0"/>
              <w:right w:val="single" w:color="auto" w:sz="4" w:space="0"/>
            </w:tcBorders>
            <w:vAlign w:val="center"/>
          </w:tcPr>
          <w:p w14:paraId="22A3E6EA">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3.2.3</w:t>
            </w:r>
          </w:p>
        </w:tc>
        <w:tc>
          <w:tcPr>
            <w:tcW w:w="1979" w:type="dxa"/>
            <w:tcBorders>
              <w:top w:val="single" w:color="auto" w:sz="4" w:space="0"/>
              <w:left w:val="single" w:color="auto" w:sz="4" w:space="0"/>
              <w:bottom w:val="single" w:color="auto" w:sz="4" w:space="0"/>
              <w:right w:val="single" w:color="auto" w:sz="4" w:space="0"/>
            </w:tcBorders>
            <w:vAlign w:val="center"/>
          </w:tcPr>
          <w:p w14:paraId="441A3174">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招标控制价（最高投标限价）及其计算方法</w:t>
            </w:r>
          </w:p>
        </w:tc>
        <w:tc>
          <w:tcPr>
            <w:tcW w:w="7003" w:type="dxa"/>
            <w:tcBorders>
              <w:top w:val="single" w:color="auto" w:sz="4" w:space="0"/>
              <w:left w:val="single" w:color="auto" w:sz="4" w:space="0"/>
              <w:bottom w:val="single" w:color="auto" w:sz="4" w:space="0"/>
              <w:right w:val="single" w:color="auto" w:sz="4" w:space="0"/>
            </w:tcBorders>
            <w:vAlign w:val="center"/>
          </w:tcPr>
          <w:p w14:paraId="794D7891">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招标控制价（最高投标限价）：￥1551430.69元，最高投标费率为：100%。</w:t>
            </w:r>
          </w:p>
          <w:p w14:paraId="67B60771">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计算方法：</w:t>
            </w:r>
          </w:p>
          <w:p w14:paraId="249FA1FE">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本项目招标控制价按《佛山市南海区财政局工程造价咨询服务收费标准表》（南财FS2023（NH）WZ0001）（附表2）中“预算初审审核”计费标准的90%的计算，以项目暂定建安费及设备购置费78125.92万元作为计算基数。</w:t>
            </w:r>
          </w:p>
          <w:p w14:paraId="471058C6">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招标控制价（最高投标限价）：[100×0.432%+400×0.369%+500×0.342%+4000×0.306%+5000×0.261%+（78125.92-10000）×0.2106%]×90%=155.143069(万元)</w:t>
            </w:r>
          </w:p>
          <w:p w14:paraId="3B1B7505">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lang w:val="en-US" w:eastAsia="zh-CN"/>
              </w:rPr>
            </w:pPr>
            <w:r>
              <w:rPr>
                <w:rFonts w:hint="eastAsia" w:ascii="宋体" w:hAnsi="宋体" w:eastAsia="宋体" w:cs="宋体"/>
                <w:strike w:val="0"/>
                <w:color w:val="auto"/>
                <w:sz w:val="21"/>
                <w:szCs w:val="21"/>
                <w:highlight w:val="none"/>
              </w:rPr>
              <w:t>2、最高投标费率=100%。</w:t>
            </w:r>
            <w:r>
              <w:rPr>
                <w:rFonts w:hint="eastAsia" w:ascii="宋体" w:hAnsi="宋体" w:eastAsia="宋体" w:cs="宋体"/>
                <w:strike w:val="0"/>
                <w:color w:val="auto"/>
                <w:sz w:val="21"/>
                <w:szCs w:val="21"/>
                <w:highlight w:val="none"/>
                <w:lang w:val="en-US" w:eastAsia="zh-CN"/>
              </w:rPr>
              <w:t>投标费率=投标报价÷招标控制价（最高投标限价）×100%</w:t>
            </w:r>
          </w:p>
        </w:tc>
      </w:tr>
      <w:tr w14:paraId="7F938D9E">
        <w:tblPrEx>
          <w:tblCellMar>
            <w:top w:w="0" w:type="dxa"/>
            <w:left w:w="108" w:type="dxa"/>
            <w:bottom w:w="0" w:type="dxa"/>
            <w:right w:w="108" w:type="dxa"/>
          </w:tblCellMar>
        </w:tblPrEx>
        <w:trPr>
          <w:trHeight w:val="425" w:hRule="atLeast"/>
        </w:trPr>
        <w:tc>
          <w:tcPr>
            <w:tcW w:w="954" w:type="dxa"/>
            <w:tcBorders>
              <w:top w:val="single" w:color="auto" w:sz="4" w:space="0"/>
              <w:left w:val="single" w:color="auto" w:sz="4" w:space="0"/>
              <w:bottom w:val="single" w:color="auto" w:sz="4" w:space="0"/>
              <w:right w:val="single" w:color="auto" w:sz="4" w:space="0"/>
            </w:tcBorders>
            <w:vAlign w:val="center"/>
          </w:tcPr>
          <w:p w14:paraId="438C7DAC">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3.2.4</w:t>
            </w:r>
          </w:p>
        </w:tc>
        <w:tc>
          <w:tcPr>
            <w:tcW w:w="1979" w:type="dxa"/>
            <w:tcBorders>
              <w:top w:val="single" w:color="auto" w:sz="4" w:space="0"/>
              <w:left w:val="single" w:color="auto" w:sz="4" w:space="0"/>
              <w:bottom w:val="single" w:color="auto" w:sz="4" w:space="0"/>
              <w:right w:val="single" w:color="auto" w:sz="4" w:space="0"/>
            </w:tcBorders>
            <w:vAlign w:val="center"/>
          </w:tcPr>
          <w:p w14:paraId="034C4FF0">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lang w:eastAsia="zh-CN"/>
              </w:rPr>
              <w:t>预算复审造价咨询服务费</w:t>
            </w:r>
            <w:r>
              <w:rPr>
                <w:rFonts w:hint="eastAsia" w:ascii="宋体" w:hAnsi="宋体" w:eastAsia="宋体" w:cs="宋体"/>
                <w:strike w:val="0"/>
                <w:color w:val="auto"/>
                <w:sz w:val="21"/>
                <w:szCs w:val="21"/>
                <w:highlight w:val="none"/>
              </w:rPr>
              <w:t>结算方法</w:t>
            </w:r>
          </w:p>
        </w:tc>
        <w:tc>
          <w:tcPr>
            <w:tcW w:w="7003" w:type="dxa"/>
            <w:tcBorders>
              <w:top w:val="single" w:color="auto" w:sz="4" w:space="0"/>
              <w:left w:val="single" w:color="auto" w:sz="4" w:space="0"/>
              <w:bottom w:val="single" w:color="auto" w:sz="4" w:space="0"/>
              <w:right w:val="single" w:color="auto" w:sz="4" w:space="0"/>
            </w:tcBorders>
            <w:vAlign w:val="center"/>
          </w:tcPr>
          <w:p w14:paraId="7E61BD86">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lang w:eastAsia="zh-CN"/>
              </w:rPr>
              <w:t>☑</w:t>
            </w:r>
            <w:r>
              <w:rPr>
                <w:rFonts w:hint="eastAsia" w:ascii="宋体" w:hAnsi="宋体" w:eastAsia="宋体" w:cs="宋体"/>
                <w:strike w:val="0"/>
                <w:color w:val="auto"/>
                <w:sz w:val="21"/>
                <w:szCs w:val="21"/>
                <w:highlight w:val="none"/>
              </w:rPr>
              <w:t>按中标人投标报价时的</w:t>
            </w:r>
            <w:r>
              <w:rPr>
                <w:rFonts w:hint="eastAsia" w:ascii="宋体" w:hAnsi="宋体" w:eastAsia="宋体" w:cs="宋体"/>
                <w:strike w:val="0"/>
                <w:color w:val="auto"/>
                <w:sz w:val="21"/>
                <w:szCs w:val="21"/>
                <w:highlight w:val="none"/>
                <w:lang w:eastAsia="zh-CN"/>
              </w:rPr>
              <w:t>预算复审造价咨询服务费</w:t>
            </w:r>
            <w:r>
              <w:rPr>
                <w:rFonts w:hint="eastAsia" w:ascii="宋体" w:hAnsi="宋体" w:eastAsia="宋体" w:cs="宋体"/>
                <w:strike w:val="0"/>
                <w:color w:val="auto"/>
                <w:sz w:val="21"/>
                <w:szCs w:val="21"/>
                <w:highlight w:val="none"/>
              </w:rPr>
              <w:t>费率结算，</w:t>
            </w:r>
            <w:r>
              <w:rPr>
                <w:rFonts w:hint="eastAsia" w:ascii="宋体" w:hAnsi="宋体" w:eastAsia="宋体" w:cs="宋体"/>
                <w:strike w:val="0"/>
                <w:color w:val="auto"/>
                <w:sz w:val="21"/>
                <w:szCs w:val="21"/>
                <w:highlight w:val="none"/>
                <w:lang w:eastAsia="zh-CN"/>
              </w:rPr>
              <w:t>预算复审造价咨询服务费</w:t>
            </w:r>
            <w:r>
              <w:rPr>
                <w:rFonts w:hint="eastAsia" w:ascii="宋体" w:hAnsi="宋体" w:eastAsia="宋体" w:cs="宋体"/>
                <w:strike w:val="0"/>
                <w:color w:val="auto"/>
                <w:sz w:val="21"/>
                <w:szCs w:val="21"/>
                <w:highlight w:val="none"/>
              </w:rPr>
              <w:t>结算费率不因</w:t>
            </w:r>
            <w:r>
              <w:rPr>
                <w:rFonts w:hint="eastAsia" w:ascii="宋体" w:hAnsi="宋体" w:eastAsia="宋体" w:cs="宋体"/>
                <w:strike w:val="0"/>
                <w:color w:val="auto"/>
                <w:sz w:val="21"/>
                <w:szCs w:val="21"/>
                <w:highlight w:val="none"/>
                <w:u w:val="single"/>
              </w:rPr>
              <w:t xml:space="preserve">工程项目规模、投资额增减、国家政策调整或法规、标准、市场因素、设计变更及工期延长等的变化等 </w:t>
            </w:r>
            <w:r>
              <w:rPr>
                <w:rFonts w:hint="eastAsia" w:ascii="宋体" w:hAnsi="宋体" w:eastAsia="宋体" w:cs="宋体"/>
                <w:strike w:val="0"/>
                <w:color w:val="auto"/>
                <w:sz w:val="21"/>
                <w:szCs w:val="21"/>
                <w:highlight w:val="none"/>
              </w:rPr>
              <w:t>因素而调整，具体结算方式为预算复审造价咨询服务费=预算初审计费标准收费×90%×中标费率-扣罚费用（若有）。</w:t>
            </w:r>
          </w:p>
          <w:p w14:paraId="31D86F5E">
            <w:pPr>
              <w:pStyle w:val="2"/>
              <w:pageBreakBefore w:val="0"/>
              <w:kinsoku/>
              <w:wordWrap/>
              <w:overflowPunct/>
              <w:topLinePunct w:val="0"/>
              <w:bidi w:val="0"/>
              <w:adjustRightInd/>
              <w:snapToGrid/>
              <w:spacing w:beforeLines="0" w:afterLines="0" w:line="360" w:lineRule="auto"/>
              <w:ind w:left="0" w:leftChars="0" w:right="0" w:firstLine="0" w:firstLineChars="0"/>
              <w:textAlignment w:val="auto"/>
              <w:rPr>
                <w:rFonts w:hint="eastAsia" w:ascii="宋体" w:hAnsi="宋体" w:eastAsia="宋体" w:cs="宋体"/>
                <w:strike w:val="0"/>
                <w:color w:val="auto"/>
                <w:sz w:val="21"/>
                <w:szCs w:val="21"/>
                <w:highlight w:val="none"/>
                <w:u w:val="single"/>
              </w:rPr>
            </w:pPr>
            <w:r>
              <w:rPr>
                <w:rFonts w:hint="eastAsia" w:ascii="宋体" w:hAnsi="宋体" w:eastAsia="宋体" w:cs="宋体"/>
                <w:strike w:val="0"/>
                <w:color w:val="auto"/>
                <w:sz w:val="21"/>
                <w:szCs w:val="21"/>
                <w:highlight w:val="none"/>
                <w:u w:val="single"/>
              </w:rPr>
              <w:t>计费标准：预算复审计费标准以预算审定金额为基数，按《佛山市南海区财政局工程造价咨询服务收费标准表》（南财FS2023（NH）WZ0001）中“预算初审审核”计费标准的90%</w:t>
            </w:r>
            <w:r>
              <w:rPr>
                <w:rFonts w:hint="eastAsia" w:ascii="宋体" w:hAnsi="宋体" w:eastAsia="宋体" w:cs="宋体"/>
                <w:strike w:val="0"/>
                <w:color w:val="auto"/>
                <w:sz w:val="21"/>
                <w:szCs w:val="21"/>
                <w:highlight w:val="none"/>
                <w:u w:val="single"/>
                <w:lang w:val="en-US" w:eastAsia="zh-CN"/>
              </w:rPr>
              <w:t>计费</w:t>
            </w:r>
            <w:r>
              <w:rPr>
                <w:rFonts w:hint="eastAsia" w:ascii="宋体" w:hAnsi="宋体" w:eastAsia="宋体" w:cs="宋体"/>
                <w:strike w:val="0"/>
                <w:color w:val="auto"/>
                <w:sz w:val="21"/>
                <w:szCs w:val="21"/>
                <w:highlight w:val="none"/>
                <w:u w:val="single"/>
              </w:rPr>
              <w:t>。</w:t>
            </w:r>
          </w:p>
          <w:p w14:paraId="48121F35">
            <w:pPr>
              <w:pStyle w:val="2"/>
              <w:pageBreakBefore w:val="0"/>
              <w:kinsoku/>
              <w:wordWrap/>
              <w:overflowPunct/>
              <w:topLinePunct w:val="0"/>
              <w:bidi w:val="0"/>
              <w:adjustRightInd/>
              <w:snapToGrid/>
              <w:spacing w:beforeLines="0" w:afterLines="0" w:line="360" w:lineRule="auto"/>
              <w:ind w:left="0" w:leftChars="0" w:right="0" w:firstLine="0" w:firstLineChars="0"/>
              <w:textAlignment w:val="auto"/>
              <w:rPr>
                <w:rFonts w:hint="eastAsia" w:ascii="宋体" w:hAnsi="宋体" w:eastAsia="宋体" w:cs="宋体"/>
                <w:strike w:val="0"/>
                <w:color w:val="auto"/>
                <w:sz w:val="21"/>
                <w:szCs w:val="21"/>
                <w:highlight w:val="none"/>
                <w:u w:val="single"/>
              </w:rPr>
            </w:pPr>
            <w:r>
              <w:rPr>
                <w:rFonts w:hint="eastAsia" w:ascii="宋体" w:hAnsi="宋体" w:eastAsia="宋体" w:cs="宋体"/>
                <w:strike w:val="0"/>
                <w:color w:val="auto"/>
                <w:sz w:val="21"/>
                <w:szCs w:val="21"/>
                <w:highlight w:val="none"/>
                <w:u w:val="single"/>
              </w:rPr>
              <w:t>备注：预算审定金额指累计预算审定总金额。</w:t>
            </w:r>
          </w:p>
          <w:p w14:paraId="11A532C2">
            <w:pPr>
              <w:pageBreakBefore w:val="0"/>
              <w:widowControl/>
              <w:numPr>
                <w:ilvl w:val="255"/>
                <w:numId w:val="0"/>
              </w:numPr>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[适用于承包方式按固定费率/折率/单价包干的项目]</w:t>
            </w:r>
          </w:p>
          <w:p w14:paraId="3C01104D">
            <w:pPr>
              <w:pageBreakBefore w:val="0"/>
              <w:widowControl/>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□按中标人投标报价时的</w:t>
            </w:r>
            <w:r>
              <w:rPr>
                <w:rFonts w:hint="eastAsia" w:ascii="宋体" w:hAnsi="宋体" w:eastAsia="宋体" w:cs="宋体"/>
                <w:strike w:val="0"/>
                <w:color w:val="auto"/>
                <w:sz w:val="21"/>
                <w:szCs w:val="21"/>
                <w:highlight w:val="none"/>
                <w:lang w:eastAsia="zh-CN"/>
              </w:rPr>
              <w:t>预算复审造价咨询服务费</w:t>
            </w:r>
            <w:r>
              <w:rPr>
                <w:rFonts w:hint="eastAsia" w:ascii="宋体" w:hAnsi="宋体" w:eastAsia="宋体" w:cs="宋体"/>
                <w:strike w:val="0"/>
                <w:color w:val="auto"/>
                <w:sz w:val="21"/>
                <w:szCs w:val="21"/>
                <w:highlight w:val="none"/>
              </w:rPr>
              <w:t>总价包干结算,</w:t>
            </w:r>
            <w:r>
              <w:rPr>
                <w:rFonts w:hint="eastAsia" w:ascii="宋体" w:hAnsi="宋体" w:eastAsia="宋体" w:cs="宋体"/>
                <w:strike w:val="0"/>
                <w:color w:val="auto"/>
                <w:sz w:val="21"/>
                <w:szCs w:val="21"/>
                <w:highlight w:val="none"/>
                <w:lang w:eastAsia="zh-CN"/>
              </w:rPr>
              <w:t>预算复审造价咨询服务费</w:t>
            </w:r>
            <w:r>
              <w:rPr>
                <w:rFonts w:hint="eastAsia" w:ascii="宋体" w:hAnsi="宋体" w:eastAsia="宋体" w:cs="宋体"/>
                <w:strike w:val="0"/>
                <w:color w:val="auto"/>
                <w:sz w:val="21"/>
                <w:szCs w:val="21"/>
                <w:highlight w:val="none"/>
              </w:rPr>
              <w:t>结算总价不因</w:t>
            </w:r>
            <w:r>
              <w:rPr>
                <w:rFonts w:hint="eastAsia" w:ascii="宋体" w:hAnsi="宋体" w:eastAsia="宋体" w:cs="宋体"/>
                <w:strike w:val="0"/>
                <w:color w:val="auto"/>
                <w:sz w:val="21"/>
                <w:szCs w:val="21"/>
                <w:highlight w:val="none"/>
                <w:u w:val="single"/>
              </w:rPr>
              <w:t xml:space="preserve">                </w:t>
            </w:r>
            <w:r>
              <w:rPr>
                <w:rFonts w:hint="eastAsia" w:ascii="宋体" w:hAnsi="宋体" w:eastAsia="宋体" w:cs="宋体"/>
                <w:strike w:val="0"/>
                <w:color w:val="auto"/>
                <w:sz w:val="21"/>
                <w:szCs w:val="21"/>
                <w:highlight w:val="none"/>
              </w:rPr>
              <w:t>因素而调整，具体结算方式为</w:t>
            </w:r>
            <w:r>
              <w:rPr>
                <w:rFonts w:hint="eastAsia" w:ascii="宋体" w:hAnsi="宋体" w:eastAsia="宋体" w:cs="宋体"/>
                <w:strike w:val="0"/>
                <w:color w:val="auto"/>
                <w:sz w:val="21"/>
                <w:szCs w:val="21"/>
                <w:highlight w:val="none"/>
                <w:u w:val="single"/>
              </w:rPr>
              <w:t xml:space="preserve">             </w:t>
            </w:r>
            <w:r>
              <w:rPr>
                <w:rFonts w:hint="eastAsia" w:ascii="宋体" w:hAnsi="宋体" w:eastAsia="宋体" w:cs="宋体"/>
                <w:strike w:val="0"/>
                <w:color w:val="auto"/>
                <w:sz w:val="21"/>
                <w:szCs w:val="21"/>
                <w:highlight w:val="none"/>
              </w:rPr>
              <w:t>。最终结算价按财政部门或招标人委托的中介机构审定的价格为准。[适用于承包方式按固定总价包干的项目]</w:t>
            </w:r>
          </w:p>
          <w:p w14:paraId="31E45C94">
            <w:pPr>
              <w:pageBreakBefore w:val="0"/>
              <w:widowControl/>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lang w:eastAsia="zh-CN"/>
              </w:rPr>
              <w:t>□</w:t>
            </w:r>
            <w:r>
              <w:rPr>
                <w:rFonts w:hint="eastAsia" w:ascii="宋体" w:hAnsi="宋体" w:eastAsia="宋体" w:cs="宋体"/>
                <w:strike w:val="0"/>
                <w:color w:val="auto"/>
                <w:sz w:val="21"/>
                <w:szCs w:val="21"/>
                <w:highlight w:val="none"/>
              </w:rPr>
              <w:t>其他结算方式：</w:t>
            </w:r>
            <w:r>
              <w:rPr>
                <w:rFonts w:hint="eastAsia" w:ascii="宋体" w:hAnsi="宋体" w:eastAsia="宋体" w:cs="宋体"/>
                <w:strike w:val="0"/>
                <w:color w:val="auto"/>
                <w:sz w:val="21"/>
                <w:szCs w:val="21"/>
                <w:highlight w:val="none"/>
                <w:u w:val="single"/>
              </w:rPr>
              <w:t xml:space="preserve">                                      </w:t>
            </w:r>
            <w:r>
              <w:rPr>
                <w:rFonts w:hint="eastAsia" w:ascii="宋体" w:hAnsi="宋体" w:eastAsia="宋体" w:cs="宋体"/>
                <w:strike w:val="0"/>
                <w:color w:val="auto"/>
                <w:sz w:val="21"/>
                <w:szCs w:val="21"/>
                <w:highlight w:val="none"/>
              </w:rPr>
              <w:t>。</w:t>
            </w:r>
          </w:p>
        </w:tc>
      </w:tr>
      <w:tr w14:paraId="53433E5F">
        <w:tblPrEx>
          <w:tblCellMar>
            <w:top w:w="0" w:type="dxa"/>
            <w:left w:w="108" w:type="dxa"/>
            <w:bottom w:w="0" w:type="dxa"/>
            <w:right w:w="108" w:type="dxa"/>
          </w:tblCellMar>
        </w:tblPrEx>
        <w:trPr>
          <w:trHeight w:val="425" w:hRule="atLeast"/>
        </w:trPr>
        <w:tc>
          <w:tcPr>
            <w:tcW w:w="954" w:type="dxa"/>
            <w:tcBorders>
              <w:top w:val="single" w:color="auto" w:sz="4" w:space="0"/>
              <w:left w:val="single" w:color="auto" w:sz="4" w:space="0"/>
              <w:bottom w:val="single" w:color="auto" w:sz="4" w:space="0"/>
              <w:right w:val="single" w:color="auto" w:sz="4" w:space="0"/>
            </w:tcBorders>
            <w:vAlign w:val="center"/>
          </w:tcPr>
          <w:p w14:paraId="11D1C8EE">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3.2.5</w:t>
            </w:r>
          </w:p>
        </w:tc>
        <w:tc>
          <w:tcPr>
            <w:tcW w:w="1979" w:type="dxa"/>
            <w:tcBorders>
              <w:top w:val="single" w:color="auto" w:sz="4" w:space="0"/>
              <w:left w:val="single" w:color="auto" w:sz="4" w:space="0"/>
              <w:bottom w:val="single" w:color="auto" w:sz="4" w:space="0"/>
              <w:right w:val="single" w:color="auto" w:sz="4" w:space="0"/>
            </w:tcBorders>
            <w:vAlign w:val="center"/>
          </w:tcPr>
          <w:p w14:paraId="694A531D">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风险控制价</w:t>
            </w:r>
          </w:p>
        </w:tc>
        <w:tc>
          <w:tcPr>
            <w:tcW w:w="7003" w:type="dxa"/>
            <w:tcBorders>
              <w:top w:val="single" w:color="auto" w:sz="4" w:space="0"/>
              <w:left w:val="single" w:color="auto" w:sz="4" w:space="0"/>
              <w:bottom w:val="single" w:color="auto" w:sz="4" w:space="0"/>
              <w:right w:val="single" w:color="auto" w:sz="4" w:space="0"/>
            </w:tcBorders>
            <w:vAlign w:val="center"/>
          </w:tcPr>
          <w:p w14:paraId="2DE70F8F">
            <w:pPr>
              <w:pStyle w:val="36"/>
              <w:pageBreakBefore w:val="0"/>
              <w:kinsoku/>
              <w:wordWrap/>
              <w:overflowPunct/>
              <w:topLinePunct w:val="0"/>
              <w:bidi w:val="0"/>
              <w:adjustRightInd/>
              <w:snapToGrid/>
              <w:spacing w:beforeLines="0" w:after="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□不设置</w:t>
            </w:r>
          </w:p>
          <w:p w14:paraId="39CE7E08">
            <w:pPr>
              <w:pStyle w:val="36"/>
              <w:pageBreakBefore w:val="0"/>
              <w:kinsoku/>
              <w:wordWrap/>
              <w:overflowPunct/>
              <w:topLinePunct w:val="0"/>
              <w:bidi w:val="0"/>
              <w:adjustRightInd/>
              <w:snapToGrid/>
              <w:spacing w:beforeLines="0" w:after="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☑设置，风险控制价为：</w:t>
            </w:r>
            <w:r>
              <w:rPr>
                <w:rFonts w:hint="eastAsia" w:ascii="宋体" w:hAnsi="宋体" w:eastAsia="宋体" w:cs="宋体"/>
                <w:strike w:val="0"/>
                <w:color w:val="auto"/>
                <w:sz w:val="21"/>
                <w:szCs w:val="21"/>
                <w:highlight w:val="none"/>
                <w:u w:val="single"/>
                <w:lang w:eastAsia="zh-CN"/>
              </w:rPr>
              <w:t>1241144.55</w:t>
            </w:r>
            <w:r>
              <w:rPr>
                <w:rFonts w:hint="eastAsia" w:ascii="宋体" w:hAnsi="宋体" w:eastAsia="宋体" w:cs="宋体"/>
                <w:strike w:val="0"/>
                <w:color w:val="auto"/>
                <w:sz w:val="21"/>
                <w:szCs w:val="21"/>
                <w:highlight w:val="none"/>
              </w:rPr>
              <w:t>（元）（招标控制价80%）</w:t>
            </w:r>
          </w:p>
          <w:p w14:paraId="1CC74879">
            <w:pPr>
              <w:pStyle w:val="36"/>
              <w:pageBreakBefore w:val="0"/>
              <w:kinsoku/>
              <w:wordWrap/>
              <w:overflowPunct/>
              <w:topLinePunct w:val="0"/>
              <w:bidi w:val="0"/>
              <w:adjustRightInd/>
              <w:snapToGrid/>
              <w:spacing w:beforeLines="0" w:after="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注：1.风险控制价在招标控制价的基础上下调15%～20%，当中标价低于风险控制价时，中标人应当在合同签订前提供现金转账、保函等形式的低价风险担保；中标人未按要求提交低价风险担保的，视为放弃中标。低价风险担保金额＝风险控制价-中标价。</w:t>
            </w:r>
          </w:p>
          <w:p w14:paraId="7C96DFA1">
            <w:pPr>
              <w:pStyle w:val="36"/>
              <w:pageBreakBefore w:val="0"/>
              <w:kinsoku/>
              <w:wordWrap/>
              <w:overflowPunct/>
              <w:topLinePunct w:val="0"/>
              <w:bidi w:val="0"/>
              <w:adjustRightInd/>
              <w:snapToGrid/>
              <w:spacing w:beforeLines="0" w:after="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2.低价风险担保在项目验收后30日内进行退还。若使用现金转账方式提交低价风险担保的，将一并退回银行同期存款利息（扣除银行手续费）。</w:t>
            </w:r>
          </w:p>
        </w:tc>
      </w:tr>
      <w:tr w14:paraId="6BAF5E1F">
        <w:tblPrEx>
          <w:tblCellMar>
            <w:top w:w="0" w:type="dxa"/>
            <w:left w:w="108" w:type="dxa"/>
            <w:bottom w:w="0" w:type="dxa"/>
            <w:right w:w="108" w:type="dxa"/>
          </w:tblCellMar>
        </w:tblPrEx>
        <w:trPr>
          <w:trHeight w:val="425" w:hRule="atLeast"/>
        </w:trPr>
        <w:tc>
          <w:tcPr>
            <w:tcW w:w="954" w:type="dxa"/>
            <w:tcBorders>
              <w:top w:val="single" w:color="auto" w:sz="4" w:space="0"/>
              <w:left w:val="single" w:color="auto" w:sz="4" w:space="0"/>
              <w:bottom w:val="single" w:color="auto" w:sz="4" w:space="0"/>
              <w:right w:val="single" w:color="auto" w:sz="4" w:space="0"/>
            </w:tcBorders>
            <w:vAlign w:val="center"/>
          </w:tcPr>
          <w:p w14:paraId="5F593AB4">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3.2.6</w:t>
            </w:r>
          </w:p>
        </w:tc>
        <w:tc>
          <w:tcPr>
            <w:tcW w:w="1979" w:type="dxa"/>
            <w:tcBorders>
              <w:top w:val="single" w:color="auto" w:sz="4" w:space="0"/>
              <w:left w:val="single" w:color="auto" w:sz="4" w:space="0"/>
              <w:bottom w:val="single" w:color="auto" w:sz="4" w:space="0"/>
              <w:right w:val="single" w:color="auto" w:sz="4" w:space="0"/>
            </w:tcBorders>
            <w:vAlign w:val="center"/>
          </w:tcPr>
          <w:p w14:paraId="5554BB86">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投标报价方式</w:t>
            </w:r>
          </w:p>
        </w:tc>
        <w:tc>
          <w:tcPr>
            <w:tcW w:w="7003" w:type="dxa"/>
            <w:tcBorders>
              <w:top w:val="single" w:color="auto" w:sz="4" w:space="0"/>
              <w:left w:val="single" w:color="auto" w:sz="4" w:space="0"/>
              <w:bottom w:val="single" w:color="auto" w:sz="4" w:space="0"/>
              <w:right w:val="single" w:color="auto" w:sz="4" w:space="0"/>
            </w:tcBorders>
            <w:vAlign w:val="center"/>
          </w:tcPr>
          <w:p w14:paraId="317914D1">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u w:val="single"/>
              </w:rPr>
            </w:pPr>
            <w:r>
              <w:rPr>
                <w:rFonts w:hint="eastAsia" w:ascii="宋体" w:hAnsi="宋体" w:eastAsia="宋体" w:cs="宋体"/>
                <w:strike w:val="0"/>
                <w:color w:val="auto"/>
                <w:sz w:val="21"/>
                <w:szCs w:val="21"/>
                <w:highlight w:val="none"/>
              </w:rPr>
              <w:t>☑费率:</w:t>
            </w:r>
            <w:r>
              <w:rPr>
                <w:rFonts w:hint="eastAsia" w:ascii="宋体" w:hAnsi="宋体" w:eastAsia="宋体" w:cs="宋体"/>
                <w:strike w:val="0"/>
                <w:color w:val="auto"/>
                <w:sz w:val="21"/>
                <w:szCs w:val="21"/>
                <w:highlight w:val="none"/>
                <w:u w:val="single"/>
              </w:rPr>
              <w:t>固定费率报价（</w:t>
            </w:r>
            <w:r>
              <w:rPr>
                <w:rFonts w:hint="eastAsia" w:ascii="宋体" w:hAnsi="宋体" w:eastAsia="宋体" w:cs="宋体"/>
                <w:strike w:val="0"/>
                <w:color w:val="auto"/>
                <w:sz w:val="21"/>
                <w:szCs w:val="21"/>
                <w:highlight w:val="none"/>
                <w:lang w:eastAsia="zh-CN"/>
              </w:rPr>
              <w:t>预算复审造价咨询服务费</w:t>
            </w:r>
            <w:r>
              <w:rPr>
                <w:rFonts w:hint="eastAsia" w:ascii="宋体" w:hAnsi="宋体" w:eastAsia="宋体" w:cs="宋体"/>
                <w:strike w:val="0"/>
                <w:color w:val="auto"/>
                <w:sz w:val="21"/>
                <w:szCs w:val="21"/>
                <w:highlight w:val="none"/>
              </w:rPr>
              <w:t>费率招标控制价为</w:t>
            </w:r>
            <w:r>
              <w:rPr>
                <w:rFonts w:hint="eastAsia" w:ascii="宋体" w:hAnsi="宋体" w:eastAsia="宋体" w:cs="宋体"/>
                <w:strike w:val="0"/>
                <w:color w:val="auto"/>
                <w:sz w:val="21"/>
                <w:szCs w:val="21"/>
                <w:highlight w:val="none"/>
                <w:u w:val="single"/>
                <w:lang w:val="en-US" w:eastAsia="zh-CN"/>
              </w:rPr>
              <w:t>100</w:t>
            </w:r>
            <w:r>
              <w:rPr>
                <w:rFonts w:hint="eastAsia" w:ascii="宋体" w:hAnsi="宋体" w:eastAsia="宋体" w:cs="宋体"/>
                <w:strike w:val="0"/>
                <w:color w:val="auto"/>
                <w:sz w:val="21"/>
                <w:szCs w:val="21"/>
                <w:highlight w:val="none"/>
                <w:u w:val="single"/>
              </w:rPr>
              <w:t>%</w:t>
            </w:r>
            <w:r>
              <w:rPr>
                <w:rFonts w:hint="eastAsia" w:ascii="宋体" w:hAnsi="宋体" w:eastAsia="宋体" w:cs="宋体"/>
                <w:strike w:val="0"/>
                <w:color w:val="auto"/>
                <w:sz w:val="21"/>
                <w:szCs w:val="21"/>
                <w:highlight w:val="none"/>
              </w:rPr>
              <w:t>。）</w:t>
            </w:r>
          </w:p>
          <w:p w14:paraId="021C0B51">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u w:val="single"/>
              </w:rPr>
            </w:pPr>
            <w:r>
              <w:rPr>
                <w:rFonts w:hint="eastAsia" w:ascii="宋体" w:hAnsi="宋体" w:eastAsia="宋体" w:cs="宋体"/>
                <w:strike w:val="0"/>
                <w:color w:val="auto"/>
                <w:sz w:val="21"/>
                <w:szCs w:val="21"/>
                <w:highlight w:val="none"/>
              </w:rPr>
              <w:t>口折率:</w:t>
            </w:r>
          </w:p>
          <w:p w14:paraId="11F34CCC">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u w:val="single"/>
              </w:rPr>
            </w:pPr>
            <w:r>
              <w:rPr>
                <w:rFonts w:hint="eastAsia" w:ascii="宋体" w:hAnsi="宋体" w:eastAsia="宋体" w:cs="宋体"/>
                <w:strike w:val="0"/>
                <w:color w:val="auto"/>
                <w:sz w:val="21"/>
                <w:szCs w:val="21"/>
                <w:highlight w:val="none"/>
              </w:rPr>
              <w:t>口单价:</w:t>
            </w:r>
          </w:p>
          <w:p w14:paraId="11E998FB">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☑总价:</w:t>
            </w:r>
            <w:r>
              <w:rPr>
                <w:rFonts w:hint="eastAsia" w:ascii="宋体" w:hAnsi="宋体" w:eastAsia="宋体" w:cs="宋体"/>
                <w:bCs/>
                <w:strike w:val="0"/>
                <w:color w:val="auto"/>
                <w:sz w:val="21"/>
                <w:szCs w:val="21"/>
                <w:highlight w:val="none"/>
                <w:u w:val="single"/>
              </w:rPr>
              <w:t>本项目</w:t>
            </w:r>
            <w:r>
              <w:rPr>
                <w:rFonts w:hint="eastAsia" w:ascii="宋体" w:hAnsi="宋体" w:eastAsia="宋体" w:cs="宋体"/>
                <w:bCs/>
                <w:strike w:val="0"/>
                <w:color w:val="auto"/>
                <w:sz w:val="21"/>
                <w:szCs w:val="21"/>
                <w:highlight w:val="none"/>
                <w:u w:val="single"/>
                <w:lang w:eastAsia="zh-CN"/>
              </w:rPr>
              <w:t>预算复审造价咨询服务费</w:t>
            </w:r>
            <w:r>
              <w:rPr>
                <w:rFonts w:hint="eastAsia" w:ascii="宋体" w:hAnsi="宋体" w:eastAsia="宋体" w:cs="宋体"/>
                <w:bCs/>
                <w:strike w:val="0"/>
                <w:color w:val="auto"/>
                <w:sz w:val="21"/>
                <w:szCs w:val="21"/>
                <w:highlight w:val="none"/>
                <w:u w:val="single"/>
              </w:rPr>
              <w:t>招标控制价（最高投标限价）：</w:t>
            </w:r>
            <w:r>
              <w:rPr>
                <w:rFonts w:hint="eastAsia" w:ascii="宋体" w:hAnsi="宋体" w:eastAsia="宋体" w:cs="宋体"/>
                <w:b w:val="0"/>
                <w:bCs/>
                <w:strike w:val="0"/>
                <w:color w:val="auto"/>
                <w:sz w:val="21"/>
                <w:szCs w:val="21"/>
                <w:highlight w:val="none"/>
                <w:u w:val="single"/>
                <w:lang w:val="en-US" w:eastAsia="zh-CN"/>
              </w:rPr>
              <w:t>1551430.69</w:t>
            </w:r>
            <w:r>
              <w:rPr>
                <w:rFonts w:hint="eastAsia" w:ascii="宋体" w:hAnsi="宋体" w:eastAsia="宋体" w:cs="宋体"/>
                <w:bCs/>
                <w:strike w:val="0"/>
                <w:color w:val="auto"/>
                <w:sz w:val="21"/>
                <w:szCs w:val="21"/>
                <w:highlight w:val="none"/>
                <w:u w:val="single"/>
              </w:rPr>
              <w:t>元</w:t>
            </w:r>
          </w:p>
        </w:tc>
      </w:tr>
      <w:tr w14:paraId="5B4DCCB7">
        <w:tblPrEx>
          <w:tblCellMar>
            <w:top w:w="0" w:type="dxa"/>
            <w:left w:w="108" w:type="dxa"/>
            <w:bottom w:w="0" w:type="dxa"/>
            <w:right w:w="108" w:type="dxa"/>
          </w:tblCellMar>
        </w:tblPrEx>
        <w:trPr>
          <w:trHeight w:val="425" w:hRule="atLeast"/>
        </w:trPr>
        <w:tc>
          <w:tcPr>
            <w:tcW w:w="954" w:type="dxa"/>
            <w:tcBorders>
              <w:top w:val="single" w:color="auto" w:sz="4" w:space="0"/>
              <w:left w:val="single" w:color="auto" w:sz="4" w:space="0"/>
              <w:bottom w:val="single" w:color="auto" w:sz="4" w:space="0"/>
              <w:right w:val="single" w:color="auto" w:sz="4" w:space="0"/>
            </w:tcBorders>
            <w:vAlign w:val="center"/>
          </w:tcPr>
          <w:p w14:paraId="6189DAF1">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3.4.1</w:t>
            </w:r>
          </w:p>
        </w:tc>
        <w:tc>
          <w:tcPr>
            <w:tcW w:w="1979" w:type="dxa"/>
            <w:tcBorders>
              <w:top w:val="single" w:color="auto" w:sz="4" w:space="0"/>
              <w:left w:val="single" w:color="auto" w:sz="4" w:space="0"/>
              <w:bottom w:val="single" w:color="auto" w:sz="4" w:space="0"/>
              <w:right w:val="single" w:color="auto" w:sz="4" w:space="0"/>
            </w:tcBorders>
            <w:vAlign w:val="center"/>
          </w:tcPr>
          <w:p w14:paraId="2E3CAB52">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投标有效期</w:t>
            </w:r>
          </w:p>
        </w:tc>
        <w:tc>
          <w:tcPr>
            <w:tcW w:w="7003" w:type="dxa"/>
            <w:tcBorders>
              <w:top w:val="single" w:color="auto" w:sz="4" w:space="0"/>
              <w:left w:val="single" w:color="auto" w:sz="4" w:space="0"/>
              <w:bottom w:val="single" w:color="auto" w:sz="4" w:space="0"/>
              <w:right w:val="single" w:color="auto" w:sz="4" w:space="0"/>
            </w:tcBorders>
            <w:vAlign w:val="center"/>
          </w:tcPr>
          <w:p w14:paraId="53C308BB">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提交投标文件截止之日起</w:t>
            </w:r>
            <w:r>
              <w:rPr>
                <w:rFonts w:hint="eastAsia" w:ascii="宋体" w:hAnsi="宋体" w:eastAsia="宋体" w:cs="宋体"/>
                <w:strike w:val="0"/>
                <w:color w:val="auto"/>
                <w:sz w:val="21"/>
                <w:szCs w:val="21"/>
                <w:highlight w:val="none"/>
                <w:u w:val="single"/>
              </w:rPr>
              <w:t>90</w:t>
            </w:r>
            <w:r>
              <w:rPr>
                <w:rFonts w:hint="eastAsia" w:ascii="宋体" w:hAnsi="宋体" w:eastAsia="宋体" w:cs="宋体"/>
                <w:strike w:val="0"/>
                <w:color w:val="auto"/>
                <w:sz w:val="21"/>
                <w:szCs w:val="21"/>
                <w:highlight w:val="none"/>
              </w:rPr>
              <w:t>日。</w:t>
            </w:r>
          </w:p>
        </w:tc>
      </w:tr>
      <w:tr w14:paraId="1F6680CD">
        <w:tblPrEx>
          <w:tblCellMar>
            <w:top w:w="0" w:type="dxa"/>
            <w:left w:w="108" w:type="dxa"/>
            <w:bottom w:w="0" w:type="dxa"/>
            <w:right w:w="108" w:type="dxa"/>
          </w:tblCellMar>
        </w:tblPrEx>
        <w:trPr>
          <w:trHeight w:val="90" w:hRule="atLeast"/>
        </w:trPr>
        <w:tc>
          <w:tcPr>
            <w:tcW w:w="954" w:type="dxa"/>
            <w:tcBorders>
              <w:top w:val="single" w:color="auto" w:sz="4" w:space="0"/>
              <w:left w:val="single" w:color="auto" w:sz="4" w:space="0"/>
              <w:bottom w:val="single" w:color="auto" w:sz="4" w:space="0"/>
              <w:right w:val="single" w:color="auto" w:sz="4" w:space="0"/>
            </w:tcBorders>
            <w:vAlign w:val="center"/>
          </w:tcPr>
          <w:p w14:paraId="3EA0179F">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3.5</w:t>
            </w:r>
          </w:p>
        </w:tc>
        <w:tc>
          <w:tcPr>
            <w:tcW w:w="1979" w:type="dxa"/>
            <w:tcBorders>
              <w:top w:val="single" w:color="auto" w:sz="4" w:space="0"/>
              <w:left w:val="single" w:color="auto" w:sz="4" w:space="0"/>
              <w:bottom w:val="single" w:color="auto" w:sz="4" w:space="0"/>
              <w:right w:val="single" w:color="auto" w:sz="4" w:space="0"/>
            </w:tcBorders>
            <w:vAlign w:val="center"/>
          </w:tcPr>
          <w:p w14:paraId="2A647853">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投标保证金</w:t>
            </w:r>
          </w:p>
        </w:tc>
        <w:tc>
          <w:tcPr>
            <w:tcW w:w="7003" w:type="dxa"/>
            <w:tcBorders>
              <w:top w:val="single" w:color="auto" w:sz="4" w:space="0"/>
              <w:left w:val="single" w:color="auto" w:sz="4" w:space="0"/>
              <w:bottom w:val="single" w:color="auto" w:sz="4" w:space="0"/>
              <w:right w:val="single" w:color="auto" w:sz="4" w:space="0"/>
            </w:tcBorders>
            <w:vAlign w:val="center"/>
          </w:tcPr>
          <w:p w14:paraId="7982A09B">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cs="宋体"/>
                <w:b/>
                <w:strike w:val="0"/>
                <w:color w:val="auto"/>
                <w:sz w:val="21"/>
                <w:szCs w:val="21"/>
                <w:highlight w:val="none"/>
                <w:lang w:val="en-US" w:eastAsia="zh-CN"/>
              </w:rPr>
              <w:t>详见招标公告。</w:t>
            </w:r>
          </w:p>
        </w:tc>
      </w:tr>
      <w:tr w14:paraId="07953D38">
        <w:tblPrEx>
          <w:tblCellMar>
            <w:top w:w="0" w:type="dxa"/>
            <w:left w:w="108" w:type="dxa"/>
            <w:bottom w:w="0" w:type="dxa"/>
            <w:right w:w="108" w:type="dxa"/>
          </w:tblCellMar>
        </w:tblPrEx>
        <w:trPr>
          <w:trHeight w:val="295" w:hRule="atLeast"/>
        </w:trPr>
        <w:tc>
          <w:tcPr>
            <w:tcW w:w="954" w:type="dxa"/>
            <w:tcBorders>
              <w:top w:val="single" w:color="auto" w:sz="4" w:space="0"/>
              <w:left w:val="single" w:color="auto" w:sz="4" w:space="0"/>
              <w:bottom w:val="single" w:color="auto" w:sz="4" w:space="0"/>
              <w:right w:val="single" w:color="auto" w:sz="4" w:space="0"/>
            </w:tcBorders>
            <w:vAlign w:val="center"/>
          </w:tcPr>
          <w:p w14:paraId="68565AA2">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3.7</w:t>
            </w:r>
          </w:p>
        </w:tc>
        <w:tc>
          <w:tcPr>
            <w:tcW w:w="1979" w:type="dxa"/>
            <w:tcBorders>
              <w:top w:val="single" w:color="auto" w:sz="4" w:space="0"/>
              <w:left w:val="single" w:color="auto" w:sz="4" w:space="0"/>
              <w:bottom w:val="single" w:color="auto" w:sz="4" w:space="0"/>
              <w:right w:val="single" w:color="auto" w:sz="4" w:space="0"/>
            </w:tcBorders>
            <w:vAlign w:val="center"/>
          </w:tcPr>
          <w:p w14:paraId="0BE9CD58">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是否允许递交备选投标方案</w:t>
            </w:r>
          </w:p>
        </w:tc>
        <w:tc>
          <w:tcPr>
            <w:tcW w:w="7003" w:type="dxa"/>
            <w:tcBorders>
              <w:top w:val="single" w:color="auto" w:sz="4" w:space="0"/>
              <w:left w:val="single" w:color="auto" w:sz="4" w:space="0"/>
              <w:bottom w:val="single" w:color="auto" w:sz="4" w:space="0"/>
              <w:right w:val="single" w:color="auto" w:sz="4" w:space="0"/>
            </w:tcBorders>
            <w:vAlign w:val="center"/>
          </w:tcPr>
          <w:p w14:paraId="1A70EF33">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☑不允许</w:t>
            </w:r>
          </w:p>
          <w:p w14:paraId="70202746">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□允许，备选投标方案的编制要求：</w:t>
            </w:r>
          </w:p>
        </w:tc>
      </w:tr>
      <w:tr w14:paraId="642C8D06">
        <w:tblPrEx>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vAlign w:val="center"/>
          </w:tcPr>
          <w:p w14:paraId="6103699D">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lang w:eastAsia="zh-CN"/>
              </w:rPr>
            </w:pPr>
            <w:r>
              <w:rPr>
                <w:rFonts w:hint="eastAsia" w:ascii="宋体" w:hAnsi="宋体" w:eastAsia="宋体" w:cs="宋体"/>
                <w:strike w:val="0"/>
                <w:color w:val="auto"/>
                <w:sz w:val="21"/>
                <w:szCs w:val="21"/>
                <w:highlight w:val="none"/>
              </w:rPr>
              <w:t>3.8.</w:t>
            </w:r>
            <w:r>
              <w:rPr>
                <w:rFonts w:hint="eastAsia" w:ascii="宋体" w:hAnsi="宋体" w:cs="宋体"/>
                <w:strike w:val="0"/>
                <w:color w:val="auto"/>
                <w:sz w:val="21"/>
                <w:szCs w:val="21"/>
                <w:highlight w:val="none"/>
                <w:lang w:val="en-US" w:eastAsia="zh-CN"/>
              </w:rPr>
              <w:t>3</w:t>
            </w:r>
          </w:p>
        </w:tc>
        <w:tc>
          <w:tcPr>
            <w:tcW w:w="1979" w:type="dxa"/>
            <w:tcBorders>
              <w:top w:val="single" w:color="auto" w:sz="4" w:space="0"/>
              <w:left w:val="single" w:color="auto" w:sz="4" w:space="0"/>
              <w:bottom w:val="single" w:color="auto" w:sz="4" w:space="0"/>
              <w:right w:val="single" w:color="auto" w:sz="4" w:space="0"/>
            </w:tcBorders>
            <w:vAlign w:val="center"/>
          </w:tcPr>
          <w:p w14:paraId="62680848">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投标文件签字、盖章要求</w:t>
            </w:r>
          </w:p>
        </w:tc>
        <w:tc>
          <w:tcPr>
            <w:tcW w:w="7003" w:type="dxa"/>
            <w:tcBorders>
              <w:top w:val="single" w:color="auto" w:sz="4" w:space="0"/>
              <w:left w:val="single" w:color="auto" w:sz="4" w:space="0"/>
              <w:bottom w:val="single" w:color="auto" w:sz="4" w:space="0"/>
              <w:right w:val="single" w:color="auto" w:sz="4" w:space="0"/>
            </w:tcBorders>
            <w:vAlign w:val="center"/>
          </w:tcPr>
          <w:p w14:paraId="6C7B3E77">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jc w:val="both"/>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1.投标文件中需签字、加盖公章的，投标人应按要求由投标人法定代表人或其委托代理人亲笔签字（不得使用个人印章、签名章或其他电子制版签名代替）并加盖投标人公章（不得使用其他代章）。</w:t>
            </w:r>
          </w:p>
          <w:p w14:paraId="0702BBED">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jc w:val="both"/>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2.投标文件装订成册后须加盖投标人公章。</w:t>
            </w:r>
          </w:p>
          <w:p w14:paraId="5A42DD83">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b/>
                <w:strike w:val="0"/>
                <w:color w:val="auto"/>
                <w:sz w:val="21"/>
                <w:szCs w:val="21"/>
                <w:highlight w:val="none"/>
              </w:rPr>
            </w:pPr>
            <w:r>
              <w:rPr>
                <w:rFonts w:hint="eastAsia" w:ascii="宋体" w:hAnsi="宋体" w:cs="Times New Roman"/>
                <w:color w:val="auto"/>
                <w:szCs w:val="21"/>
                <w:highlight w:val="none"/>
              </w:rPr>
              <w:t>3.</w:t>
            </w:r>
            <w:r>
              <w:rPr>
                <w:rFonts w:hint="eastAsia" w:ascii="宋体" w:hAnsi="宋体" w:cs="Times New Roman"/>
                <w:b/>
                <w:bCs/>
                <w:color w:val="auto"/>
                <w:szCs w:val="21"/>
                <w:highlight w:val="none"/>
              </w:rPr>
              <w:t>在投标文件的同一页面任意位置加盖公章，视为该页面内所有内容（包括证明材料的复印件或扫描件）均已加盖公章</w:t>
            </w:r>
            <w:r>
              <w:rPr>
                <w:rFonts w:hint="eastAsia" w:ascii="宋体" w:hAnsi="宋体" w:cs="Times New Roman"/>
                <w:color w:val="auto"/>
                <w:szCs w:val="21"/>
                <w:highlight w:val="none"/>
              </w:rPr>
              <w:t>。</w:t>
            </w:r>
          </w:p>
        </w:tc>
      </w:tr>
      <w:tr w14:paraId="34F0F59E">
        <w:tblPrEx>
          <w:tblCellMar>
            <w:top w:w="0" w:type="dxa"/>
            <w:left w:w="108" w:type="dxa"/>
            <w:bottom w:w="0" w:type="dxa"/>
            <w:right w:w="108" w:type="dxa"/>
          </w:tblCellMar>
        </w:tblPrEx>
        <w:trPr>
          <w:trHeight w:val="670" w:hRule="atLeast"/>
        </w:trPr>
        <w:tc>
          <w:tcPr>
            <w:tcW w:w="954" w:type="dxa"/>
            <w:tcBorders>
              <w:top w:val="single" w:color="auto" w:sz="4" w:space="0"/>
              <w:left w:val="single" w:color="auto" w:sz="4" w:space="0"/>
              <w:bottom w:val="single" w:color="auto" w:sz="4" w:space="0"/>
              <w:right w:val="single" w:color="auto" w:sz="4" w:space="0"/>
            </w:tcBorders>
            <w:vAlign w:val="center"/>
          </w:tcPr>
          <w:p w14:paraId="0EC1364C">
            <w:pPr>
              <w:pageBreakBefore w:val="0"/>
              <w:kinsoku/>
              <w:wordWrap/>
              <w:overflowPunct/>
              <w:topLinePunct w:val="0"/>
              <w:bidi w:val="0"/>
              <w:adjustRightInd/>
              <w:snapToGrid/>
              <w:spacing w:beforeLines="0" w:afterLines="0" w:line="360" w:lineRule="auto"/>
              <w:ind w:left="0" w:leftChars="0" w:right="0"/>
              <w:jc w:val="center"/>
              <w:textAlignment w:val="auto"/>
              <w:rPr>
                <w:rFonts w:hint="default" w:ascii="宋体" w:hAnsi="宋体" w:eastAsia="宋体" w:cs="宋体"/>
                <w:strike w:val="0"/>
                <w:color w:val="auto"/>
                <w:sz w:val="21"/>
                <w:szCs w:val="21"/>
                <w:highlight w:val="none"/>
                <w:lang w:val="en-US" w:eastAsia="zh-CN"/>
              </w:rPr>
            </w:pPr>
            <w:r>
              <w:rPr>
                <w:rFonts w:hint="eastAsia" w:ascii="宋体" w:hAnsi="宋体" w:cs="宋体"/>
                <w:strike w:val="0"/>
                <w:color w:val="auto"/>
                <w:sz w:val="21"/>
                <w:szCs w:val="21"/>
                <w:highlight w:val="none"/>
                <w:lang w:val="en-US" w:eastAsia="zh-CN"/>
              </w:rPr>
              <w:t>3.8.4</w:t>
            </w:r>
          </w:p>
        </w:tc>
        <w:tc>
          <w:tcPr>
            <w:tcW w:w="1979" w:type="dxa"/>
            <w:tcBorders>
              <w:top w:val="single" w:color="auto" w:sz="4" w:space="0"/>
              <w:left w:val="single" w:color="auto" w:sz="4" w:space="0"/>
              <w:bottom w:val="single" w:color="auto" w:sz="4" w:space="0"/>
              <w:right w:val="single" w:color="auto" w:sz="4" w:space="0"/>
            </w:tcBorders>
            <w:vAlign w:val="center"/>
          </w:tcPr>
          <w:p w14:paraId="130D0BAC">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0" w:firstLineChars="0"/>
              <w:jc w:val="center"/>
              <w:textAlignment w:val="auto"/>
              <w:rPr>
                <w:rFonts w:hint="eastAsia" w:ascii="宋体" w:hAnsi="宋体" w:eastAsia="宋体" w:cs="宋体"/>
                <w:strike w:val="0"/>
                <w:color w:val="auto"/>
                <w:sz w:val="21"/>
                <w:szCs w:val="21"/>
                <w:highlight w:val="none"/>
              </w:rPr>
            </w:pPr>
            <w:r>
              <w:rPr>
                <w:rFonts w:hint="eastAsia" w:ascii="宋体" w:hAnsi="宋体" w:eastAsia="宋体" w:cs="Times New Roman"/>
                <w:color w:val="auto"/>
                <w:szCs w:val="21"/>
                <w:highlight w:val="none"/>
              </w:rPr>
              <w:t>投标文件副本份数</w:t>
            </w:r>
          </w:p>
        </w:tc>
        <w:tc>
          <w:tcPr>
            <w:tcW w:w="7003" w:type="dxa"/>
            <w:tcBorders>
              <w:top w:val="single" w:color="auto" w:sz="4" w:space="0"/>
              <w:left w:val="single" w:color="auto" w:sz="4" w:space="0"/>
              <w:bottom w:val="single" w:color="auto" w:sz="4" w:space="0"/>
              <w:right w:val="single" w:color="auto" w:sz="4" w:space="0"/>
            </w:tcBorders>
            <w:vAlign w:val="center"/>
          </w:tcPr>
          <w:p w14:paraId="39E36087">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jc w:val="both"/>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lang w:val="en-US" w:eastAsia="zh-CN"/>
              </w:rPr>
              <w:t>投标文件份数</w:t>
            </w:r>
            <w:r>
              <w:rPr>
                <w:rFonts w:hint="default" w:ascii="宋体" w:hAnsi="宋体" w:eastAsia="宋体" w:cs="Times New Roman"/>
                <w:color w:val="auto"/>
                <w:szCs w:val="21"/>
                <w:highlight w:val="none"/>
              </w:rPr>
              <w:t>：正本</w:t>
            </w:r>
            <w:r>
              <w:rPr>
                <w:rFonts w:hint="eastAsia" w:ascii="宋体" w:hAnsi="宋体" w:eastAsia="宋体" w:cs="Times New Roman"/>
                <w:color w:val="auto"/>
                <w:szCs w:val="21"/>
                <w:highlight w:val="none"/>
                <w:lang w:val="en-US" w:eastAsia="zh-CN"/>
              </w:rPr>
              <w:t>1</w:t>
            </w:r>
            <w:r>
              <w:rPr>
                <w:rFonts w:hint="default" w:ascii="宋体" w:hAnsi="宋体" w:eastAsia="宋体" w:cs="Times New Roman"/>
                <w:color w:val="auto"/>
                <w:szCs w:val="21"/>
                <w:highlight w:val="none"/>
              </w:rPr>
              <w:t>份，副本</w:t>
            </w: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rPr>
              <w:t>份，共</w:t>
            </w:r>
            <w:r>
              <w:rPr>
                <w:rFonts w:hint="eastAsia" w:ascii="宋体" w:hAnsi="宋体" w:eastAsia="宋体" w:cs="Times New Roman"/>
                <w:color w:val="auto"/>
                <w:szCs w:val="21"/>
                <w:highlight w:val="none"/>
                <w:lang w:val="en-US" w:eastAsia="zh-CN"/>
              </w:rPr>
              <w:t>5</w:t>
            </w:r>
            <w:r>
              <w:rPr>
                <w:rFonts w:hint="default" w:ascii="宋体" w:hAnsi="宋体" w:eastAsia="宋体" w:cs="Times New Roman"/>
                <w:color w:val="auto"/>
                <w:szCs w:val="21"/>
                <w:highlight w:val="none"/>
              </w:rPr>
              <w:t>份；投标文件电子版</w:t>
            </w:r>
            <w:r>
              <w:rPr>
                <w:rFonts w:hint="eastAsia" w:ascii="宋体" w:hAnsi="宋体" w:eastAsia="宋体" w:cs="Times New Roman"/>
                <w:color w:val="auto"/>
                <w:szCs w:val="21"/>
                <w:highlight w:val="none"/>
                <w:lang w:val="en-US" w:eastAsia="zh-CN"/>
              </w:rPr>
              <w:t>2</w:t>
            </w:r>
            <w:r>
              <w:rPr>
                <w:rFonts w:hint="default" w:ascii="宋体" w:hAnsi="宋体" w:eastAsia="宋体" w:cs="Times New Roman"/>
                <w:color w:val="auto"/>
                <w:szCs w:val="21"/>
                <w:highlight w:val="none"/>
              </w:rPr>
              <w:t>份（以U盘为载体）</w:t>
            </w:r>
          </w:p>
          <w:p w14:paraId="1EAC5B73">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jc w:val="both"/>
              <w:textAlignment w:val="auto"/>
              <w:rPr>
                <w:rFonts w:hint="eastAsia" w:ascii="宋体" w:hAnsi="宋体" w:eastAsia="宋体" w:cs="宋体"/>
                <w:strike w:val="0"/>
                <w:color w:val="auto"/>
                <w:sz w:val="21"/>
                <w:szCs w:val="21"/>
                <w:highlight w:val="none"/>
              </w:rPr>
            </w:pPr>
            <w:r>
              <w:rPr>
                <w:rFonts w:hint="default" w:ascii="宋体" w:hAnsi="宋体" w:eastAsia="宋体" w:cs="Times New Roman"/>
                <w:color w:val="auto"/>
                <w:szCs w:val="21"/>
                <w:highlight w:val="none"/>
              </w:rPr>
              <w:t>注：副本可以是正本签字盖章后的复印件，但必须清晰可辨；当副本或投标文件电子版与正本不一致时以正本为准。</w:t>
            </w:r>
            <w:r>
              <w:rPr>
                <w:rFonts w:hint="default" w:ascii="宋体" w:hAnsi="宋体" w:eastAsia="宋体" w:cs="Times New Roman"/>
                <w:b/>
                <w:bCs/>
                <w:color w:val="auto"/>
                <w:szCs w:val="21"/>
                <w:highlight w:val="none"/>
              </w:rPr>
              <w:t>投标文件电子版应包含完整的投标文件正本签字盖章后扫描的 PDF 格式电子文件</w:t>
            </w:r>
            <w:r>
              <w:rPr>
                <w:rFonts w:hint="default" w:ascii="宋体" w:hAnsi="宋体" w:eastAsia="宋体" w:cs="Times New Roman"/>
                <w:color w:val="auto"/>
                <w:szCs w:val="21"/>
                <w:highlight w:val="none"/>
              </w:rPr>
              <w:t>。</w:t>
            </w:r>
          </w:p>
        </w:tc>
      </w:tr>
      <w:tr w14:paraId="4FDD7312">
        <w:tblPrEx>
          <w:tblCellMar>
            <w:top w:w="0" w:type="dxa"/>
            <w:left w:w="108" w:type="dxa"/>
            <w:bottom w:w="0" w:type="dxa"/>
            <w:right w:w="108" w:type="dxa"/>
          </w:tblCellMar>
        </w:tblPrEx>
        <w:trPr>
          <w:trHeight w:val="670" w:hRule="atLeast"/>
        </w:trPr>
        <w:tc>
          <w:tcPr>
            <w:tcW w:w="954" w:type="dxa"/>
            <w:tcBorders>
              <w:top w:val="single" w:color="auto" w:sz="4" w:space="0"/>
              <w:left w:val="single" w:color="auto" w:sz="4" w:space="0"/>
              <w:bottom w:val="single" w:color="auto" w:sz="4" w:space="0"/>
              <w:right w:val="single" w:color="auto" w:sz="4" w:space="0"/>
            </w:tcBorders>
            <w:vAlign w:val="center"/>
          </w:tcPr>
          <w:p w14:paraId="185CF3D3">
            <w:pPr>
              <w:pageBreakBefore w:val="0"/>
              <w:kinsoku/>
              <w:wordWrap/>
              <w:overflowPunct/>
              <w:topLinePunct w:val="0"/>
              <w:bidi w:val="0"/>
              <w:adjustRightInd/>
              <w:snapToGrid/>
              <w:spacing w:beforeLines="0" w:afterLines="0" w:line="360" w:lineRule="auto"/>
              <w:ind w:left="0" w:leftChars="0" w:right="0"/>
              <w:jc w:val="center"/>
              <w:textAlignment w:val="auto"/>
              <w:rPr>
                <w:rFonts w:hint="default" w:ascii="宋体" w:hAnsi="宋体" w:eastAsia="宋体" w:cs="宋体"/>
                <w:strike w:val="0"/>
                <w:color w:val="auto"/>
                <w:sz w:val="21"/>
                <w:szCs w:val="21"/>
                <w:highlight w:val="none"/>
                <w:lang w:val="en-US" w:eastAsia="zh-CN"/>
              </w:rPr>
            </w:pPr>
            <w:r>
              <w:rPr>
                <w:rFonts w:hint="eastAsia" w:ascii="宋体" w:hAnsi="宋体" w:cs="宋体"/>
                <w:strike w:val="0"/>
                <w:color w:val="auto"/>
                <w:sz w:val="21"/>
                <w:szCs w:val="21"/>
                <w:highlight w:val="none"/>
                <w:lang w:val="en-US" w:eastAsia="zh-CN"/>
              </w:rPr>
              <w:t>3.8.5</w:t>
            </w:r>
          </w:p>
        </w:tc>
        <w:tc>
          <w:tcPr>
            <w:tcW w:w="1979" w:type="dxa"/>
            <w:tcBorders>
              <w:top w:val="single" w:color="auto" w:sz="4" w:space="0"/>
              <w:left w:val="single" w:color="auto" w:sz="4" w:space="0"/>
              <w:bottom w:val="single" w:color="auto" w:sz="4" w:space="0"/>
              <w:right w:val="single" w:color="auto" w:sz="4" w:space="0"/>
            </w:tcBorders>
            <w:vAlign w:val="center"/>
          </w:tcPr>
          <w:p w14:paraId="334A000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0" w:firstLineChars="0"/>
              <w:jc w:val="center"/>
              <w:textAlignment w:val="auto"/>
              <w:rPr>
                <w:rFonts w:hint="eastAsia" w:ascii="宋体" w:hAnsi="宋体" w:eastAsia="宋体" w:cs="宋体"/>
                <w:strike w:val="0"/>
                <w:color w:val="auto"/>
                <w:sz w:val="21"/>
                <w:szCs w:val="21"/>
                <w:highlight w:val="none"/>
              </w:rPr>
            </w:pPr>
            <w:r>
              <w:rPr>
                <w:rFonts w:hint="eastAsia" w:ascii="宋体" w:hAnsi="宋体" w:eastAsia="宋体" w:cs="Times New Roman"/>
                <w:color w:val="auto"/>
                <w:sz w:val="21"/>
                <w:szCs w:val="21"/>
                <w:highlight w:val="none"/>
              </w:rPr>
              <w:t>装订要求</w:t>
            </w:r>
          </w:p>
        </w:tc>
        <w:tc>
          <w:tcPr>
            <w:tcW w:w="7003" w:type="dxa"/>
            <w:tcBorders>
              <w:top w:val="single" w:color="auto" w:sz="4" w:space="0"/>
              <w:left w:val="single" w:color="auto" w:sz="4" w:space="0"/>
              <w:bottom w:val="single" w:color="auto" w:sz="4" w:space="0"/>
              <w:right w:val="single" w:color="auto" w:sz="4" w:space="0"/>
            </w:tcBorders>
            <w:vAlign w:val="center"/>
          </w:tcPr>
          <w:p w14:paraId="221B3409">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jc w:val="both"/>
              <w:textAlignment w:val="auto"/>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default" w:ascii="宋体" w:hAnsi="宋体" w:eastAsia="宋体" w:cs="Times New Roman"/>
                <w:color w:val="auto"/>
                <w:szCs w:val="21"/>
                <w:highlight w:val="none"/>
              </w:rPr>
              <w:t>投标文件的正本与副本应分别装订成册</w:t>
            </w:r>
            <w:r>
              <w:rPr>
                <w:rFonts w:hint="eastAsia"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rPr>
              <w:t>A4纸幅</w:t>
            </w:r>
            <w:r>
              <w:rPr>
                <w:rFonts w:hint="eastAsia"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rPr>
              <w:t>，并编制目录</w:t>
            </w:r>
            <w:r>
              <w:rPr>
                <w:rFonts w:hint="eastAsia" w:ascii="宋体" w:hAnsi="宋体" w:eastAsia="宋体" w:cs="Times New Roman"/>
                <w:color w:val="auto"/>
                <w:szCs w:val="21"/>
                <w:highlight w:val="none"/>
                <w:lang w:eastAsia="zh-CN"/>
              </w:rPr>
              <w:t>且</w:t>
            </w:r>
            <w:r>
              <w:rPr>
                <w:rFonts w:hint="default" w:ascii="宋体" w:hAnsi="宋体" w:eastAsia="宋体" w:cs="Times New Roman"/>
                <w:color w:val="auto"/>
                <w:szCs w:val="21"/>
                <w:highlight w:val="none"/>
              </w:rPr>
              <w:t>逐页（封面、封底除外）连续标注页码。投标人未按要求装订和标注页码的，招标人对文件丢失及其他后果不承担任何责任。</w:t>
            </w:r>
            <w:r>
              <w:rPr>
                <w:rFonts w:hint="eastAsia" w:ascii="宋体" w:hAnsi="宋体" w:eastAsia="宋体" w:cs="Times New Roman"/>
                <w:color w:val="auto"/>
                <w:szCs w:val="21"/>
                <w:highlight w:val="none"/>
                <w:lang w:eastAsia="zh-CN"/>
              </w:rPr>
              <w:t>且</w:t>
            </w:r>
            <w:r>
              <w:rPr>
                <w:rFonts w:hint="default" w:ascii="宋体" w:hAnsi="宋体" w:eastAsia="宋体" w:cs="Times New Roman"/>
                <w:color w:val="auto"/>
                <w:szCs w:val="21"/>
                <w:highlight w:val="none"/>
              </w:rPr>
              <w:t>装订应牢固、不易拆散和换页，不得采用活页装订。</w:t>
            </w:r>
          </w:p>
          <w:p w14:paraId="3749A254">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jc w:val="both"/>
              <w:textAlignment w:val="auto"/>
              <w:rPr>
                <w:rFonts w:hint="eastAsia" w:ascii="宋体" w:hAnsi="宋体" w:eastAsia="宋体" w:cs="宋体"/>
                <w:strike w:val="0"/>
                <w:color w:val="auto"/>
                <w:sz w:val="21"/>
                <w:szCs w:val="21"/>
                <w:highlight w:val="none"/>
              </w:rPr>
            </w:pPr>
            <w:r>
              <w:rPr>
                <w:rFonts w:hint="eastAsia" w:ascii="宋体" w:hAnsi="宋体" w:eastAsia="宋体" w:cs="Times New Roman"/>
                <w:color w:val="auto"/>
                <w:szCs w:val="21"/>
                <w:highlight w:val="none"/>
                <w:lang w:val="en-US" w:eastAsia="zh-CN"/>
              </w:rPr>
              <w:t>2.</w:t>
            </w:r>
            <w:r>
              <w:rPr>
                <w:rFonts w:hint="default" w:ascii="宋体" w:hAnsi="宋体" w:eastAsia="宋体" w:cs="Times New Roman"/>
                <w:color w:val="auto"/>
                <w:szCs w:val="21"/>
                <w:highlight w:val="none"/>
              </w:rPr>
              <w:t>投标文件的正本、副本（含U盘</w:t>
            </w:r>
            <w:r>
              <w:rPr>
                <w:rFonts w:hint="eastAsia" w:ascii="宋体" w:hAnsi="宋体" w:eastAsia="宋体" w:cs="Times New Roman"/>
                <w:color w:val="auto"/>
                <w:szCs w:val="21"/>
                <w:highlight w:val="none"/>
                <w:lang w:val="en-US" w:eastAsia="zh-CN"/>
              </w:rPr>
              <w:t>2</w:t>
            </w:r>
            <w:r>
              <w:rPr>
                <w:rFonts w:hint="default" w:ascii="宋体" w:hAnsi="宋体" w:eastAsia="宋体" w:cs="Times New Roman"/>
                <w:color w:val="auto"/>
                <w:szCs w:val="21"/>
                <w:highlight w:val="none"/>
              </w:rPr>
              <w:t>份），均应密封在同一密封包中。若上述资料确实无法密封在同一密封包中，则可按实际情况分开密封，但须在密封包装上标明密封内容。</w:t>
            </w:r>
          </w:p>
        </w:tc>
      </w:tr>
      <w:tr w14:paraId="1930F5FE">
        <w:tblPrEx>
          <w:tblCellMar>
            <w:top w:w="0" w:type="dxa"/>
            <w:left w:w="108" w:type="dxa"/>
            <w:bottom w:w="0" w:type="dxa"/>
            <w:right w:w="108" w:type="dxa"/>
          </w:tblCellMar>
        </w:tblPrEx>
        <w:trPr>
          <w:trHeight w:val="670" w:hRule="atLeast"/>
        </w:trPr>
        <w:tc>
          <w:tcPr>
            <w:tcW w:w="954" w:type="dxa"/>
            <w:tcBorders>
              <w:top w:val="single" w:color="auto" w:sz="4" w:space="0"/>
              <w:left w:val="single" w:color="auto" w:sz="4" w:space="0"/>
              <w:bottom w:val="single" w:color="auto" w:sz="4" w:space="0"/>
              <w:right w:val="single" w:color="auto" w:sz="4" w:space="0"/>
            </w:tcBorders>
            <w:vAlign w:val="center"/>
          </w:tcPr>
          <w:p w14:paraId="63BFF6AC">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jc w:val="center"/>
              <w:textAlignment w:val="auto"/>
              <w:rPr>
                <w:rFonts w:hint="eastAsia" w:ascii="宋体" w:hAnsi="宋体" w:cs="宋体"/>
                <w:strike w:val="0"/>
                <w:color w:val="auto"/>
                <w:sz w:val="21"/>
                <w:szCs w:val="21"/>
                <w:highlight w:val="none"/>
                <w:lang w:val="en-US" w:eastAsia="zh-CN"/>
              </w:rPr>
            </w:pPr>
            <w:r>
              <w:rPr>
                <w:rFonts w:hint="eastAsia" w:ascii="宋体" w:hAnsi="宋体" w:cs="Times New Roman"/>
                <w:color w:val="auto"/>
                <w:szCs w:val="21"/>
                <w:highlight w:val="none"/>
                <w:lang w:val="en-US" w:eastAsia="zh-CN"/>
              </w:rPr>
              <w:t>4.1.2</w:t>
            </w:r>
          </w:p>
        </w:tc>
        <w:tc>
          <w:tcPr>
            <w:tcW w:w="1979" w:type="dxa"/>
            <w:tcBorders>
              <w:top w:val="single" w:color="auto" w:sz="4" w:space="0"/>
              <w:left w:val="single" w:color="auto" w:sz="4" w:space="0"/>
              <w:bottom w:val="single" w:color="auto" w:sz="4" w:space="0"/>
              <w:right w:val="single" w:color="auto" w:sz="4" w:space="0"/>
            </w:tcBorders>
            <w:vAlign w:val="center"/>
          </w:tcPr>
          <w:p w14:paraId="6CB26E3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封套上应载明</w:t>
            </w:r>
          </w:p>
          <w:p w14:paraId="3941C3A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0" w:firstLineChars="0"/>
              <w:jc w:val="center"/>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的信息</w:t>
            </w:r>
          </w:p>
        </w:tc>
        <w:tc>
          <w:tcPr>
            <w:tcW w:w="7003" w:type="dxa"/>
            <w:tcBorders>
              <w:top w:val="single" w:color="auto" w:sz="4" w:space="0"/>
              <w:left w:val="single" w:color="auto" w:sz="4" w:space="0"/>
              <w:bottom w:val="single" w:color="auto" w:sz="4" w:space="0"/>
              <w:right w:val="single" w:color="auto" w:sz="4" w:space="0"/>
            </w:tcBorders>
            <w:vAlign w:val="center"/>
          </w:tcPr>
          <w:p w14:paraId="2882BD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textAlignment w:val="auto"/>
              <w:rPr>
                <w:rFonts w:hint="default" w:ascii="宋体" w:hAnsi="宋体" w:eastAsia="宋体" w:cs="Times New Roman"/>
                <w:color w:val="auto"/>
                <w:sz w:val="21"/>
                <w:szCs w:val="21"/>
                <w:highlight w:val="none"/>
                <w:u w:val="single"/>
                <w:lang w:val="en-US" w:eastAsia="zh-CN"/>
              </w:rPr>
            </w:pPr>
            <w:r>
              <w:rPr>
                <w:rFonts w:hint="default" w:ascii="宋体" w:hAnsi="宋体" w:eastAsia="宋体" w:cs="Times New Roman"/>
                <w:color w:val="auto"/>
                <w:sz w:val="21"/>
                <w:szCs w:val="21"/>
                <w:highlight w:val="none"/>
              </w:rPr>
              <w:t>招标人地址：</w:t>
            </w:r>
            <w:r>
              <w:rPr>
                <w:rFonts w:hint="default" w:ascii="宋体" w:hAnsi="宋体" w:eastAsia="宋体" w:cs="Times New Roman"/>
                <w:color w:val="auto"/>
                <w:sz w:val="21"/>
                <w:szCs w:val="21"/>
                <w:highlight w:val="none"/>
                <w:u w:val="single"/>
                <w:lang w:val="en-US" w:eastAsia="zh-CN"/>
              </w:rPr>
              <w:t xml:space="preserve">              </w:t>
            </w:r>
          </w:p>
          <w:p w14:paraId="61D4BE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textAlignment w:val="auto"/>
              <w:rPr>
                <w:rFonts w:hint="default" w:ascii="宋体" w:hAnsi="宋体" w:eastAsia="宋体" w:cs="Times New Roman"/>
                <w:color w:val="auto"/>
                <w:sz w:val="21"/>
                <w:szCs w:val="21"/>
                <w:highlight w:val="none"/>
                <w:u w:val="single"/>
                <w:lang w:val="en-US" w:eastAsia="zh-CN"/>
              </w:rPr>
            </w:pPr>
            <w:r>
              <w:rPr>
                <w:rFonts w:hint="default" w:ascii="宋体" w:hAnsi="宋体" w:eastAsia="宋体" w:cs="Times New Roman"/>
                <w:color w:val="auto"/>
                <w:sz w:val="21"/>
                <w:szCs w:val="21"/>
                <w:highlight w:val="none"/>
              </w:rPr>
              <w:t>招标人名称：</w:t>
            </w:r>
            <w:r>
              <w:rPr>
                <w:rFonts w:hint="default" w:ascii="宋体" w:hAnsi="宋体" w:eastAsia="宋体" w:cs="Times New Roman"/>
                <w:color w:val="auto"/>
                <w:sz w:val="21"/>
                <w:szCs w:val="21"/>
                <w:highlight w:val="none"/>
                <w:u w:val="single"/>
                <w:lang w:val="en-US" w:eastAsia="zh-CN"/>
              </w:rPr>
              <w:t xml:space="preserve">              </w:t>
            </w:r>
          </w:p>
          <w:p w14:paraId="61C91E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cs="Times New Roman"/>
                <w:color w:val="auto"/>
                <w:sz w:val="21"/>
                <w:szCs w:val="21"/>
                <w:highlight w:val="none"/>
                <w:u w:val="single"/>
                <w:lang w:val="en-US" w:eastAsia="zh-CN"/>
              </w:rPr>
              <w:t>招标项目</w:t>
            </w:r>
            <w:r>
              <w:rPr>
                <w:rFonts w:hint="eastAsia" w:ascii="宋体" w:hAnsi="宋体" w:eastAsia="宋体" w:cs="Times New Roman"/>
                <w:color w:val="auto"/>
                <w:sz w:val="21"/>
                <w:szCs w:val="21"/>
                <w:highlight w:val="none"/>
                <w:u w:val="single"/>
                <w:lang w:val="en-US" w:eastAsia="zh-CN"/>
              </w:rPr>
              <w:t>名称）</w:t>
            </w:r>
            <w:r>
              <w:rPr>
                <w:rFonts w:hint="default" w:ascii="宋体" w:hAnsi="宋体" w:eastAsia="宋体" w:cs="Times New Roman"/>
                <w:color w:val="auto"/>
                <w:sz w:val="21"/>
                <w:szCs w:val="21"/>
                <w:highlight w:val="none"/>
                <w:lang w:val="en-US" w:eastAsia="zh-CN"/>
              </w:rPr>
              <w:t>投标文件</w:t>
            </w:r>
          </w:p>
          <w:p w14:paraId="0EC7F7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textAlignment w:val="auto"/>
              <w:rPr>
                <w:rFonts w:hint="default"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rPr>
              <w:t>在</w:t>
            </w:r>
            <w:r>
              <w:rPr>
                <w:rFonts w:hint="default" w:ascii="宋体" w:hAnsi="宋体" w:eastAsia="宋体" w:cs="Times New Roman"/>
                <w:color w:val="auto"/>
                <w:sz w:val="21"/>
                <w:szCs w:val="21"/>
                <w:highlight w:val="none"/>
                <w:u w:val="single"/>
              </w:rPr>
              <w:t xml:space="preserve">    </w:t>
            </w:r>
            <w:r>
              <w:rPr>
                <w:rFonts w:hint="default" w:ascii="宋体" w:hAnsi="宋体" w:eastAsia="宋体" w:cs="Times New Roman"/>
                <w:color w:val="auto"/>
                <w:sz w:val="21"/>
                <w:szCs w:val="21"/>
                <w:highlight w:val="none"/>
              </w:rPr>
              <w:t>年</w:t>
            </w:r>
            <w:r>
              <w:rPr>
                <w:rFonts w:hint="default" w:ascii="宋体" w:hAnsi="宋体" w:eastAsia="宋体" w:cs="Times New Roman"/>
                <w:color w:val="auto"/>
                <w:sz w:val="21"/>
                <w:szCs w:val="21"/>
                <w:highlight w:val="none"/>
                <w:u w:val="single"/>
              </w:rPr>
              <w:t xml:space="preserve">  </w:t>
            </w:r>
            <w:r>
              <w:rPr>
                <w:rFonts w:hint="default" w:ascii="宋体" w:hAnsi="宋体" w:eastAsia="宋体" w:cs="Times New Roman"/>
                <w:color w:val="auto"/>
                <w:sz w:val="21"/>
                <w:szCs w:val="21"/>
                <w:highlight w:val="none"/>
              </w:rPr>
              <w:t>月</w:t>
            </w:r>
            <w:r>
              <w:rPr>
                <w:rFonts w:hint="default" w:ascii="宋体" w:hAnsi="宋体" w:eastAsia="宋体" w:cs="Times New Roman"/>
                <w:color w:val="auto"/>
                <w:sz w:val="21"/>
                <w:szCs w:val="21"/>
                <w:highlight w:val="none"/>
                <w:u w:val="single"/>
              </w:rPr>
              <w:t xml:space="preserve">  </w:t>
            </w:r>
            <w:r>
              <w:rPr>
                <w:rFonts w:hint="default" w:ascii="宋体" w:hAnsi="宋体" w:eastAsia="宋体" w:cs="Times New Roman"/>
                <w:color w:val="auto"/>
                <w:sz w:val="21"/>
                <w:szCs w:val="21"/>
                <w:highlight w:val="none"/>
              </w:rPr>
              <w:t>日</w:t>
            </w:r>
            <w:r>
              <w:rPr>
                <w:rFonts w:hint="default" w:ascii="宋体" w:hAnsi="宋体" w:eastAsia="宋体" w:cs="Times New Roman"/>
                <w:color w:val="auto"/>
                <w:sz w:val="21"/>
                <w:szCs w:val="21"/>
                <w:highlight w:val="none"/>
                <w:u w:val="single"/>
              </w:rPr>
              <w:t xml:space="preserve">  </w:t>
            </w:r>
            <w:r>
              <w:rPr>
                <w:rFonts w:hint="default" w:ascii="宋体" w:hAnsi="宋体" w:eastAsia="宋体" w:cs="Times New Roman"/>
                <w:color w:val="auto"/>
                <w:sz w:val="21"/>
                <w:szCs w:val="21"/>
                <w:highlight w:val="none"/>
              </w:rPr>
              <w:t>时</w:t>
            </w:r>
            <w:r>
              <w:rPr>
                <w:rFonts w:hint="default" w:ascii="宋体" w:hAnsi="宋体" w:eastAsia="宋体" w:cs="Times New Roman"/>
                <w:color w:val="auto"/>
                <w:sz w:val="21"/>
                <w:szCs w:val="21"/>
                <w:highlight w:val="none"/>
                <w:u w:val="single"/>
              </w:rPr>
              <w:t xml:space="preserve">  </w:t>
            </w:r>
            <w:r>
              <w:rPr>
                <w:rFonts w:hint="default" w:ascii="宋体" w:hAnsi="宋体" w:eastAsia="宋体" w:cs="Times New Roman"/>
                <w:color w:val="auto"/>
                <w:sz w:val="21"/>
                <w:szCs w:val="21"/>
                <w:highlight w:val="none"/>
              </w:rPr>
              <w:t>分前不得开启</w:t>
            </w:r>
          </w:p>
          <w:p w14:paraId="52DF47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firstLine="0" w:firstLineChars="0"/>
              <w:textAlignment w:val="auto"/>
              <w:rPr>
                <w:rFonts w:hint="default"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rPr>
              <w:t>投标人名称：</w:t>
            </w:r>
            <w:r>
              <w:rPr>
                <w:rFonts w:hint="default" w:ascii="宋体" w:hAnsi="宋体" w:eastAsia="宋体" w:cs="Times New Roman"/>
                <w:color w:val="auto"/>
                <w:sz w:val="21"/>
                <w:szCs w:val="21"/>
                <w:highlight w:val="none"/>
                <w:u w:val="single"/>
              </w:rPr>
              <w:t xml:space="preserve">                             </w:t>
            </w:r>
          </w:p>
          <w:p w14:paraId="3C0BA9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0" w:firstLineChars="0"/>
              <w:textAlignment w:val="auto"/>
              <w:rPr>
                <w:rFonts w:hint="eastAsia" w:ascii="宋体" w:hAnsi="宋体" w:eastAsia="宋体" w:cs="Times New Roman"/>
                <w:color w:val="auto"/>
                <w:szCs w:val="21"/>
                <w:highlight w:val="none"/>
                <w:lang w:val="en-US" w:eastAsia="zh-CN"/>
              </w:rPr>
            </w:pPr>
            <w:r>
              <w:rPr>
                <w:rFonts w:hint="default" w:ascii="宋体" w:hAnsi="宋体" w:eastAsia="宋体" w:cs="Times New Roman"/>
                <w:color w:val="auto"/>
                <w:sz w:val="21"/>
                <w:szCs w:val="21"/>
                <w:highlight w:val="none"/>
              </w:rPr>
              <w:t>投标人地址：</w:t>
            </w:r>
            <w:r>
              <w:rPr>
                <w:rFonts w:hint="default" w:ascii="宋体" w:hAnsi="宋体" w:eastAsia="宋体" w:cs="Times New Roman"/>
                <w:color w:val="auto"/>
                <w:sz w:val="21"/>
                <w:szCs w:val="21"/>
                <w:highlight w:val="none"/>
                <w:u w:val="single"/>
              </w:rPr>
              <w:t xml:space="preserve">                             </w:t>
            </w:r>
          </w:p>
        </w:tc>
      </w:tr>
      <w:tr w14:paraId="2A39767D">
        <w:tblPrEx>
          <w:tblCellMar>
            <w:top w:w="0" w:type="dxa"/>
            <w:left w:w="108" w:type="dxa"/>
            <w:bottom w:w="0" w:type="dxa"/>
            <w:right w:w="108" w:type="dxa"/>
          </w:tblCellMar>
        </w:tblPrEx>
        <w:trPr>
          <w:trHeight w:val="670" w:hRule="atLeast"/>
        </w:trPr>
        <w:tc>
          <w:tcPr>
            <w:tcW w:w="954" w:type="dxa"/>
            <w:tcBorders>
              <w:top w:val="single" w:color="auto" w:sz="4" w:space="0"/>
              <w:left w:val="single" w:color="auto" w:sz="4" w:space="0"/>
              <w:bottom w:val="single" w:color="auto" w:sz="4" w:space="0"/>
              <w:right w:val="single" w:color="auto" w:sz="4" w:space="0"/>
            </w:tcBorders>
            <w:vAlign w:val="center"/>
          </w:tcPr>
          <w:p w14:paraId="6FD67289">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6.1.1</w:t>
            </w:r>
          </w:p>
        </w:tc>
        <w:tc>
          <w:tcPr>
            <w:tcW w:w="1979" w:type="dxa"/>
            <w:tcBorders>
              <w:top w:val="single" w:color="auto" w:sz="4" w:space="0"/>
              <w:left w:val="single" w:color="auto" w:sz="4" w:space="0"/>
              <w:bottom w:val="single" w:color="auto" w:sz="4" w:space="0"/>
              <w:right w:val="single" w:color="auto" w:sz="4" w:space="0"/>
            </w:tcBorders>
            <w:vAlign w:val="center"/>
          </w:tcPr>
          <w:p w14:paraId="60E8283A">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评标委员会的组建</w:t>
            </w:r>
          </w:p>
        </w:tc>
        <w:tc>
          <w:tcPr>
            <w:tcW w:w="7003" w:type="dxa"/>
            <w:tcBorders>
              <w:top w:val="single" w:color="auto" w:sz="4" w:space="0"/>
              <w:left w:val="single" w:color="auto" w:sz="4" w:space="0"/>
              <w:bottom w:val="single" w:color="auto" w:sz="4" w:space="0"/>
              <w:right w:val="single" w:color="auto" w:sz="4" w:space="0"/>
            </w:tcBorders>
            <w:vAlign w:val="center"/>
          </w:tcPr>
          <w:p w14:paraId="0C1D72C3">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1.评标委员会构成：共</w:t>
            </w:r>
            <w:r>
              <w:rPr>
                <w:rFonts w:hint="eastAsia" w:ascii="宋体" w:hAnsi="宋体" w:eastAsia="宋体" w:cs="宋体"/>
                <w:strike w:val="0"/>
                <w:color w:val="auto"/>
                <w:sz w:val="21"/>
                <w:szCs w:val="21"/>
                <w:highlight w:val="none"/>
                <w:u w:val="single"/>
              </w:rPr>
              <w:t>5</w:t>
            </w:r>
            <w:r>
              <w:rPr>
                <w:rFonts w:hint="eastAsia" w:ascii="宋体" w:hAnsi="宋体" w:eastAsia="宋体" w:cs="宋体"/>
                <w:strike w:val="0"/>
                <w:color w:val="auto"/>
                <w:sz w:val="21"/>
                <w:szCs w:val="21"/>
                <w:highlight w:val="none"/>
              </w:rPr>
              <w:t>人，其中评标专家</w:t>
            </w:r>
            <w:r>
              <w:rPr>
                <w:rFonts w:hint="eastAsia" w:ascii="宋体" w:hAnsi="宋体" w:eastAsia="宋体" w:cs="宋体"/>
                <w:strike w:val="0"/>
                <w:color w:val="auto"/>
                <w:sz w:val="21"/>
                <w:szCs w:val="21"/>
                <w:highlight w:val="none"/>
                <w:u w:val="single"/>
              </w:rPr>
              <w:t>5</w:t>
            </w:r>
            <w:r>
              <w:rPr>
                <w:rFonts w:hint="eastAsia" w:ascii="宋体" w:hAnsi="宋体" w:eastAsia="宋体" w:cs="宋体"/>
                <w:strike w:val="0"/>
                <w:color w:val="auto"/>
                <w:sz w:val="21"/>
                <w:szCs w:val="21"/>
                <w:highlight w:val="none"/>
              </w:rPr>
              <w:t>人，招标人代表</w:t>
            </w:r>
            <w:r>
              <w:rPr>
                <w:rFonts w:hint="eastAsia" w:ascii="宋体" w:hAnsi="宋体" w:eastAsia="宋体" w:cs="宋体"/>
                <w:strike w:val="0"/>
                <w:color w:val="auto"/>
                <w:sz w:val="21"/>
                <w:szCs w:val="21"/>
                <w:highlight w:val="none"/>
                <w:u w:val="single"/>
              </w:rPr>
              <w:t>0</w:t>
            </w:r>
            <w:r>
              <w:rPr>
                <w:rFonts w:hint="eastAsia" w:ascii="宋体" w:hAnsi="宋体" w:eastAsia="宋体" w:cs="宋体"/>
                <w:strike w:val="0"/>
                <w:color w:val="auto"/>
                <w:sz w:val="21"/>
                <w:szCs w:val="21"/>
                <w:highlight w:val="none"/>
              </w:rPr>
              <w:t>人（招标人代表应当具备国家和省规定的评标专家条件和要求，5人以上单数，专家人数不得少于成员人数的三分之二）。</w:t>
            </w:r>
          </w:p>
          <w:p w14:paraId="425A76FC">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2.评标专家确定方式：在广东省综合评标评审专家库中随机抽取产生（同一法人单位的评标专家不得超过2名），若所要求类别的专家人数选取不足，则从相近专业类别中抽取。</w:t>
            </w:r>
          </w:p>
        </w:tc>
      </w:tr>
      <w:tr w14:paraId="56F9B3BC">
        <w:tblPrEx>
          <w:tblCellMar>
            <w:top w:w="0" w:type="dxa"/>
            <w:left w:w="108" w:type="dxa"/>
            <w:bottom w:w="0" w:type="dxa"/>
            <w:right w:w="108" w:type="dxa"/>
          </w:tblCellMar>
        </w:tblPrEx>
        <w:trPr>
          <w:trHeight w:val="90" w:hRule="atLeast"/>
        </w:trPr>
        <w:tc>
          <w:tcPr>
            <w:tcW w:w="954" w:type="dxa"/>
            <w:tcBorders>
              <w:top w:val="single" w:color="auto" w:sz="4" w:space="0"/>
              <w:left w:val="single" w:color="auto" w:sz="4" w:space="0"/>
              <w:bottom w:val="single" w:color="auto" w:sz="4" w:space="0"/>
              <w:right w:val="single" w:color="auto" w:sz="4" w:space="0"/>
            </w:tcBorders>
            <w:vAlign w:val="center"/>
          </w:tcPr>
          <w:p w14:paraId="18A7804E">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6.3</w:t>
            </w:r>
          </w:p>
        </w:tc>
        <w:tc>
          <w:tcPr>
            <w:tcW w:w="1979" w:type="dxa"/>
            <w:tcBorders>
              <w:top w:val="single" w:color="auto" w:sz="4" w:space="0"/>
              <w:left w:val="single" w:color="auto" w:sz="4" w:space="0"/>
              <w:bottom w:val="single" w:color="auto" w:sz="4" w:space="0"/>
              <w:right w:val="single" w:color="auto" w:sz="4" w:space="0"/>
            </w:tcBorders>
            <w:vAlign w:val="center"/>
          </w:tcPr>
          <w:p w14:paraId="223689EF">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评标办法</w:t>
            </w:r>
          </w:p>
        </w:tc>
        <w:tc>
          <w:tcPr>
            <w:tcW w:w="7003" w:type="dxa"/>
            <w:tcBorders>
              <w:top w:val="single" w:color="auto" w:sz="4" w:space="0"/>
              <w:left w:val="single" w:color="auto" w:sz="4" w:space="0"/>
              <w:bottom w:val="single" w:color="auto" w:sz="4" w:space="0"/>
              <w:right w:val="single" w:color="auto" w:sz="4" w:space="0"/>
            </w:tcBorders>
            <w:vAlign w:val="center"/>
          </w:tcPr>
          <w:p w14:paraId="43C078BA">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bCs/>
                <w:strike w:val="0"/>
                <w:color w:val="auto"/>
                <w:sz w:val="21"/>
                <w:szCs w:val="21"/>
                <w:highlight w:val="none"/>
              </w:rPr>
            </w:pPr>
            <w:r>
              <w:rPr>
                <w:rFonts w:hint="eastAsia" w:ascii="宋体" w:hAnsi="宋体" w:eastAsia="宋体" w:cs="宋体"/>
                <w:strike w:val="0"/>
                <w:color w:val="auto"/>
                <w:sz w:val="21"/>
                <w:szCs w:val="21"/>
                <w:highlight w:val="none"/>
              </w:rPr>
              <w:t>☑</w:t>
            </w:r>
            <w:r>
              <w:rPr>
                <w:rFonts w:hint="eastAsia" w:ascii="宋体" w:hAnsi="宋体" w:eastAsia="宋体" w:cs="宋体"/>
                <w:bCs/>
                <w:strike w:val="0"/>
                <w:color w:val="auto"/>
                <w:sz w:val="21"/>
                <w:szCs w:val="21"/>
                <w:highlight w:val="none"/>
              </w:rPr>
              <w:t>综合评估法</w:t>
            </w:r>
          </w:p>
          <w:p w14:paraId="1D8FF57B">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w:t>
            </w:r>
            <w:r>
              <w:rPr>
                <w:rFonts w:hint="eastAsia" w:ascii="宋体" w:hAnsi="宋体" w:eastAsia="宋体" w:cs="宋体"/>
                <w:bCs/>
                <w:strike w:val="0"/>
                <w:color w:val="auto"/>
                <w:sz w:val="21"/>
                <w:szCs w:val="21"/>
                <w:highlight w:val="none"/>
              </w:rPr>
              <w:t>评标定标分离法</w:t>
            </w:r>
          </w:p>
        </w:tc>
      </w:tr>
      <w:tr w14:paraId="2935ADE1">
        <w:tblPrEx>
          <w:tblCellMar>
            <w:top w:w="0" w:type="dxa"/>
            <w:left w:w="108" w:type="dxa"/>
            <w:bottom w:w="0" w:type="dxa"/>
            <w:right w:w="108" w:type="dxa"/>
          </w:tblCellMar>
        </w:tblPrEx>
        <w:trPr>
          <w:trHeight w:val="358" w:hRule="atLeast"/>
        </w:trPr>
        <w:tc>
          <w:tcPr>
            <w:tcW w:w="9936" w:type="dxa"/>
            <w:gridSpan w:val="3"/>
            <w:tcBorders>
              <w:top w:val="single" w:color="auto" w:sz="4" w:space="0"/>
              <w:left w:val="single" w:color="auto" w:sz="4" w:space="0"/>
              <w:bottom w:val="single" w:color="auto" w:sz="4" w:space="0"/>
              <w:right w:val="single" w:color="auto" w:sz="4" w:space="0"/>
            </w:tcBorders>
            <w:vAlign w:val="center"/>
          </w:tcPr>
          <w:p w14:paraId="3CB3952C">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以下6.4款至7.5.6款适用于综合评估法，如采用评标定标分离法，可删除相关内容。</w:t>
            </w:r>
          </w:p>
        </w:tc>
      </w:tr>
      <w:tr w14:paraId="496AC0B9">
        <w:tblPrEx>
          <w:tblCellMar>
            <w:top w:w="0" w:type="dxa"/>
            <w:left w:w="108" w:type="dxa"/>
            <w:bottom w:w="0" w:type="dxa"/>
            <w:right w:w="108" w:type="dxa"/>
          </w:tblCellMar>
        </w:tblPrEx>
        <w:trPr>
          <w:trHeight w:val="60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738C0501">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6.4</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60F89686">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推荐中标候选人</w:t>
            </w:r>
          </w:p>
        </w:tc>
        <w:tc>
          <w:tcPr>
            <w:tcW w:w="7003" w:type="dxa"/>
            <w:tcBorders>
              <w:top w:val="single" w:color="auto" w:sz="4" w:space="0"/>
              <w:left w:val="single" w:color="auto" w:sz="4" w:space="0"/>
              <w:bottom w:val="single" w:color="auto" w:sz="4" w:space="0"/>
              <w:right w:val="single" w:color="auto" w:sz="4" w:space="0"/>
            </w:tcBorders>
            <w:shd w:val="clear" w:color="auto" w:fill="auto"/>
            <w:vAlign w:val="center"/>
          </w:tcPr>
          <w:p w14:paraId="689AF10B">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☑推荐</w:t>
            </w:r>
            <w:r>
              <w:rPr>
                <w:rFonts w:hint="eastAsia" w:ascii="宋体" w:hAnsi="宋体" w:eastAsia="宋体" w:cs="宋体"/>
                <w:strike w:val="0"/>
                <w:color w:val="auto"/>
                <w:sz w:val="21"/>
                <w:szCs w:val="21"/>
                <w:highlight w:val="none"/>
                <w:u w:val="single"/>
              </w:rPr>
              <w:t>1</w:t>
            </w:r>
            <w:r>
              <w:rPr>
                <w:rFonts w:hint="eastAsia" w:ascii="宋体" w:hAnsi="宋体" w:eastAsia="宋体" w:cs="宋体"/>
                <w:strike w:val="0"/>
                <w:color w:val="auto"/>
                <w:sz w:val="21"/>
                <w:szCs w:val="21"/>
                <w:highlight w:val="none"/>
              </w:rPr>
              <w:t>名中标候选人，并列出评标排名次序。</w:t>
            </w:r>
          </w:p>
          <w:p w14:paraId="201F673F">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[注：鼓励招标人授权评标委员会只推荐1个中标候选人。]</w:t>
            </w:r>
          </w:p>
        </w:tc>
      </w:tr>
      <w:tr w14:paraId="4DE32319">
        <w:tblPrEx>
          <w:tblCellMar>
            <w:top w:w="0" w:type="dxa"/>
            <w:left w:w="108" w:type="dxa"/>
            <w:bottom w:w="0" w:type="dxa"/>
            <w:right w:w="108" w:type="dxa"/>
          </w:tblCellMar>
        </w:tblPrEx>
        <w:trPr>
          <w:trHeight w:val="60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71C0DF44">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6.5</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282EC06C">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kern w:val="0"/>
                <w:sz w:val="21"/>
                <w:szCs w:val="21"/>
                <w:highlight w:val="none"/>
              </w:rPr>
              <w:t>中标候选人、评标过程及评标结果公示</w:t>
            </w:r>
          </w:p>
        </w:tc>
        <w:tc>
          <w:tcPr>
            <w:tcW w:w="7003" w:type="dxa"/>
            <w:tcBorders>
              <w:top w:val="single" w:color="auto" w:sz="4" w:space="0"/>
              <w:left w:val="single" w:color="auto" w:sz="4" w:space="0"/>
              <w:bottom w:val="single" w:color="auto" w:sz="4" w:space="0"/>
              <w:right w:val="single" w:color="auto" w:sz="4" w:space="0"/>
            </w:tcBorders>
            <w:shd w:val="clear" w:color="auto" w:fill="auto"/>
            <w:vAlign w:val="center"/>
          </w:tcPr>
          <w:p w14:paraId="744B3EED">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招标人应当自收到评标报告之日起3日内，将评标结果在</w:t>
            </w:r>
            <w:r>
              <w:rPr>
                <w:rFonts w:hint="eastAsia" w:ascii="宋体" w:hAnsi="宋体" w:cs="宋体"/>
                <w:strike w:val="0"/>
                <w:color w:val="auto"/>
                <w:sz w:val="21"/>
                <w:szCs w:val="21"/>
                <w:highlight w:val="none"/>
                <w:lang w:eastAsia="zh-CN"/>
              </w:rPr>
              <w:t>佛山市南海区人民政府网站—佛山市公共资源交易中心南海分中心（http://www.nanhai.gov.cn/fsnhq/bmdh/sydw/ggzyjyzx/jyxx/yqcg/index.html）</w:t>
            </w:r>
            <w:r>
              <w:rPr>
                <w:rFonts w:hint="eastAsia" w:ascii="宋体" w:hAnsi="宋体" w:eastAsia="宋体" w:cs="宋体"/>
                <w:strike w:val="0"/>
                <w:color w:val="auto"/>
                <w:sz w:val="21"/>
                <w:szCs w:val="21"/>
                <w:highlight w:val="none"/>
              </w:rPr>
              <w:t>公示，公示期不得少于3日。</w:t>
            </w:r>
          </w:p>
        </w:tc>
      </w:tr>
      <w:tr w14:paraId="2BFFD6B8">
        <w:tblPrEx>
          <w:tblCellMar>
            <w:top w:w="0" w:type="dxa"/>
            <w:left w:w="108" w:type="dxa"/>
            <w:bottom w:w="0" w:type="dxa"/>
            <w:right w:w="108" w:type="dxa"/>
          </w:tblCellMar>
        </w:tblPrEx>
        <w:trPr>
          <w:trHeight w:val="60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7A1504F1">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7.4.1</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5F0853BA">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履约保证金</w:t>
            </w:r>
          </w:p>
        </w:tc>
        <w:tc>
          <w:tcPr>
            <w:tcW w:w="7003" w:type="dxa"/>
            <w:tcBorders>
              <w:top w:val="single" w:color="auto" w:sz="4" w:space="0"/>
              <w:left w:val="single" w:color="auto" w:sz="4" w:space="0"/>
              <w:bottom w:val="single" w:color="auto" w:sz="4" w:space="0"/>
              <w:right w:val="single" w:color="auto" w:sz="4" w:space="0"/>
            </w:tcBorders>
            <w:shd w:val="clear" w:color="auto" w:fill="auto"/>
            <w:vAlign w:val="center"/>
          </w:tcPr>
          <w:p w14:paraId="33BBA193">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履约保证金形式：</w:t>
            </w:r>
            <w:r>
              <w:rPr>
                <w:rFonts w:hint="eastAsia" w:ascii="宋体" w:hAnsi="宋体" w:eastAsia="宋体" w:cs="宋体"/>
                <w:strike w:val="0"/>
                <w:color w:val="auto"/>
                <w:kern w:val="0"/>
                <w:sz w:val="21"/>
                <w:szCs w:val="21"/>
                <w:highlight w:val="none"/>
              </w:rPr>
              <w:t>可采用现金或者银行保函、工程担保公司保函、工程保证保险等形式。</w:t>
            </w:r>
          </w:p>
          <w:p w14:paraId="4DDA5990">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u w:val="single"/>
              </w:rPr>
            </w:pPr>
            <w:r>
              <w:rPr>
                <w:rFonts w:hint="eastAsia" w:ascii="宋体" w:hAnsi="宋体" w:eastAsia="宋体" w:cs="宋体"/>
                <w:strike w:val="0"/>
                <w:color w:val="auto"/>
                <w:sz w:val="21"/>
                <w:szCs w:val="21"/>
                <w:highlight w:val="none"/>
              </w:rPr>
              <w:t>履约保证金金额：</w:t>
            </w:r>
            <w:r>
              <w:rPr>
                <w:rFonts w:hint="eastAsia" w:ascii="宋体" w:hAnsi="宋体" w:eastAsia="宋体" w:cs="宋体"/>
                <w:strike w:val="0"/>
                <w:color w:val="auto"/>
                <w:sz w:val="21"/>
                <w:szCs w:val="21"/>
                <w:highlight w:val="none"/>
                <w:u w:val="single"/>
              </w:rPr>
              <w:t>合同总价的10%</w:t>
            </w:r>
          </w:p>
          <w:p w14:paraId="0EF380B9">
            <w:pPr>
              <w:pageBreakBefore w:val="0"/>
              <w:widowControl/>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递交时间：合同签订前。</w:t>
            </w:r>
          </w:p>
          <w:p w14:paraId="0E747C81">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u w:val="single"/>
              </w:rPr>
            </w:pPr>
            <w:r>
              <w:rPr>
                <w:rFonts w:hint="eastAsia" w:ascii="宋体" w:hAnsi="宋体" w:eastAsia="宋体" w:cs="宋体"/>
                <w:strike w:val="0"/>
                <w:color w:val="auto"/>
                <w:sz w:val="21"/>
                <w:szCs w:val="21"/>
                <w:highlight w:val="none"/>
              </w:rPr>
              <w:t>履约保证金的退回：完成所有</w:t>
            </w:r>
            <w:r>
              <w:rPr>
                <w:rFonts w:hint="eastAsia" w:ascii="宋体" w:hAnsi="宋体" w:eastAsia="宋体" w:cs="宋体"/>
                <w:strike w:val="0"/>
                <w:color w:val="auto"/>
                <w:sz w:val="21"/>
                <w:szCs w:val="21"/>
                <w:highlight w:val="none"/>
                <w:lang w:eastAsia="zh-CN"/>
              </w:rPr>
              <w:t>预算复审造价咨询服务</w:t>
            </w:r>
            <w:r>
              <w:rPr>
                <w:rFonts w:hint="eastAsia" w:ascii="宋体" w:hAnsi="宋体" w:eastAsia="宋体" w:cs="宋体"/>
                <w:strike w:val="0"/>
                <w:color w:val="auto"/>
                <w:sz w:val="21"/>
                <w:szCs w:val="21"/>
                <w:highlight w:val="none"/>
              </w:rPr>
              <w:t>工作并提交相关成果文件完毕之日起30个日历天内，把履约担保一次性无息退还给中标人。若在此时间内履约担保超过有效期的，中标人需办理履约担保续期手续。</w:t>
            </w:r>
          </w:p>
          <w:p w14:paraId="09C20DB7">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注:</w:t>
            </w:r>
          </w:p>
          <w:p w14:paraId="6AFB4E4F">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（1）银行业金融机构是指分行、支行以上银行；</w:t>
            </w:r>
          </w:p>
          <w:p w14:paraId="2C8E9604">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（2）保险机构是指经银保监会批准可以从事保证保险业务的保险公司；</w:t>
            </w:r>
          </w:p>
          <w:p w14:paraId="1A273D00">
            <w:pPr>
              <w:pageBreakBefore w:val="0"/>
              <w:kinsoku/>
              <w:wordWrap/>
              <w:overflowPunct/>
              <w:topLinePunct w:val="0"/>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u w:val="single"/>
              </w:rPr>
            </w:pPr>
            <w:r>
              <w:rPr>
                <w:rFonts w:hint="eastAsia" w:ascii="宋体" w:hAnsi="宋体" w:eastAsia="宋体" w:cs="宋体"/>
                <w:b/>
                <w:strike w:val="0"/>
                <w:color w:val="auto"/>
                <w:sz w:val="21"/>
                <w:szCs w:val="21"/>
                <w:highlight w:val="none"/>
              </w:rPr>
              <w:t>（3）专业担保机构是指取得相关主管部门核发的资格证书的专业工程担保公司。</w:t>
            </w:r>
          </w:p>
        </w:tc>
      </w:tr>
      <w:tr w14:paraId="2FBF5C21">
        <w:tblPrEx>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vAlign w:val="center"/>
          </w:tcPr>
          <w:p w14:paraId="57074FD0">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10</w:t>
            </w: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275E97E9">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需要补充的其他内容</w:t>
            </w:r>
          </w:p>
        </w:tc>
      </w:tr>
      <w:tr w14:paraId="6CE202CC">
        <w:tblPrEx>
          <w:tblCellMar>
            <w:top w:w="0" w:type="dxa"/>
            <w:left w:w="108" w:type="dxa"/>
            <w:bottom w:w="0" w:type="dxa"/>
            <w:right w:w="108" w:type="dxa"/>
          </w:tblCellMar>
        </w:tblPrEx>
        <w:trPr>
          <w:trHeight w:val="267" w:hRule="atLeast"/>
        </w:trPr>
        <w:tc>
          <w:tcPr>
            <w:tcW w:w="954" w:type="dxa"/>
            <w:tcBorders>
              <w:top w:val="single" w:color="auto" w:sz="4" w:space="0"/>
              <w:left w:val="single" w:color="auto" w:sz="4" w:space="0"/>
              <w:bottom w:val="single" w:color="auto" w:sz="4" w:space="0"/>
              <w:right w:val="single" w:color="auto" w:sz="4" w:space="0"/>
            </w:tcBorders>
            <w:vAlign w:val="center"/>
          </w:tcPr>
          <w:p w14:paraId="738DC520">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10.1</w:t>
            </w: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5E49050A">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词语定义</w:t>
            </w:r>
          </w:p>
        </w:tc>
      </w:tr>
      <w:tr w14:paraId="751F9FA9">
        <w:tblPrEx>
          <w:tblCellMar>
            <w:top w:w="0" w:type="dxa"/>
            <w:left w:w="108" w:type="dxa"/>
            <w:bottom w:w="0" w:type="dxa"/>
            <w:right w:w="108" w:type="dxa"/>
          </w:tblCellMar>
        </w:tblPrEx>
        <w:trPr>
          <w:trHeight w:val="372" w:hRule="atLeast"/>
        </w:trPr>
        <w:tc>
          <w:tcPr>
            <w:tcW w:w="954" w:type="dxa"/>
            <w:tcBorders>
              <w:top w:val="single" w:color="auto" w:sz="4" w:space="0"/>
              <w:left w:val="single" w:color="auto" w:sz="4" w:space="0"/>
              <w:bottom w:val="single" w:color="auto" w:sz="4" w:space="0"/>
              <w:right w:val="single" w:color="auto" w:sz="4" w:space="0"/>
            </w:tcBorders>
            <w:vAlign w:val="center"/>
          </w:tcPr>
          <w:p w14:paraId="491EE414">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1DA300F">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类似工程</w:t>
            </w:r>
          </w:p>
        </w:tc>
        <w:tc>
          <w:tcPr>
            <w:tcW w:w="7003" w:type="dxa"/>
            <w:tcBorders>
              <w:top w:val="single" w:color="auto" w:sz="4" w:space="0"/>
              <w:left w:val="single" w:color="auto" w:sz="4" w:space="0"/>
              <w:bottom w:val="single" w:color="auto" w:sz="4" w:space="0"/>
              <w:right w:val="single" w:color="auto" w:sz="4" w:space="0"/>
            </w:tcBorders>
            <w:vAlign w:val="center"/>
          </w:tcPr>
          <w:p w14:paraId="73BC08AB">
            <w:pPr>
              <w:pageBreakBefore w:val="0"/>
              <w:kinsoku/>
              <w:overflowPunct/>
              <w:bidi w:val="0"/>
              <w:spacing w:beforeLines="0" w:afterLines="0" w:line="360" w:lineRule="auto"/>
              <w:ind w:left="0" w:leftChars="0" w:right="0"/>
              <w:rPr>
                <w:rFonts w:hint="eastAsia" w:ascii="宋体" w:hAnsi="宋体" w:eastAsia="宋体" w:cs="宋体"/>
                <w:strike w:val="0"/>
                <w:color w:val="auto"/>
                <w:sz w:val="21"/>
                <w:szCs w:val="21"/>
                <w:highlight w:val="none"/>
                <w:lang w:eastAsia="zh-CN"/>
              </w:rPr>
            </w:pPr>
            <w:r>
              <w:rPr>
                <w:rFonts w:hint="eastAsia" w:ascii="宋体" w:hAnsi="宋体" w:eastAsia="宋体" w:cs="宋体"/>
                <w:strike w:val="0"/>
                <w:color w:val="auto"/>
                <w:sz w:val="21"/>
                <w:szCs w:val="21"/>
                <w:highlight w:val="none"/>
              </w:rPr>
              <w:t>类似工程是指：</w:t>
            </w:r>
          </w:p>
        </w:tc>
      </w:tr>
      <w:tr w14:paraId="7ECF6290">
        <w:tblPrEx>
          <w:tblCellMar>
            <w:top w:w="0" w:type="dxa"/>
            <w:left w:w="108" w:type="dxa"/>
            <w:bottom w:w="0" w:type="dxa"/>
            <w:right w:w="108" w:type="dxa"/>
          </w:tblCellMar>
        </w:tblPrEx>
        <w:trPr>
          <w:trHeight w:val="372" w:hRule="atLeast"/>
        </w:trPr>
        <w:tc>
          <w:tcPr>
            <w:tcW w:w="954" w:type="dxa"/>
            <w:tcBorders>
              <w:top w:val="single" w:color="auto" w:sz="4" w:space="0"/>
              <w:left w:val="single" w:color="auto" w:sz="4" w:space="0"/>
              <w:bottom w:val="single" w:color="auto" w:sz="4" w:space="0"/>
              <w:right w:val="single" w:color="auto" w:sz="4" w:space="0"/>
            </w:tcBorders>
            <w:vAlign w:val="center"/>
          </w:tcPr>
          <w:p w14:paraId="62AEAC29">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276F3FC">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技术职称专业</w:t>
            </w:r>
          </w:p>
        </w:tc>
        <w:tc>
          <w:tcPr>
            <w:tcW w:w="7003" w:type="dxa"/>
            <w:tcBorders>
              <w:top w:val="single" w:color="auto" w:sz="4" w:space="0"/>
              <w:left w:val="single" w:color="auto" w:sz="4" w:space="0"/>
              <w:bottom w:val="single" w:color="auto" w:sz="4" w:space="0"/>
              <w:right w:val="single" w:color="auto" w:sz="4" w:space="0"/>
            </w:tcBorders>
            <w:vAlign w:val="center"/>
          </w:tcPr>
          <w:p w14:paraId="4C68ECA4">
            <w:pPr>
              <w:pageBreakBefore w:val="0"/>
              <w:kinsoku/>
              <w:overflowPunct/>
              <w:bidi w:val="0"/>
              <w:spacing w:beforeLines="0" w:afterLines="0" w:line="360" w:lineRule="auto"/>
              <w:ind w:left="0" w:leftChars="0" w:right="0"/>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lang w:val="en-US" w:eastAsia="zh-CN"/>
              </w:rPr>
              <w:t>技术职称的专业包括：</w:t>
            </w:r>
            <w:r>
              <w:rPr>
                <w:rFonts w:hint="eastAsia" w:ascii="宋体" w:hAnsi="宋体" w:cs="宋体"/>
                <w:strike w:val="0"/>
                <w:color w:val="auto"/>
                <w:sz w:val="21"/>
                <w:szCs w:val="21"/>
                <w:highlight w:val="none"/>
                <w:lang w:val="en-US" w:eastAsia="zh-CN"/>
              </w:rPr>
              <w:t>/</w:t>
            </w:r>
          </w:p>
        </w:tc>
      </w:tr>
      <w:tr w14:paraId="74E467FD">
        <w:tblPrEx>
          <w:tblCellMar>
            <w:top w:w="0" w:type="dxa"/>
            <w:left w:w="108" w:type="dxa"/>
            <w:bottom w:w="0" w:type="dxa"/>
            <w:right w:w="108" w:type="dxa"/>
          </w:tblCellMar>
        </w:tblPrEx>
        <w:trPr>
          <w:trHeight w:val="515" w:hRule="atLeast"/>
        </w:trPr>
        <w:tc>
          <w:tcPr>
            <w:tcW w:w="954" w:type="dxa"/>
            <w:tcBorders>
              <w:top w:val="single" w:color="auto" w:sz="4" w:space="0"/>
              <w:left w:val="single" w:color="auto" w:sz="4" w:space="0"/>
              <w:bottom w:val="single" w:color="auto" w:sz="4" w:space="0"/>
              <w:right w:val="single" w:color="auto" w:sz="4" w:space="0"/>
            </w:tcBorders>
            <w:vAlign w:val="center"/>
          </w:tcPr>
          <w:p w14:paraId="3494BE84">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10.2</w:t>
            </w: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2390A1B8">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bdr w:val="single" w:color="auto" w:sz="4" w:space="0"/>
              </w:rPr>
            </w:pPr>
            <w:r>
              <w:rPr>
                <w:rFonts w:hint="eastAsia" w:ascii="宋体" w:hAnsi="宋体" w:eastAsia="宋体" w:cs="宋体"/>
                <w:strike w:val="0"/>
                <w:color w:val="auto"/>
                <w:sz w:val="21"/>
                <w:szCs w:val="21"/>
                <w:highlight w:val="none"/>
              </w:rPr>
              <w:t>投标文件</w:t>
            </w:r>
          </w:p>
        </w:tc>
      </w:tr>
      <w:tr w14:paraId="34257D72">
        <w:tblPrEx>
          <w:tblCellMar>
            <w:top w:w="0" w:type="dxa"/>
            <w:left w:w="108" w:type="dxa"/>
            <w:bottom w:w="0" w:type="dxa"/>
            <w:right w:w="108" w:type="dxa"/>
          </w:tblCellMar>
        </w:tblPrEx>
        <w:trPr>
          <w:trHeight w:val="90" w:hRule="atLeast"/>
        </w:trPr>
        <w:tc>
          <w:tcPr>
            <w:tcW w:w="954" w:type="dxa"/>
            <w:tcBorders>
              <w:top w:val="single" w:color="auto" w:sz="4" w:space="0"/>
              <w:left w:val="single" w:color="auto" w:sz="4" w:space="0"/>
              <w:bottom w:val="single" w:color="auto" w:sz="4" w:space="0"/>
              <w:right w:val="single" w:color="auto" w:sz="4" w:space="0"/>
            </w:tcBorders>
            <w:vAlign w:val="center"/>
          </w:tcPr>
          <w:p w14:paraId="756586D4">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155B746">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jc w:val="both"/>
              <w:textAlignment w:val="auto"/>
              <w:rPr>
                <w:rFonts w:hint="eastAsia" w:ascii="宋体" w:hAnsi="宋体" w:eastAsia="宋体" w:cs="宋体"/>
                <w:strike w:val="0"/>
                <w:color w:val="auto"/>
                <w:sz w:val="21"/>
                <w:szCs w:val="21"/>
                <w:highlight w:val="none"/>
              </w:rPr>
            </w:pPr>
            <w:r>
              <w:rPr>
                <w:rFonts w:hint="eastAsia" w:ascii="宋体" w:hAnsi="宋体" w:cs="Times New Roman"/>
                <w:color w:val="auto"/>
                <w:szCs w:val="21"/>
                <w:highlight w:val="none"/>
              </w:rPr>
              <w:t>是否要求投标人同时递交投标文件电子版</w:t>
            </w:r>
          </w:p>
        </w:tc>
        <w:tc>
          <w:tcPr>
            <w:tcW w:w="7003" w:type="dxa"/>
            <w:tcBorders>
              <w:top w:val="single" w:color="auto" w:sz="4" w:space="0"/>
              <w:left w:val="single" w:color="auto" w:sz="4" w:space="0"/>
              <w:bottom w:val="single" w:color="auto" w:sz="4" w:space="0"/>
              <w:right w:val="single" w:color="auto" w:sz="4" w:space="0"/>
            </w:tcBorders>
            <w:vAlign w:val="center"/>
          </w:tcPr>
          <w:p w14:paraId="17A66CDB">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jc w:val="both"/>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□不要求</w:t>
            </w:r>
          </w:p>
          <w:p w14:paraId="51EC210C">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jc w:val="both"/>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☑要求，投标文件电子版内容：投标文件电子版须包含投标文件的所有内容，并提供投标文件正本签字盖章后的PDF格式电子文件。</w:t>
            </w:r>
          </w:p>
          <w:p w14:paraId="0E1B713F">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jc w:val="both"/>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投标文件电子版份数：</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份</w:t>
            </w:r>
          </w:p>
          <w:p w14:paraId="6DA521B8">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jc w:val="both"/>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投标文件电子版形式：以U盘为载体 </w:t>
            </w:r>
          </w:p>
          <w:p w14:paraId="6B07D268">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jc w:val="both"/>
              <w:textAlignment w:val="auto"/>
              <w:rPr>
                <w:rFonts w:hint="eastAsia" w:ascii="宋体" w:hAnsi="宋体" w:eastAsia="宋体" w:cs="宋体"/>
                <w:strike w:val="0"/>
                <w:color w:val="auto"/>
                <w:sz w:val="21"/>
                <w:szCs w:val="21"/>
                <w:highlight w:val="none"/>
                <w:bdr w:val="single" w:color="auto" w:sz="4" w:space="0"/>
              </w:rPr>
            </w:pPr>
            <w:r>
              <w:rPr>
                <w:rFonts w:hint="eastAsia" w:ascii="宋体" w:hAnsi="宋体" w:eastAsia="宋体" w:cs="Times New Roman"/>
                <w:color w:val="auto"/>
                <w:szCs w:val="21"/>
                <w:highlight w:val="none"/>
              </w:rPr>
              <w:t>注：投标人未按规定提供电子版投标文件的，将作为废标处理。</w:t>
            </w:r>
          </w:p>
        </w:tc>
      </w:tr>
      <w:tr w14:paraId="65BB9EAB">
        <w:tblPrEx>
          <w:tblCellMar>
            <w:top w:w="0" w:type="dxa"/>
            <w:left w:w="108" w:type="dxa"/>
            <w:bottom w:w="0" w:type="dxa"/>
            <w:right w:w="108" w:type="dxa"/>
          </w:tblCellMar>
        </w:tblPrEx>
        <w:trPr>
          <w:trHeight w:val="267" w:hRule="atLeast"/>
        </w:trPr>
        <w:tc>
          <w:tcPr>
            <w:tcW w:w="954" w:type="dxa"/>
            <w:tcBorders>
              <w:top w:val="single" w:color="auto" w:sz="4" w:space="0"/>
              <w:left w:val="single" w:color="auto" w:sz="4" w:space="0"/>
              <w:bottom w:val="single" w:color="auto" w:sz="4" w:space="0"/>
              <w:right w:val="single" w:color="auto" w:sz="4" w:space="0"/>
            </w:tcBorders>
            <w:vAlign w:val="center"/>
          </w:tcPr>
          <w:p w14:paraId="322574E5">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10.3</w:t>
            </w: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599C8E38">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知识产权</w:t>
            </w:r>
          </w:p>
        </w:tc>
      </w:tr>
      <w:tr w14:paraId="097E1AD5">
        <w:tblPrEx>
          <w:tblCellMar>
            <w:top w:w="0" w:type="dxa"/>
            <w:left w:w="108" w:type="dxa"/>
            <w:bottom w:w="0" w:type="dxa"/>
            <w:right w:w="108" w:type="dxa"/>
          </w:tblCellMar>
        </w:tblPrEx>
        <w:trPr>
          <w:trHeight w:val="372" w:hRule="atLeast"/>
        </w:trPr>
        <w:tc>
          <w:tcPr>
            <w:tcW w:w="954" w:type="dxa"/>
            <w:tcBorders>
              <w:top w:val="single" w:color="auto" w:sz="4" w:space="0"/>
              <w:left w:val="single" w:color="auto" w:sz="4" w:space="0"/>
              <w:bottom w:val="single" w:color="auto" w:sz="4" w:space="0"/>
              <w:right w:val="single" w:color="auto" w:sz="4" w:space="0"/>
            </w:tcBorders>
            <w:vAlign w:val="center"/>
          </w:tcPr>
          <w:p w14:paraId="7D826718">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55229A4C">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01C5E776">
        <w:tblPrEx>
          <w:tblCellMar>
            <w:top w:w="0" w:type="dxa"/>
            <w:left w:w="108" w:type="dxa"/>
            <w:bottom w:w="0" w:type="dxa"/>
            <w:right w:w="108" w:type="dxa"/>
          </w:tblCellMar>
        </w:tblPrEx>
        <w:trPr>
          <w:trHeight w:val="267" w:hRule="atLeast"/>
        </w:trPr>
        <w:tc>
          <w:tcPr>
            <w:tcW w:w="954" w:type="dxa"/>
            <w:tcBorders>
              <w:top w:val="single" w:color="auto" w:sz="4" w:space="0"/>
              <w:left w:val="single" w:color="auto" w:sz="4" w:space="0"/>
              <w:bottom w:val="single" w:color="auto" w:sz="4" w:space="0"/>
              <w:right w:val="single" w:color="auto" w:sz="4" w:space="0"/>
            </w:tcBorders>
            <w:vAlign w:val="center"/>
          </w:tcPr>
          <w:p w14:paraId="7F557335">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10.4</w:t>
            </w: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2DDDBAB5">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同义词语</w:t>
            </w:r>
          </w:p>
        </w:tc>
      </w:tr>
      <w:tr w14:paraId="742CC658">
        <w:tblPrEx>
          <w:tblCellMar>
            <w:top w:w="0" w:type="dxa"/>
            <w:left w:w="108" w:type="dxa"/>
            <w:bottom w:w="0" w:type="dxa"/>
            <w:right w:w="108" w:type="dxa"/>
          </w:tblCellMar>
        </w:tblPrEx>
        <w:trPr>
          <w:trHeight w:val="372" w:hRule="atLeast"/>
        </w:trPr>
        <w:tc>
          <w:tcPr>
            <w:tcW w:w="954" w:type="dxa"/>
            <w:tcBorders>
              <w:top w:val="single" w:color="auto" w:sz="4" w:space="0"/>
              <w:left w:val="single" w:color="auto" w:sz="4" w:space="0"/>
              <w:bottom w:val="single" w:color="auto" w:sz="4" w:space="0"/>
              <w:right w:val="single" w:color="auto" w:sz="4" w:space="0"/>
            </w:tcBorders>
            <w:vAlign w:val="center"/>
          </w:tcPr>
          <w:p w14:paraId="5B56F3D8">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5D3261EE">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构成招标文件组成部分的“合同条款及格式”“</w:t>
            </w:r>
            <w:r>
              <w:rPr>
                <w:rFonts w:hint="eastAsia" w:ascii="宋体" w:hAnsi="宋体" w:eastAsia="宋体" w:cs="宋体"/>
                <w:strike w:val="0"/>
                <w:color w:val="auto"/>
                <w:sz w:val="21"/>
                <w:szCs w:val="21"/>
                <w:highlight w:val="none"/>
                <w:lang w:eastAsia="zh-CN"/>
              </w:rPr>
              <w:t>造价咨询</w:t>
            </w:r>
            <w:r>
              <w:rPr>
                <w:rFonts w:hint="eastAsia" w:ascii="宋体" w:hAnsi="宋体" w:eastAsia="宋体" w:cs="宋体"/>
                <w:strike w:val="0"/>
                <w:color w:val="auto"/>
                <w:sz w:val="21"/>
                <w:szCs w:val="21"/>
                <w:highlight w:val="none"/>
              </w:rPr>
              <w:t>规范和技术要求”和“图纸和资料”等章节中出现的措辞“建设单位”、“委托人（发包人）”、“受托人（审图机构）”和“项目负责人及其他专业</w:t>
            </w:r>
            <w:r>
              <w:rPr>
                <w:rFonts w:hint="eastAsia" w:ascii="宋体" w:hAnsi="宋体" w:eastAsia="宋体" w:cs="宋体"/>
                <w:strike w:val="0"/>
                <w:color w:val="auto"/>
                <w:sz w:val="21"/>
                <w:szCs w:val="21"/>
                <w:highlight w:val="none"/>
                <w:lang w:eastAsia="zh-CN"/>
              </w:rPr>
              <w:t>造价咨询人员</w:t>
            </w:r>
            <w:r>
              <w:rPr>
                <w:rFonts w:hint="eastAsia" w:ascii="宋体" w:hAnsi="宋体" w:eastAsia="宋体" w:cs="宋体"/>
                <w:strike w:val="0"/>
                <w:color w:val="auto"/>
                <w:sz w:val="21"/>
                <w:szCs w:val="21"/>
                <w:highlight w:val="none"/>
              </w:rPr>
              <w:t>”，在招标投标阶段应当分别按“出资人”、“招标人”、“投标人”和“项目管理人员”进行理解。</w:t>
            </w:r>
          </w:p>
        </w:tc>
      </w:tr>
      <w:tr w14:paraId="4AF90992">
        <w:tblPrEx>
          <w:tblCellMar>
            <w:top w:w="0" w:type="dxa"/>
            <w:left w:w="108" w:type="dxa"/>
            <w:bottom w:w="0" w:type="dxa"/>
            <w:right w:w="108" w:type="dxa"/>
          </w:tblCellMar>
        </w:tblPrEx>
        <w:trPr>
          <w:trHeight w:val="267" w:hRule="atLeast"/>
        </w:trPr>
        <w:tc>
          <w:tcPr>
            <w:tcW w:w="954" w:type="dxa"/>
            <w:tcBorders>
              <w:top w:val="single" w:color="auto" w:sz="4" w:space="0"/>
              <w:left w:val="single" w:color="auto" w:sz="4" w:space="0"/>
              <w:bottom w:val="single" w:color="auto" w:sz="4" w:space="0"/>
              <w:right w:val="single" w:color="auto" w:sz="4" w:space="0"/>
            </w:tcBorders>
            <w:vAlign w:val="center"/>
          </w:tcPr>
          <w:p w14:paraId="4BE9C352">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10.5</w:t>
            </w: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7C0C3480">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监督</w:t>
            </w:r>
          </w:p>
        </w:tc>
      </w:tr>
      <w:tr w14:paraId="4D4AF173">
        <w:tblPrEx>
          <w:tblCellMar>
            <w:top w:w="0" w:type="dxa"/>
            <w:left w:w="108" w:type="dxa"/>
            <w:bottom w:w="0" w:type="dxa"/>
            <w:right w:w="108" w:type="dxa"/>
          </w:tblCellMar>
        </w:tblPrEx>
        <w:trPr>
          <w:trHeight w:val="372" w:hRule="atLeast"/>
        </w:trPr>
        <w:tc>
          <w:tcPr>
            <w:tcW w:w="954" w:type="dxa"/>
            <w:tcBorders>
              <w:top w:val="single" w:color="auto" w:sz="4" w:space="0"/>
              <w:left w:val="single" w:color="auto" w:sz="4" w:space="0"/>
              <w:bottom w:val="single" w:color="auto" w:sz="4" w:space="0"/>
              <w:right w:val="single" w:color="auto" w:sz="4" w:space="0"/>
            </w:tcBorders>
            <w:vAlign w:val="center"/>
          </w:tcPr>
          <w:p w14:paraId="5834C3FA">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56450268">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本招标项目的招标投标活动及其相关当事人应当接受有管辖权的政务服务和数据管理部门以及行业主管部门依法实施的监督。</w:t>
            </w:r>
          </w:p>
        </w:tc>
      </w:tr>
      <w:tr w14:paraId="7A67909F">
        <w:tblPrEx>
          <w:tblCellMar>
            <w:top w:w="0" w:type="dxa"/>
            <w:left w:w="108" w:type="dxa"/>
            <w:bottom w:w="0" w:type="dxa"/>
            <w:right w:w="108" w:type="dxa"/>
          </w:tblCellMar>
        </w:tblPrEx>
        <w:trPr>
          <w:trHeight w:val="230" w:hRule="atLeast"/>
        </w:trPr>
        <w:tc>
          <w:tcPr>
            <w:tcW w:w="954" w:type="dxa"/>
            <w:tcBorders>
              <w:top w:val="single" w:color="auto" w:sz="4" w:space="0"/>
              <w:left w:val="single" w:color="auto" w:sz="4" w:space="0"/>
              <w:bottom w:val="single" w:color="auto" w:sz="4" w:space="0"/>
              <w:right w:val="single" w:color="auto" w:sz="4" w:space="0"/>
            </w:tcBorders>
            <w:vAlign w:val="center"/>
          </w:tcPr>
          <w:p w14:paraId="151A625B">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10.6</w:t>
            </w: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01B8133A">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解释权</w:t>
            </w:r>
          </w:p>
        </w:tc>
      </w:tr>
      <w:tr w14:paraId="0D636247">
        <w:tblPrEx>
          <w:tblCellMar>
            <w:top w:w="0" w:type="dxa"/>
            <w:left w:w="108" w:type="dxa"/>
            <w:bottom w:w="0" w:type="dxa"/>
            <w:right w:w="108" w:type="dxa"/>
          </w:tblCellMar>
        </w:tblPrEx>
        <w:trPr>
          <w:trHeight w:val="98" w:hRule="atLeast"/>
        </w:trPr>
        <w:tc>
          <w:tcPr>
            <w:tcW w:w="954" w:type="dxa"/>
            <w:tcBorders>
              <w:top w:val="single" w:color="auto" w:sz="4" w:space="0"/>
              <w:left w:val="single" w:color="auto" w:sz="4" w:space="0"/>
              <w:bottom w:val="single" w:color="auto" w:sz="4" w:space="0"/>
              <w:right w:val="single" w:color="auto" w:sz="4" w:space="0"/>
            </w:tcBorders>
            <w:vAlign w:val="center"/>
          </w:tcPr>
          <w:p w14:paraId="47160C4A">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2AABA759">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w:t>
            </w:r>
            <w:r>
              <w:rPr>
                <w:rFonts w:hint="eastAsia" w:ascii="宋体" w:hAnsi="宋体" w:cs="宋体"/>
                <w:strike w:val="0"/>
                <w:color w:val="auto"/>
                <w:sz w:val="21"/>
                <w:szCs w:val="21"/>
                <w:highlight w:val="none"/>
                <w:lang w:eastAsia="zh-CN"/>
              </w:rPr>
              <w:t>招标公告</w:t>
            </w:r>
            <w:r>
              <w:rPr>
                <w:rFonts w:hint="eastAsia" w:ascii="宋体" w:hAnsi="宋体" w:eastAsia="宋体" w:cs="宋体"/>
                <w:strike w:val="0"/>
                <w:color w:val="auto"/>
                <w:sz w:val="21"/>
                <w:szCs w:val="21"/>
                <w:highlight w:val="none"/>
              </w:rPr>
              <w:t>、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3DD39728">
        <w:tblPrEx>
          <w:tblCellMar>
            <w:top w:w="0" w:type="dxa"/>
            <w:left w:w="108" w:type="dxa"/>
            <w:bottom w:w="0" w:type="dxa"/>
            <w:right w:w="108" w:type="dxa"/>
          </w:tblCellMar>
        </w:tblPrEx>
        <w:trPr>
          <w:trHeight w:val="238" w:hRule="atLeast"/>
        </w:trPr>
        <w:tc>
          <w:tcPr>
            <w:tcW w:w="954" w:type="dxa"/>
            <w:tcBorders>
              <w:top w:val="single" w:color="auto" w:sz="4" w:space="0"/>
              <w:left w:val="single" w:color="auto" w:sz="4" w:space="0"/>
              <w:bottom w:val="single" w:color="auto" w:sz="4" w:space="0"/>
              <w:right w:val="single" w:color="auto" w:sz="4" w:space="0"/>
            </w:tcBorders>
            <w:vAlign w:val="center"/>
          </w:tcPr>
          <w:p w14:paraId="285348A7">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10.7</w:t>
            </w: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4634A875">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lang w:eastAsia="zh-CN"/>
              </w:rPr>
              <w:t>预算复审造价咨询服务费</w:t>
            </w:r>
            <w:r>
              <w:rPr>
                <w:rFonts w:hint="eastAsia" w:ascii="宋体" w:hAnsi="宋体" w:eastAsia="宋体" w:cs="宋体"/>
                <w:strike w:val="0"/>
                <w:color w:val="auto"/>
                <w:sz w:val="21"/>
                <w:szCs w:val="21"/>
                <w:highlight w:val="none"/>
              </w:rPr>
              <w:t>拨付方式</w:t>
            </w:r>
          </w:p>
        </w:tc>
      </w:tr>
      <w:tr w14:paraId="753EA0AC">
        <w:tblPrEx>
          <w:tblCellMar>
            <w:top w:w="0" w:type="dxa"/>
            <w:left w:w="108" w:type="dxa"/>
            <w:bottom w:w="0" w:type="dxa"/>
            <w:right w:w="108" w:type="dxa"/>
          </w:tblCellMar>
        </w:tblPrEx>
        <w:trPr>
          <w:trHeight w:val="423" w:hRule="atLeast"/>
        </w:trPr>
        <w:tc>
          <w:tcPr>
            <w:tcW w:w="954" w:type="dxa"/>
            <w:tcBorders>
              <w:top w:val="single" w:color="auto" w:sz="4" w:space="0"/>
              <w:left w:val="single" w:color="auto" w:sz="4" w:space="0"/>
              <w:bottom w:val="single" w:color="auto" w:sz="4" w:space="0"/>
              <w:right w:val="single" w:color="auto" w:sz="4" w:space="0"/>
            </w:tcBorders>
            <w:vAlign w:val="center"/>
          </w:tcPr>
          <w:p w14:paraId="6052C218">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13B5755F">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1.首付款在合同签订后</w:t>
            </w:r>
            <w:r>
              <w:rPr>
                <w:rFonts w:hint="eastAsia" w:ascii="宋体" w:hAnsi="宋体" w:eastAsia="宋体" w:cs="宋体"/>
                <w:strike w:val="0"/>
                <w:color w:val="auto"/>
                <w:sz w:val="21"/>
                <w:szCs w:val="21"/>
                <w:highlight w:val="none"/>
                <w:u w:val="single"/>
              </w:rPr>
              <w:t xml:space="preserve">    </w:t>
            </w:r>
            <w:r>
              <w:rPr>
                <w:rFonts w:hint="eastAsia" w:ascii="宋体" w:hAnsi="宋体" w:eastAsia="宋体" w:cs="宋体"/>
                <w:strike w:val="0"/>
                <w:color w:val="auto"/>
                <w:sz w:val="21"/>
                <w:szCs w:val="21"/>
                <w:highlight w:val="none"/>
              </w:rPr>
              <w:t>日内按合同总价款的</w:t>
            </w:r>
            <w:r>
              <w:rPr>
                <w:rFonts w:hint="eastAsia" w:ascii="宋体" w:hAnsi="宋体" w:eastAsia="宋体" w:cs="宋体"/>
                <w:strike w:val="0"/>
                <w:color w:val="auto"/>
                <w:sz w:val="21"/>
                <w:szCs w:val="21"/>
                <w:highlight w:val="none"/>
                <w:u w:val="single"/>
              </w:rPr>
              <w:t xml:space="preserve">      </w:t>
            </w:r>
            <w:r>
              <w:rPr>
                <w:rFonts w:hint="eastAsia" w:ascii="宋体" w:hAnsi="宋体" w:eastAsia="宋体" w:cs="宋体"/>
                <w:strike w:val="0"/>
                <w:color w:val="auto"/>
                <w:sz w:val="21"/>
                <w:szCs w:val="21"/>
                <w:highlight w:val="none"/>
              </w:rPr>
              <w:t>%支付。</w:t>
            </w:r>
          </w:p>
          <w:p w14:paraId="4C66008A">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2.进度款结算与支付方式：</w:t>
            </w:r>
          </w:p>
          <w:p w14:paraId="4C2C1C2E">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□按月结算与支付，具体为：</w:t>
            </w:r>
          </w:p>
          <w:p w14:paraId="1AD454E8">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□按形象进度分段结算与支付，具体为：</w:t>
            </w:r>
          </w:p>
          <w:p w14:paraId="56915ECB">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b/>
                <w:strike w:val="0"/>
                <w:color w:val="auto"/>
                <w:sz w:val="21"/>
                <w:szCs w:val="21"/>
                <w:highlight w:val="none"/>
              </w:rPr>
            </w:pPr>
            <w:r>
              <w:rPr>
                <w:rFonts w:hint="eastAsia" w:ascii="宋体" w:hAnsi="宋体" w:eastAsia="宋体" w:cs="宋体"/>
                <w:strike w:val="0"/>
                <w:color w:val="auto"/>
                <w:sz w:val="21"/>
                <w:szCs w:val="21"/>
                <w:highlight w:val="none"/>
              </w:rPr>
              <w:t>☑其他结算与</w:t>
            </w:r>
            <w:r>
              <w:rPr>
                <w:rFonts w:hint="eastAsia" w:ascii="宋体" w:hAnsi="宋体" w:eastAsia="宋体" w:cs="宋体"/>
                <w:bCs/>
                <w:strike w:val="0"/>
                <w:color w:val="auto"/>
                <w:sz w:val="21"/>
                <w:szCs w:val="21"/>
                <w:highlight w:val="none"/>
              </w:rPr>
              <w:t>支付</w:t>
            </w:r>
            <w:r>
              <w:rPr>
                <w:rFonts w:hint="eastAsia" w:ascii="宋体" w:hAnsi="宋体" w:eastAsia="宋体" w:cs="宋体"/>
                <w:strike w:val="0"/>
                <w:color w:val="auto"/>
                <w:sz w:val="21"/>
                <w:szCs w:val="21"/>
                <w:highlight w:val="none"/>
              </w:rPr>
              <w:t>方式：详见第五章“合同条款及格式”。</w:t>
            </w:r>
          </w:p>
        </w:tc>
      </w:tr>
      <w:tr w14:paraId="43EE8BA6">
        <w:tblPrEx>
          <w:tblCellMar>
            <w:top w:w="0" w:type="dxa"/>
            <w:left w:w="108" w:type="dxa"/>
            <w:bottom w:w="0" w:type="dxa"/>
            <w:right w:w="108" w:type="dxa"/>
          </w:tblCellMar>
        </w:tblPrEx>
        <w:trPr>
          <w:trHeight w:val="650" w:hRule="atLeast"/>
        </w:trPr>
        <w:tc>
          <w:tcPr>
            <w:tcW w:w="954" w:type="dxa"/>
            <w:tcBorders>
              <w:top w:val="single" w:color="auto" w:sz="4" w:space="0"/>
              <w:left w:val="single" w:color="auto" w:sz="4" w:space="0"/>
              <w:bottom w:val="single" w:color="auto" w:sz="4" w:space="0"/>
              <w:right w:val="single" w:color="auto" w:sz="4" w:space="0"/>
            </w:tcBorders>
            <w:vAlign w:val="center"/>
          </w:tcPr>
          <w:p w14:paraId="387F3AB9">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10.8</w:t>
            </w: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386945FC">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经济标评审优惠政策（仅适用于招标人为国家机关、事业单位、团体组织，且使用财政性资金开展的依法必须招标项目）</w:t>
            </w:r>
          </w:p>
          <w:p w14:paraId="67BEEA17">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□本招标项目执行经济标评审优惠政策</w:t>
            </w:r>
          </w:p>
          <w:p w14:paraId="1E010419">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☑本招标项目不执行经济标评审优惠政策</w:t>
            </w:r>
          </w:p>
          <w:p w14:paraId="20AF4535">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b/>
                <w:bCs/>
                <w:strike w:val="0"/>
                <w:color w:val="auto"/>
                <w:sz w:val="21"/>
                <w:szCs w:val="21"/>
                <w:highlight w:val="none"/>
              </w:rPr>
            </w:pPr>
            <w:r>
              <w:rPr>
                <w:rFonts w:hint="eastAsia" w:ascii="宋体" w:hAnsi="宋体" w:eastAsia="宋体" w:cs="宋体"/>
                <w:b/>
                <w:bCs/>
                <w:strike w:val="0"/>
                <w:color w:val="auto"/>
                <w:sz w:val="21"/>
                <w:szCs w:val="21"/>
                <w:highlight w:val="none"/>
              </w:rPr>
              <w:t>注：1.符合经济标评审优惠政策条件的，应当执行该政策；不符合经济标评审优惠政策条件的，不得执行该政策。</w:t>
            </w:r>
          </w:p>
          <w:p w14:paraId="36199E97">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2.财政性资金是指纳入预算管理的资金，以财政性资金作为还款来源的借贷资金，视同财政性资金。</w:t>
            </w:r>
          </w:p>
          <w:p w14:paraId="2A30005C">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3.若本招标项目执行经济标评审优惠政策，当投标人为大中型企业与小微企业组成联合体，联合协议约定小微企业的合同份额占到合同总金额30%以上，应附联合协议书对该内容进行明确。</w:t>
            </w:r>
          </w:p>
          <w:p w14:paraId="63FC2060">
            <w:pPr>
              <w:keepNext w:val="0"/>
              <w:keepLines w:val="0"/>
              <w:pageBreakBefore w:val="0"/>
              <w:widowControl w:val="0"/>
              <w:numPr>
                <w:ilvl w:val="255"/>
                <w:numId w:val="0"/>
              </w:numPr>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若本招标项目执行经济标评审优惠政策，当允许大中型企业向一家或者多家小微企业分包，且分包承诺小微企业的合同份额占到合同总金额30%以上的，应附分包意向协议对该内容进行明确。</w:t>
            </w:r>
          </w:p>
        </w:tc>
      </w:tr>
      <w:tr w14:paraId="4843A4E3">
        <w:tblPrEx>
          <w:tblCellMar>
            <w:top w:w="0" w:type="dxa"/>
            <w:left w:w="108" w:type="dxa"/>
            <w:bottom w:w="0" w:type="dxa"/>
            <w:right w:w="108" w:type="dxa"/>
          </w:tblCellMar>
        </w:tblPrEx>
        <w:trPr>
          <w:trHeight w:val="650" w:hRule="atLeast"/>
        </w:trPr>
        <w:tc>
          <w:tcPr>
            <w:tcW w:w="954" w:type="dxa"/>
            <w:tcBorders>
              <w:top w:val="single" w:color="auto" w:sz="4" w:space="0"/>
              <w:left w:val="single" w:color="auto" w:sz="4" w:space="0"/>
              <w:bottom w:val="single" w:color="auto" w:sz="4" w:space="0"/>
              <w:right w:val="single" w:color="auto" w:sz="4" w:space="0"/>
            </w:tcBorders>
            <w:vAlign w:val="center"/>
          </w:tcPr>
          <w:p w14:paraId="32BED96F">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32D1D1A0">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bCs/>
                <w:strike w:val="0"/>
                <w:color w:val="auto"/>
                <w:sz w:val="21"/>
                <w:szCs w:val="21"/>
                <w:highlight w:val="none"/>
              </w:rPr>
            </w:pPr>
            <w:r>
              <w:rPr>
                <w:rFonts w:hint="eastAsia" w:ascii="宋体" w:hAnsi="宋体" w:eastAsia="宋体" w:cs="宋体"/>
                <w:bCs/>
                <w:strike w:val="0"/>
                <w:color w:val="auto"/>
                <w:sz w:val="21"/>
                <w:szCs w:val="21"/>
                <w:highlight w:val="none"/>
              </w:rPr>
              <w:t>1.根据《广东省政府采购促进中小企业发展实施细则（试行）》要求，对符合《政府采购促进中小企业发展管理办法》的小微企业投标人，给予相应的价格评审优惠。</w:t>
            </w:r>
          </w:p>
          <w:p w14:paraId="03E23E81">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bCs/>
                <w:strike w:val="0"/>
                <w:color w:val="auto"/>
                <w:sz w:val="21"/>
                <w:szCs w:val="21"/>
                <w:highlight w:val="none"/>
              </w:rPr>
            </w:pPr>
            <w:r>
              <w:rPr>
                <w:rFonts w:hint="eastAsia" w:ascii="宋体" w:hAnsi="宋体" w:eastAsia="宋体" w:cs="宋体"/>
                <w:bCs/>
                <w:strike w:val="0"/>
                <w:color w:val="auto"/>
                <w:sz w:val="21"/>
                <w:szCs w:val="21"/>
                <w:highlight w:val="none"/>
              </w:rPr>
              <w:t>2.本招标项目评标计算价格分时，对小微企业投标的，在采用原报价进行评分的基础上增加其价格得分的5%作为其价格分；对大中型企业与小微企业组成联合体或者允许大中型企业向一家或者多家小微企业分包（联合协议或者分包意向协议约定小微企业的合同份额占到合同总金额30%以上）的，在采用原报价进行评分的基础上增加其价格得分的2%作为其价格分。若原报价已满分，仍可突破满分上限继续享受加分优惠，以实际计算结果作为最终价格分。</w:t>
            </w:r>
          </w:p>
          <w:p w14:paraId="479165B6">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bCs/>
                <w:strike w:val="0"/>
                <w:color w:val="auto"/>
                <w:sz w:val="21"/>
                <w:szCs w:val="21"/>
                <w:highlight w:val="none"/>
              </w:rPr>
            </w:pPr>
            <w:r>
              <w:rPr>
                <w:rFonts w:hint="eastAsia" w:ascii="宋体" w:hAnsi="宋体" w:eastAsia="宋体" w:cs="宋体"/>
                <w:bCs/>
                <w:strike w:val="0"/>
                <w:color w:val="auto"/>
                <w:sz w:val="21"/>
                <w:szCs w:val="21"/>
                <w:highlight w:val="none"/>
              </w:rPr>
              <w:t>3.投标人应按《政府采购促进中小企业发展管理办法》规定出具《中小企业声明函》（格式详见第八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5A714BEB">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bCs/>
                <w:strike w:val="0"/>
                <w:color w:val="auto"/>
                <w:sz w:val="21"/>
                <w:szCs w:val="21"/>
                <w:highlight w:val="none"/>
              </w:rPr>
            </w:pPr>
            <w:r>
              <w:rPr>
                <w:rFonts w:hint="eastAsia" w:ascii="宋体" w:hAnsi="宋体" w:eastAsia="宋体" w:cs="宋体"/>
                <w:bCs/>
                <w:strike w:val="0"/>
                <w:color w:val="auto"/>
                <w:sz w:val="21"/>
                <w:szCs w:val="21"/>
                <w:highlight w:val="none"/>
              </w:rPr>
              <w:t>4.小微企业划分标准按照《工业和信息化部 国家统计局 国家发展和改革委员会 财政部关于印发中小企业划型标准规定的通知》（工信部联企业〔2011〕300号）执行。本招标项目属于其他未列明行业，从业人员300人以下的为中小微型企业。其中，从业人员100人及以上的为中型企业；从业人员10人及以上的为小型企业；从业人员10人以下的为微型企业。</w:t>
            </w:r>
          </w:p>
          <w:p w14:paraId="62EA9D1B">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bCs/>
                <w:strike w:val="0"/>
                <w:color w:val="auto"/>
                <w:sz w:val="21"/>
                <w:szCs w:val="21"/>
                <w:highlight w:val="none"/>
              </w:rPr>
            </w:pPr>
            <w:r>
              <w:rPr>
                <w:rFonts w:hint="eastAsia" w:ascii="宋体" w:hAnsi="宋体" w:eastAsia="宋体" w:cs="宋体"/>
                <w:bCs/>
                <w:strike w:val="0"/>
                <w:color w:val="auto"/>
                <w:sz w:val="21"/>
                <w:szCs w:val="21"/>
                <w:highlight w:val="none"/>
              </w:rPr>
              <w:t>注：（1）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w:t>
            </w:r>
          </w:p>
          <w:p w14:paraId="4E4F53A3">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bCs/>
                <w:strike w:val="0"/>
                <w:color w:val="auto"/>
                <w:sz w:val="21"/>
                <w:szCs w:val="21"/>
                <w:highlight w:val="none"/>
              </w:rPr>
            </w:pPr>
            <w:r>
              <w:rPr>
                <w:rFonts w:hint="eastAsia" w:ascii="宋体" w:hAnsi="宋体" w:eastAsia="宋体" w:cs="宋体"/>
                <w:bCs/>
                <w:strike w:val="0"/>
                <w:color w:val="auto"/>
                <w:sz w:val="21"/>
                <w:szCs w:val="21"/>
                <w:highlight w:val="none"/>
              </w:rPr>
              <w:t>（2）组成联合体或者接受分包合同的小微企业与联合体内其他企业、分包企业之间存在直接控股、管理关系的，不享受价格评分优惠。</w:t>
            </w:r>
          </w:p>
          <w:p w14:paraId="678A766D">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bCs/>
                <w:strike w:val="0"/>
                <w:color w:val="auto"/>
                <w:sz w:val="21"/>
                <w:szCs w:val="21"/>
                <w:highlight w:val="none"/>
              </w:rPr>
            </w:pPr>
            <w:r>
              <w:rPr>
                <w:rFonts w:hint="eastAsia" w:ascii="宋体" w:hAnsi="宋体" w:eastAsia="宋体" w:cs="宋体"/>
                <w:bCs/>
                <w:strike w:val="0"/>
                <w:color w:val="auto"/>
                <w:sz w:val="21"/>
                <w:szCs w:val="21"/>
                <w:highlight w:val="none"/>
              </w:rPr>
              <w:t>（3）公示期间如有异议投诉的，被异议投诉单位需提供注册登记所在地的县级以上人民政府中小企业主管部门认定函。</w:t>
            </w:r>
          </w:p>
        </w:tc>
      </w:tr>
      <w:tr w14:paraId="0C4E0D59">
        <w:tblPrEx>
          <w:tblCellMar>
            <w:top w:w="0" w:type="dxa"/>
            <w:left w:w="108" w:type="dxa"/>
            <w:bottom w:w="0" w:type="dxa"/>
            <w:right w:w="108" w:type="dxa"/>
          </w:tblCellMar>
        </w:tblPrEx>
        <w:trPr>
          <w:trHeight w:val="227"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6A243DDB">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10.9</w:t>
            </w:r>
          </w:p>
        </w:tc>
        <w:tc>
          <w:tcPr>
            <w:tcW w:w="89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87A0AB">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b/>
                <w:strike w:val="0"/>
                <w:color w:val="auto"/>
                <w:sz w:val="21"/>
                <w:szCs w:val="21"/>
                <w:highlight w:val="none"/>
              </w:rPr>
            </w:pPr>
            <w:r>
              <w:rPr>
                <w:rFonts w:hint="eastAsia" w:ascii="宋体" w:hAnsi="宋体" w:eastAsia="宋体" w:cs="宋体"/>
                <w:b/>
                <w:bCs/>
                <w:strike w:val="0"/>
                <w:color w:val="auto"/>
                <w:sz w:val="21"/>
                <w:szCs w:val="21"/>
                <w:highlight w:val="none"/>
              </w:rPr>
              <w:t>若财政部门对该工程结算实施投资评审的，最终结算审核金额以经财政部门审核结果为准。</w:t>
            </w:r>
          </w:p>
        </w:tc>
      </w:tr>
      <w:tr w14:paraId="4D935E46">
        <w:tblPrEx>
          <w:tblCellMar>
            <w:top w:w="0" w:type="dxa"/>
            <w:left w:w="108" w:type="dxa"/>
            <w:bottom w:w="0" w:type="dxa"/>
            <w:right w:w="108" w:type="dxa"/>
          </w:tblCellMar>
        </w:tblPrEx>
        <w:trPr>
          <w:trHeight w:val="227" w:hRule="atLeast"/>
        </w:trPr>
        <w:tc>
          <w:tcPr>
            <w:tcW w:w="954" w:type="dxa"/>
            <w:tcBorders>
              <w:top w:val="single" w:color="auto" w:sz="4" w:space="0"/>
              <w:left w:val="single" w:color="auto" w:sz="4" w:space="0"/>
              <w:bottom w:val="single" w:color="auto" w:sz="4" w:space="0"/>
              <w:right w:val="single" w:color="auto" w:sz="4" w:space="0"/>
            </w:tcBorders>
            <w:vAlign w:val="center"/>
          </w:tcPr>
          <w:p w14:paraId="4C6E4CB1">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10.10</w:t>
            </w: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63CFACB0">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对投标文件的评审以纸质投标文件提供的信息为准。</w:t>
            </w:r>
          </w:p>
        </w:tc>
      </w:tr>
      <w:tr w14:paraId="4A091E69">
        <w:tblPrEx>
          <w:tblCellMar>
            <w:top w:w="0" w:type="dxa"/>
            <w:left w:w="108" w:type="dxa"/>
            <w:bottom w:w="0" w:type="dxa"/>
            <w:right w:w="108" w:type="dxa"/>
          </w:tblCellMar>
        </w:tblPrEx>
        <w:trPr>
          <w:trHeight w:val="90" w:hRule="atLeast"/>
        </w:trPr>
        <w:tc>
          <w:tcPr>
            <w:tcW w:w="954" w:type="dxa"/>
            <w:tcBorders>
              <w:top w:val="single" w:color="auto" w:sz="4" w:space="0"/>
              <w:left w:val="single" w:color="auto" w:sz="4" w:space="0"/>
              <w:bottom w:val="single" w:color="auto" w:sz="4" w:space="0"/>
              <w:right w:val="single" w:color="auto" w:sz="4" w:space="0"/>
            </w:tcBorders>
            <w:vAlign w:val="center"/>
          </w:tcPr>
          <w:p w14:paraId="1EF8AFC6">
            <w:pPr>
              <w:pageBreakBefore w:val="0"/>
              <w:kinsoku/>
              <w:wordWrap/>
              <w:overflowPunct/>
              <w:topLinePunct w:val="0"/>
              <w:bidi w:val="0"/>
              <w:adjustRightInd/>
              <w:snapToGrid/>
              <w:spacing w:beforeLines="0" w:afterLines="0" w:line="360" w:lineRule="auto"/>
              <w:ind w:left="0" w:leftChars="0" w:right="0"/>
              <w:jc w:val="center"/>
              <w:textAlignment w:val="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10.11</w:t>
            </w:r>
          </w:p>
        </w:tc>
        <w:tc>
          <w:tcPr>
            <w:tcW w:w="8982" w:type="dxa"/>
            <w:gridSpan w:val="2"/>
            <w:tcBorders>
              <w:top w:val="single" w:color="auto" w:sz="4" w:space="0"/>
              <w:left w:val="single" w:color="auto" w:sz="4" w:space="0"/>
              <w:bottom w:val="single" w:color="auto" w:sz="4" w:space="0"/>
              <w:right w:val="single" w:color="auto" w:sz="4" w:space="0"/>
            </w:tcBorders>
            <w:vAlign w:val="center"/>
          </w:tcPr>
          <w:p w14:paraId="5297EE84">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10.11.1</w:t>
            </w:r>
            <w:r>
              <w:rPr>
                <w:rFonts w:hint="eastAsia" w:ascii="宋体" w:hAnsi="宋体" w:cs="Times New Roman"/>
                <w:color w:val="auto"/>
                <w:szCs w:val="21"/>
                <w:highlight w:val="none"/>
              </w:rPr>
              <w:t>关于本项目提供社保证明材料的补充说明（适用于本项目要求提供社保证明材料的条款要求）：</w:t>
            </w:r>
          </w:p>
          <w:p w14:paraId="55AEE562">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投标人的社保证明因所在地区社保查询的不同规定，如只能查询至查询日的上上月，不能提供规定社保区间的社保证明的，投标人如在投标文件中提供了投标人注册所在地（或分支机构注册所在地）政府部门的社保管理相应文件并加盖投标人公章，其所提供的社保可以按当地的文件要求相应顺推，否则不予认可。</w:t>
            </w:r>
          </w:p>
          <w:p w14:paraId="07BE5BCA">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（2）如相关部门发布通知可免除或缓缴社保费的，可不提供相应月份的社保证明，但须提供相关部门的公告通知文件（或网站公示截图或网页打印件）并加盖投标人公章，否则不予认可。</w:t>
            </w:r>
          </w:p>
          <w:p w14:paraId="34A1F27A">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jc w:val="both"/>
              <w:textAlignment w:val="auto"/>
              <w:rPr>
                <w:rFonts w:hint="eastAsia" w:ascii="宋体" w:hAnsi="宋体" w:eastAsia="宋体" w:cs="宋体"/>
                <w:strike w:val="0"/>
                <w:color w:val="auto"/>
                <w:sz w:val="21"/>
                <w:szCs w:val="21"/>
                <w:highlight w:val="none"/>
              </w:rPr>
            </w:pPr>
            <w:r>
              <w:rPr>
                <w:rFonts w:hint="eastAsia" w:ascii="宋体" w:hAnsi="宋体" w:cs="Times New Roman"/>
                <w:color w:val="auto"/>
                <w:szCs w:val="21"/>
                <w:highlight w:val="none"/>
                <w:lang w:val="en-US" w:eastAsia="zh-CN"/>
              </w:rPr>
              <w:t>10.11.2</w:t>
            </w:r>
            <w:r>
              <w:rPr>
                <w:rFonts w:hint="eastAsia" w:ascii="宋体" w:hAnsi="宋体" w:cs="Times New Roman"/>
                <w:color w:val="auto"/>
                <w:szCs w:val="21"/>
                <w:highlight w:val="none"/>
              </w:rPr>
              <w:t>本招标文件中所描述的“扫描件”或“原件的扫描件或原件扫描件”，可以是彩色扫描件或黑白扫描件，不影响投标有效性。</w:t>
            </w:r>
          </w:p>
        </w:tc>
      </w:tr>
    </w:tbl>
    <w:p w14:paraId="1C26DC6A">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注：（1）本表内容须与投标人须知正文对应条款的内容一起阅读理解，如有不一致且不互相解释的内容时，以本表内容为准。</w:t>
      </w:r>
    </w:p>
    <w:p w14:paraId="0E32E6F4">
      <w:pPr>
        <w:pStyle w:val="24"/>
        <w:pageBreakBefore w:val="0"/>
        <w:kinsoku/>
        <w:overflowPunct/>
        <w:bidi w:val="0"/>
        <w:spacing w:beforeLines="0" w:afterLines="0" w:line="360" w:lineRule="auto"/>
        <w:ind w:left="0" w:leftChars="0" w:right="0" w:firstLine="422" w:firstLineChars="200"/>
        <w:rPr>
          <w:rFonts w:hint="eastAsia" w:ascii="宋体" w:hAnsi="宋体" w:eastAsia="宋体" w:cs="宋体"/>
          <w:color w:val="auto"/>
          <w:sz w:val="24"/>
          <w:highlight w:val="none"/>
        </w:rPr>
      </w:pPr>
      <w:r>
        <w:rPr>
          <w:rFonts w:hint="eastAsia" w:ascii="宋体" w:hAnsi="宋体" w:eastAsia="宋体" w:cs="宋体"/>
          <w:bCs w:val="0"/>
          <w:color w:val="auto"/>
          <w:sz w:val="21"/>
          <w:szCs w:val="21"/>
          <w:highlight w:val="none"/>
        </w:rPr>
        <w:t>（2）对招标文件其余内容如需进行补充、删除或修改的，应统一写入投标人须知前附表，并注明是对招标文件何部分的何章何节何条款进行的补充 、删除或修改。</w:t>
      </w:r>
    </w:p>
    <w:p w14:paraId="10403E35">
      <w:pPr>
        <w:pStyle w:val="24"/>
        <w:keepNext/>
        <w:keepLines/>
        <w:pageBreakBefore w:val="0"/>
        <w:widowControl w:val="0"/>
        <w:kinsoku/>
        <w:wordWrap/>
        <w:overflowPunct/>
        <w:topLinePunct w:val="0"/>
        <w:autoSpaceDE/>
        <w:autoSpaceDN/>
        <w:bidi w:val="0"/>
        <w:adjustRightInd/>
        <w:snapToGrid/>
        <w:spacing w:beforeLines="0" w:afterLines="0" w:line="360" w:lineRule="auto"/>
        <w:ind w:left="0" w:leftChars="0" w:righ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4" w:name="_Toc437960985"/>
      <w:bookmarkStart w:id="75" w:name="_Toc21675"/>
      <w:bookmarkStart w:id="76" w:name="_Toc1236"/>
      <w:bookmarkStart w:id="77" w:name="_Toc179632546"/>
      <w:r>
        <w:rPr>
          <w:rFonts w:hint="eastAsia" w:ascii="宋体" w:hAnsi="宋体" w:eastAsia="宋体" w:cs="宋体"/>
          <w:color w:val="auto"/>
          <w:kern w:val="32"/>
          <w:szCs w:val="40"/>
          <w:highlight w:val="none"/>
        </w:rPr>
        <w:t>投标人须知正文</w:t>
      </w:r>
      <w:bookmarkEnd w:id="74"/>
      <w:bookmarkEnd w:id="75"/>
      <w:bookmarkEnd w:id="76"/>
    </w:p>
    <w:p w14:paraId="74E1D637">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bookmarkStart w:id="78" w:name="_Toc30002"/>
      <w:bookmarkStart w:id="79" w:name="_Toc437960986"/>
      <w:bookmarkStart w:id="80" w:name="_Toc32633"/>
      <w:r>
        <w:rPr>
          <w:rFonts w:hint="eastAsia" w:ascii="宋体" w:hAnsi="宋体" w:eastAsia="宋体" w:cs="宋体"/>
          <w:color w:val="auto"/>
          <w:sz w:val="22"/>
          <w:szCs w:val="22"/>
          <w:highlight w:val="none"/>
        </w:rPr>
        <w:t>1.总则</w:t>
      </w:r>
    </w:p>
    <w:p w14:paraId="5903377E">
      <w:pPr>
        <w:pStyle w:val="25"/>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工程概况</w:t>
      </w:r>
    </w:p>
    <w:p w14:paraId="44639B5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根据《中华人民共和国招标投标法》《中华人民共和国招标投标法实施条例》等有关法律、法规和规章的规定，本招标项目已具备招标条件，现进行招标。</w:t>
      </w:r>
    </w:p>
    <w:p w14:paraId="32573AAD">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招标人：见</w:t>
      </w:r>
      <w:r>
        <w:rPr>
          <w:rFonts w:hint="eastAsia" w:ascii="宋体" w:hAnsi="宋体" w:cs="宋体"/>
          <w:color w:val="auto"/>
          <w:szCs w:val="21"/>
          <w:highlight w:val="none"/>
          <w:lang w:eastAsia="zh-CN"/>
        </w:rPr>
        <w:t>招标公告</w:t>
      </w:r>
      <w:r>
        <w:rPr>
          <w:rFonts w:hint="eastAsia" w:ascii="宋体" w:hAnsi="宋体" w:eastAsia="宋体" w:cs="宋体"/>
          <w:color w:val="auto"/>
          <w:szCs w:val="21"/>
          <w:highlight w:val="none"/>
        </w:rPr>
        <w:t>。</w:t>
      </w:r>
    </w:p>
    <w:p w14:paraId="358B2045">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招标代理机构：见</w:t>
      </w:r>
      <w:r>
        <w:rPr>
          <w:rFonts w:hint="eastAsia" w:ascii="宋体" w:hAnsi="宋体" w:cs="宋体"/>
          <w:color w:val="auto"/>
          <w:szCs w:val="21"/>
          <w:highlight w:val="none"/>
          <w:lang w:eastAsia="zh-CN"/>
        </w:rPr>
        <w:t>招标公告</w:t>
      </w:r>
      <w:r>
        <w:rPr>
          <w:rFonts w:hint="eastAsia" w:ascii="宋体" w:hAnsi="宋体" w:eastAsia="宋体" w:cs="宋体"/>
          <w:color w:val="auto"/>
          <w:szCs w:val="21"/>
          <w:highlight w:val="none"/>
        </w:rPr>
        <w:t>。</w:t>
      </w:r>
    </w:p>
    <w:p w14:paraId="6A61B2C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 招标项目名称：见</w:t>
      </w:r>
      <w:r>
        <w:rPr>
          <w:rFonts w:hint="eastAsia" w:ascii="宋体" w:hAnsi="宋体" w:cs="宋体"/>
          <w:color w:val="auto"/>
          <w:szCs w:val="21"/>
          <w:highlight w:val="none"/>
          <w:lang w:eastAsia="zh-CN"/>
        </w:rPr>
        <w:t>招标公告</w:t>
      </w:r>
      <w:r>
        <w:rPr>
          <w:rFonts w:hint="eastAsia" w:ascii="宋体" w:hAnsi="宋体" w:eastAsia="宋体" w:cs="宋体"/>
          <w:color w:val="auto"/>
          <w:szCs w:val="21"/>
          <w:highlight w:val="none"/>
        </w:rPr>
        <w:t>。</w:t>
      </w:r>
    </w:p>
    <w:p w14:paraId="0259464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 招标项目建设地点：见</w:t>
      </w:r>
      <w:r>
        <w:rPr>
          <w:rFonts w:hint="eastAsia" w:ascii="宋体" w:hAnsi="宋体" w:cs="宋体"/>
          <w:color w:val="auto"/>
          <w:szCs w:val="21"/>
          <w:highlight w:val="none"/>
          <w:lang w:eastAsia="zh-CN"/>
        </w:rPr>
        <w:t>招标公告</w:t>
      </w:r>
      <w:r>
        <w:rPr>
          <w:rFonts w:hint="eastAsia" w:ascii="宋体" w:hAnsi="宋体" w:eastAsia="宋体" w:cs="宋体"/>
          <w:color w:val="auto"/>
          <w:szCs w:val="21"/>
          <w:highlight w:val="none"/>
        </w:rPr>
        <w:t>。</w:t>
      </w:r>
    </w:p>
    <w:p w14:paraId="6E0B6FC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 招标项目建设规模：见</w:t>
      </w:r>
      <w:r>
        <w:rPr>
          <w:rFonts w:hint="eastAsia" w:ascii="宋体" w:hAnsi="宋体" w:cs="宋体"/>
          <w:color w:val="auto"/>
          <w:szCs w:val="21"/>
          <w:highlight w:val="none"/>
          <w:lang w:eastAsia="zh-CN"/>
        </w:rPr>
        <w:t>招标公告</w:t>
      </w:r>
      <w:r>
        <w:rPr>
          <w:rFonts w:hint="eastAsia" w:ascii="宋体" w:hAnsi="宋体" w:eastAsia="宋体" w:cs="宋体"/>
          <w:color w:val="auto"/>
          <w:szCs w:val="21"/>
          <w:highlight w:val="none"/>
        </w:rPr>
        <w:t>。</w:t>
      </w:r>
    </w:p>
    <w:p w14:paraId="6B5EC011">
      <w:pPr>
        <w:pStyle w:val="189"/>
        <w:pageBreakBefore w:val="0"/>
        <w:kinsoku/>
        <w:overflowPunct/>
        <w:bidi w:val="0"/>
        <w:spacing w:beforeLines="0" w:afterLines="0" w:line="360" w:lineRule="auto"/>
        <w:ind w:left="0" w:leftChars="0" w:right="0" w:firstLine="562" w:firstLineChars="200"/>
        <w:rPr>
          <w:rFonts w:hint="eastAsia" w:ascii="宋体" w:hAnsi="宋体" w:eastAsia="宋体" w:cs="宋体"/>
          <w:b/>
          <w:bCs/>
          <w:color w:val="auto"/>
          <w:sz w:val="28"/>
          <w:szCs w:val="28"/>
          <w:highlight w:val="none"/>
        </w:rPr>
      </w:pPr>
    </w:p>
    <w:p w14:paraId="1276F067">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资金来源和落实情况</w:t>
      </w:r>
    </w:p>
    <w:p w14:paraId="79F897BB">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资金来源：见</w:t>
      </w:r>
      <w:r>
        <w:rPr>
          <w:rFonts w:hint="eastAsia" w:ascii="宋体" w:hAnsi="宋体" w:cs="宋体"/>
          <w:color w:val="auto"/>
          <w:szCs w:val="21"/>
          <w:highlight w:val="none"/>
          <w:lang w:eastAsia="zh-CN"/>
        </w:rPr>
        <w:t>招标公告</w:t>
      </w:r>
      <w:r>
        <w:rPr>
          <w:rFonts w:hint="eastAsia" w:ascii="宋体" w:hAnsi="宋体" w:eastAsia="宋体" w:cs="宋体"/>
          <w:color w:val="auto"/>
          <w:szCs w:val="21"/>
          <w:highlight w:val="none"/>
        </w:rPr>
        <w:t>。</w:t>
      </w:r>
    </w:p>
    <w:p w14:paraId="29C9BE31">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出资比例：见投标人须知前附表。</w:t>
      </w:r>
    </w:p>
    <w:p w14:paraId="208D7C26">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资金落实情况：见投标人须知前附表。</w:t>
      </w:r>
    </w:p>
    <w:p w14:paraId="64F72183">
      <w:pPr>
        <w:pStyle w:val="189"/>
        <w:pageBreakBefore w:val="0"/>
        <w:kinsoku/>
        <w:overflowPunct/>
        <w:bidi w:val="0"/>
        <w:spacing w:beforeLines="0" w:afterLines="0" w:line="360" w:lineRule="auto"/>
        <w:ind w:left="0" w:leftChars="0" w:right="0" w:firstLine="562" w:firstLineChars="200"/>
        <w:rPr>
          <w:rFonts w:hint="eastAsia" w:ascii="宋体" w:hAnsi="宋体" w:eastAsia="宋体" w:cs="宋体"/>
          <w:b/>
          <w:bCs/>
          <w:color w:val="auto"/>
          <w:sz w:val="28"/>
          <w:szCs w:val="28"/>
          <w:highlight w:val="none"/>
        </w:rPr>
      </w:pPr>
    </w:p>
    <w:p w14:paraId="24CB6823">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招标范围、</w:t>
      </w:r>
      <w:r>
        <w:rPr>
          <w:rFonts w:hint="eastAsia" w:ascii="宋体" w:hAnsi="宋体" w:cs="宋体"/>
          <w:color w:val="auto"/>
          <w:sz w:val="22"/>
          <w:szCs w:val="22"/>
          <w:highlight w:val="none"/>
          <w:lang w:eastAsia="zh-CN"/>
        </w:rPr>
        <w:t>服务期</w:t>
      </w:r>
      <w:r>
        <w:rPr>
          <w:rFonts w:hint="eastAsia" w:ascii="宋体" w:hAnsi="宋体" w:eastAsia="宋体" w:cs="宋体"/>
          <w:color w:val="auto"/>
          <w:sz w:val="22"/>
          <w:szCs w:val="22"/>
          <w:highlight w:val="none"/>
        </w:rPr>
        <w:t>、承包方式和质量要求</w:t>
      </w:r>
    </w:p>
    <w:p w14:paraId="50439999">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招标范围：见</w:t>
      </w:r>
      <w:r>
        <w:rPr>
          <w:rFonts w:hint="eastAsia" w:ascii="宋体" w:hAnsi="宋体" w:cs="宋体"/>
          <w:color w:val="auto"/>
          <w:szCs w:val="21"/>
          <w:highlight w:val="none"/>
          <w:lang w:eastAsia="zh-CN"/>
        </w:rPr>
        <w:t>招标公告</w:t>
      </w:r>
      <w:r>
        <w:rPr>
          <w:rFonts w:hint="eastAsia" w:ascii="宋体" w:hAnsi="宋体" w:eastAsia="宋体" w:cs="宋体"/>
          <w:color w:val="auto"/>
          <w:szCs w:val="21"/>
          <w:highlight w:val="none"/>
        </w:rPr>
        <w:t>。</w:t>
      </w:r>
    </w:p>
    <w:p w14:paraId="0A36EAAA">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r>
        <w:rPr>
          <w:rFonts w:hint="eastAsia" w:ascii="宋体" w:hAnsi="宋体" w:cs="宋体"/>
          <w:color w:val="auto"/>
          <w:szCs w:val="21"/>
          <w:highlight w:val="none"/>
          <w:lang w:eastAsia="zh-CN"/>
        </w:rPr>
        <w:t>服务期</w:t>
      </w:r>
      <w:r>
        <w:rPr>
          <w:rFonts w:hint="eastAsia" w:ascii="宋体" w:hAnsi="宋体" w:eastAsia="宋体" w:cs="宋体"/>
          <w:color w:val="auto"/>
          <w:szCs w:val="21"/>
          <w:highlight w:val="none"/>
        </w:rPr>
        <w:t>：见</w:t>
      </w:r>
      <w:r>
        <w:rPr>
          <w:rFonts w:hint="eastAsia" w:ascii="宋体" w:hAnsi="宋体" w:cs="宋体"/>
          <w:color w:val="auto"/>
          <w:szCs w:val="21"/>
          <w:highlight w:val="none"/>
          <w:lang w:eastAsia="zh-CN"/>
        </w:rPr>
        <w:t>招标公告</w:t>
      </w:r>
      <w:r>
        <w:rPr>
          <w:rFonts w:hint="eastAsia" w:ascii="宋体" w:hAnsi="宋体" w:eastAsia="宋体" w:cs="宋体"/>
          <w:color w:val="auto"/>
          <w:szCs w:val="21"/>
          <w:highlight w:val="none"/>
        </w:rPr>
        <w:t>。</w:t>
      </w:r>
    </w:p>
    <w:p w14:paraId="636A49CA">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承包方式：见</w:t>
      </w:r>
      <w:r>
        <w:rPr>
          <w:rFonts w:hint="eastAsia" w:ascii="宋体" w:hAnsi="宋体" w:cs="宋体"/>
          <w:color w:val="auto"/>
          <w:szCs w:val="21"/>
          <w:highlight w:val="none"/>
          <w:lang w:eastAsia="zh-CN"/>
        </w:rPr>
        <w:t>招标公告</w:t>
      </w:r>
      <w:r>
        <w:rPr>
          <w:rFonts w:hint="eastAsia" w:ascii="宋体" w:hAnsi="宋体" w:eastAsia="宋体" w:cs="宋体"/>
          <w:color w:val="auto"/>
          <w:szCs w:val="21"/>
          <w:highlight w:val="none"/>
        </w:rPr>
        <w:t>。</w:t>
      </w:r>
    </w:p>
    <w:p w14:paraId="5779F15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 质量要求：见</w:t>
      </w:r>
      <w:r>
        <w:rPr>
          <w:rFonts w:hint="eastAsia" w:ascii="宋体" w:hAnsi="宋体" w:cs="宋体"/>
          <w:color w:val="auto"/>
          <w:szCs w:val="21"/>
          <w:highlight w:val="none"/>
          <w:lang w:eastAsia="zh-CN"/>
        </w:rPr>
        <w:t>招标公告</w:t>
      </w:r>
      <w:r>
        <w:rPr>
          <w:rFonts w:hint="eastAsia" w:ascii="宋体" w:hAnsi="宋体" w:eastAsia="宋体" w:cs="宋体"/>
          <w:color w:val="auto"/>
          <w:szCs w:val="21"/>
          <w:highlight w:val="none"/>
        </w:rPr>
        <w:t>。</w:t>
      </w:r>
    </w:p>
    <w:p w14:paraId="4271A54F">
      <w:pPr>
        <w:pStyle w:val="189"/>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highlight w:val="none"/>
        </w:rPr>
      </w:pPr>
    </w:p>
    <w:p w14:paraId="0288E543">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 投标人资格要求</w:t>
      </w:r>
    </w:p>
    <w:p w14:paraId="29810A86">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投标人应具备承担本招标项目</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的资质条件、能力和信誉，</w:t>
      </w:r>
      <w:r>
        <w:rPr>
          <w:rFonts w:hint="eastAsia" w:ascii="宋体" w:hAnsi="宋体" w:eastAsia="宋体" w:cs="宋体"/>
          <w:b/>
          <w:color w:val="auto"/>
          <w:szCs w:val="21"/>
          <w:highlight w:val="none"/>
        </w:rPr>
        <w:t>详见本招标项目</w:t>
      </w:r>
      <w:r>
        <w:rPr>
          <w:rFonts w:hint="eastAsia" w:ascii="宋体" w:hAnsi="宋体" w:cs="宋体"/>
          <w:b/>
          <w:color w:val="auto"/>
          <w:szCs w:val="21"/>
          <w:highlight w:val="none"/>
          <w:lang w:eastAsia="zh-CN"/>
        </w:rPr>
        <w:t>招标公告</w:t>
      </w:r>
      <w:r>
        <w:rPr>
          <w:rFonts w:hint="eastAsia" w:ascii="宋体" w:hAnsi="宋体" w:eastAsia="宋体" w:cs="宋体"/>
          <w:color w:val="auto"/>
          <w:szCs w:val="21"/>
          <w:highlight w:val="none"/>
        </w:rPr>
        <w:t>。</w:t>
      </w:r>
    </w:p>
    <w:p w14:paraId="48B749D9">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如本招标项目</w:t>
      </w:r>
      <w:r>
        <w:rPr>
          <w:rFonts w:hint="eastAsia" w:ascii="宋体" w:hAnsi="宋体" w:cs="宋体"/>
          <w:color w:val="auto"/>
          <w:szCs w:val="21"/>
          <w:highlight w:val="none"/>
          <w:lang w:eastAsia="zh-CN"/>
        </w:rPr>
        <w:t>招标公告</w:t>
      </w:r>
      <w:r>
        <w:rPr>
          <w:rFonts w:hint="eastAsia" w:ascii="宋体" w:hAnsi="宋体" w:eastAsia="宋体" w:cs="宋体"/>
          <w:color w:val="auto"/>
          <w:szCs w:val="21"/>
          <w:highlight w:val="none"/>
        </w:rPr>
        <w:t>规定接受联合体投标的，应符合本章第1.4.1项和投标人须知前附表的要求。</w:t>
      </w:r>
    </w:p>
    <w:p w14:paraId="22BD8E2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 投标人不得存在下列情形之一：</w:t>
      </w:r>
    </w:p>
    <w:p w14:paraId="277730E6">
      <w:pPr>
        <w:pStyle w:val="2"/>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（1）为招标人不具有独立法人资格（含事务所性质）的附属机构（单位）；</w:t>
      </w:r>
    </w:p>
    <w:p w14:paraId="679BC4C7">
      <w:pPr>
        <w:pStyle w:val="2"/>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（2）与招标人存在利害关系且可能影响招标公正性；</w:t>
      </w:r>
    </w:p>
    <w:p w14:paraId="206F0A5B">
      <w:pPr>
        <w:pStyle w:val="2"/>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（3）与本招标项目的其他投标人为同一个单位负责人；</w:t>
      </w:r>
    </w:p>
    <w:p w14:paraId="7A76E86A">
      <w:pPr>
        <w:pStyle w:val="2"/>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（4）与本招标项目的其他投标人存在控股、管理关系；</w:t>
      </w:r>
    </w:p>
    <w:p w14:paraId="315730F3">
      <w:pPr>
        <w:pStyle w:val="2"/>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（5）为本招标项目的代建人；</w:t>
      </w:r>
    </w:p>
    <w:p w14:paraId="40ADCCF7">
      <w:pPr>
        <w:pStyle w:val="2"/>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（6）为本招标项目的招标代理机构；</w:t>
      </w:r>
    </w:p>
    <w:p w14:paraId="0CE27ECD">
      <w:pPr>
        <w:pStyle w:val="2"/>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（7）与本招标项目的代建人或招标代理机构同为一个法定代表人、单位负责人、实际控制人的；</w:t>
      </w:r>
    </w:p>
    <w:p w14:paraId="04E9C31D">
      <w:pPr>
        <w:pStyle w:val="2"/>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（8）与本招标项目的代建人或招标代理机构相互控股或参股的；</w:t>
      </w:r>
    </w:p>
    <w:p w14:paraId="54267F76">
      <w:pPr>
        <w:spacing w:beforeLines="0" w:afterLines="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（9）与本招标项目的代建人或招标代理机构相互任职或工作的；</w:t>
      </w:r>
    </w:p>
    <w:p w14:paraId="5CA025A8">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 费用承担</w:t>
      </w:r>
    </w:p>
    <w:p w14:paraId="1FC298F5">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投标人准备和参加投标活动发生的费用自理。</w:t>
      </w:r>
    </w:p>
    <w:p w14:paraId="17606C99">
      <w:pPr>
        <w:pStyle w:val="189"/>
        <w:pageBreakBefore w:val="0"/>
        <w:kinsoku/>
        <w:overflowPunct/>
        <w:bidi w:val="0"/>
        <w:spacing w:beforeLines="0" w:afterLines="0" w:line="360" w:lineRule="auto"/>
        <w:ind w:left="0" w:leftChars="0" w:right="0" w:firstLine="562" w:firstLineChars="200"/>
        <w:rPr>
          <w:rFonts w:hint="eastAsia" w:ascii="宋体" w:hAnsi="宋体" w:eastAsia="宋体" w:cs="宋体"/>
          <w:b/>
          <w:bCs/>
          <w:color w:val="auto"/>
          <w:sz w:val="28"/>
          <w:szCs w:val="28"/>
          <w:highlight w:val="none"/>
        </w:rPr>
      </w:pPr>
    </w:p>
    <w:p w14:paraId="1D4D5BDC">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 保密</w:t>
      </w:r>
    </w:p>
    <w:p w14:paraId="33C8CA0A">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参与招标投标活动的各方应对招标文件和投标文件中的商业和技术等秘密保密，违者应对由此造成的后果承担法律责任。 </w:t>
      </w:r>
    </w:p>
    <w:p w14:paraId="17221E35">
      <w:pPr>
        <w:pStyle w:val="189"/>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highlight w:val="none"/>
        </w:rPr>
      </w:pPr>
    </w:p>
    <w:p w14:paraId="3919D027">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 语言文字</w:t>
      </w:r>
    </w:p>
    <w:p w14:paraId="368EF0B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招标文件、投标文件和与投标文件有关的所有文件均应使用中文。专用术语使用外文的，应附有中文注释。</w:t>
      </w:r>
    </w:p>
    <w:p w14:paraId="0428FACD">
      <w:pPr>
        <w:pStyle w:val="189"/>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highlight w:val="none"/>
        </w:rPr>
      </w:pPr>
    </w:p>
    <w:p w14:paraId="04044036">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 计量单位</w:t>
      </w:r>
    </w:p>
    <w:p w14:paraId="6F2A430D">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除工程规范另有规定外，招标文件和投标文件所有计量均采用中华人民共和国法定计量单位。</w:t>
      </w:r>
    </w:p>
    <w:p w14:paraId="7F061103">
      <w:pPr>
        <w:pStyle w:val="189"/>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highlight w:val="none"/>
        </w:rPr>
      </w:pPr>
    </w:p>
    <w:p w14:paraId="478F7D1A">
      <w:pPr>
        <w:pStyle w:val="24"/>
        <w:spacing w:beforeLines="0" w:afterLines="0" w:line="360" w:lineRule="auto"/>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 xml:space="preserve">1.9 </w:t>
      </w:r>
      <w:r>
        <w:rPr>
          <w:rFonts w:hint="eastAsia" w:ascii="宋体" w:hAnsi="宋体" w:cs="宋体"/>
          <w:color w:val="auto"/>
          <w:sz w:val="22"/>
          <w:szCs w:val="22"/>
          <w:highlight w:val="none"/>
        </w:rPr>
        <w:t>踏勘现场</w:t>
      </w:r>
    </w:p>
    <w:p w14:paraId="24DDCC21">
      <w:pPr>
        <w:spacing w:beforeLines="0" w:afterLines="0"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1.9.1 不统一组织踏勘现场，投标人可根据需要自行到项目现场进行踏勘。 </w:t>
      </w:r>
    </w:p>
    <w:p w14:paraId="7476ED97">
      <w:pPr>
        <w:spacing w:beforeLines="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投标人踏勘现场发生的费用自理。</w:t>
      </w:r>
    </w:p>
    <w:p w14:paraId="23D21676">
      <w:pPr>
        <w:spacing w:beforeLines="0" w:afterLines="0"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 除招标人的原因外，投标人自行负责在踏勘现场中所发生的人员伤亡和财产损失。</w:t>
      </w:r>
    </w:p>
    <w:p w14:paraId="0A1936F3">
      <w:pPr>
        <w:spacing w:beforeLines="0" w:afterLines="0"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 招标人在踏勘现场中介绍的工程场地和相关的周边环境情况，供投标人在编制投标文件时参考，招标人不对投标人据此作出的判断和决策负责。</w:t>
      </w:r>
    </w:p>
    <w:p w14:paraId="7CE31A47">
      <w:pPr>
        <w:pStyle w:val="25"/>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p>
    <w:p w14:paraId="53B78E85">
      <w:pPr>
        <w:pStyle w:val="25"/>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highlight w:val="none"/>
        </w:rPr>
      </w:pPr>
      <w:r>
        <w:rPr>
          <w:rFonts w:hint="eastAsia" w:ascii="宋体" w:hAnsi="宋体" w:cs="宋体"/>
          <w:color w:val="auto"/>
          <w:sz w:val="22"/>
          <w:szCs w:val="22"/>
          <w:highlight w:val="none"/>
          <w:lang w:val="en-US" w:eastAsia="zh-CN"/>
        </w:rPr>
        <w:t>1.10</w:t>
      </w:r>
      <w:r>
        <w:rPr>
          <w:rFonts w:hint="eastAsia" w:ascii="宋体" w:hAnsi="宋体" w:eastAsia="宋体" w:cs="宋体"/>
          <w:color w:val="auto"/>
          <w:sz w:val="21"/>
          <w:szCs w:val="21"/>
          <w:highlight w:val="none"/>
        </w:rPr>
        <w:t>投标</w:t>
      </w:r>
      <w:r>
        <w:rPr>
          <w:rFonts w:hint="eastAsia" w:ascii="宋体" w:hAnsi="宋体" w:eastAsia="宋体" w:cs="宋体"/>
          <w:color w:val="auto"/>
          <w:sz w:val="22"/>
          <w:szCs w:val="22"/>
          <w:highlight w:val="none"/>
        </w:rPr>
        <w:t>预备会</w:t>
      </w:r>
    </w:p>
    <w:p w14:paraId="2312B1D3">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不召开。</w:t>
      </w:r>
    </w:p>
    <w:p w14:paraId="43CA8D7C">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0"/>
          <w:highlight w:val="none"/>
        </w:rPr>
      </w:pPr>
    </w:p>
    <w:p w14:paraId="09BC6320">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分包</w:t>
      </w:r>
    </w:p>
    <w:p w14:paraId="146C73D4">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本招标项目严禁分包。</w:t>
      </w:r>
    </w:p>
    <w:p w14:paraId="4E0E0C25">
      <w:pPr>
        <w:pStyle w:val="189"/>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highlight w:val="none"/>
        </w:rPr>
      </w:pPr>
    </w:p>
    <w:p w14:paraId="3CB1F673">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 偏离</w:t>
      </w:r>
    </w:p>
    <w:p w14:paraId="0C42081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投标人须知前附表允许投标文件偏离招标文件某些要求的，偏离应当符合招标文件规定的偏离范围和幅度。</w:t>
      </w:r>
    </w:p>
    <w:p w14:paraId="1621B46D">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63E7316F">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2.招标文件</w:t>
      </w:r>
    </w:p>
    <w:p w14:paraId="22AAC2A6">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 招标文件的组成</w:t>
      </w:r>
    </w:p>
    <w:p w14:paraId="6697BB84">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本招标文件包括：</w:t>
      </w:r>
    </w:p>
    <w:p w14:paraId="3101DF75">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（1）投标文件否决性条款摘要；</w:t>
      </w:r>
    </w:p>
    <w:p w14:paraId="15CABC83">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（2）投标无效、中标无效的认定及处理；</w:t>
      </w:r>
    </w:p>
    <w:p w14:paraId="7A35BBD1">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（3）致投标人；</w:t>
      </w:r>
    </w:p>
    <w:p w14:paraId="59AB324A">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招标公告</w:t>
      </w:r>
      <w:r>
        <w:rPr>
          <w:rFonts w:hint="eastAsia" w:ascii="宋体" w:hAnsi="宋体" w:eastAsia="宋体" w:cs="宋体"/>
          <w:color w:val="auto"/>
          <w:szCs w:val="21"/>
          <w:highlight w:val="none"/>
        </w:rPr>
        <w:t>；</w:t>
      </w:r>
    </w:p>
    <w:p w14:paraId="07A3EC1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（5）投标人须知；</w:t>
      </w:r>
    </w:p>
    <w:p w14:paraId="042D898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（6）评标办法；</w:t>
      </w:r>
    </w:p>
    <w:p w14:paraId="237AA609">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）合同条款及格式；</w:t>
      </w:r>
    </w:p>
    <w:p w14:paraId="090E833D">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 xml:space="preserve">）图纸和资料； </w:t>
      </w:r>
    </w:p>
    <w:p w14:paraId="5D4F9811">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 xml:space="preserve">规范和技术要求； </w:t>
      </w:r>
    </w:p>
    <w:p w14:paraId="3862E875">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）投标文件格式；</w:t>
      </w:r>
    </w:p>
    <w:p w14:paraId="7C9E884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）投标人须知前附表规定的其他材料；</w:t>
      </w:r>
    </w:p>
    <w:p w14:paraId="5BF548F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）本招标项目发布的澄清（答疑）、修改及补充通知。</w:t>
      </w:r>
    </w:p>
    <w:p w14:paraId="162132DC">
      <w:pPr>
        <w:spacing w:beforeLines="0" w:afterLines="0"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根据本章第2.2款和第2.3款对招标文件所作的澄清（答疑）、修改、补充，构成招标文件的组成部分。当招标文件、招标文件的澄清（答疑）、修改、补充等在同一内容的表述上不一致时，以最后发出的文件为准。</w:t>
      </w:r>
    </w:p>
    <w:p w14:paraId="3323BA6A">
      <w:pPr>
        <w:spacing w:beforeLines="0" w:afterLines="0"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 投标人获取招标文件后，应仔细检查招标文件的合法有效性，以及招标文件的所有内容，认真审阅招标文件中所有的事项、格式、条款和规范要求等。若投标人的投标文件没有按招标文件要求递交全部资料，或投标文件实质上没有响应招标文件的要求，</w:t>
      </w:r>
      <w:r>
        <w:rPr>
          <w:rFonts w:hint="eastAsia" w:ascii="宋体" w:hAnsi="宋体" w:cs="宋体"/>
          <w:color w:val="auto"/>
          <w:sz w:val="21"/>
          <w:szCs w:val="21"/>
          <w:highlight w:val="none"/>
          <w:lang w:val="en-US" w:eastAsia="zh-CN"/>
        </w:rPr>
        <w:t>评标委员会</w:t>
      </w:r>
      <w:r>
        <w:rPr>
          <w:rFonts w:hint="eastAsia" w:ascii="宋体" w:hAnsi="宋体" w:eastAsia="宋体" w:cs="宋体"/>
          <w:color w:val="auto"/>
          <w:szCs w:val="21"/>
          <w:highlight w:val="none"/>
        </w:rPr>
        <w:t>将予以否决，并且不允许投标人通过修改或撤销其不符合要求的差异使之成为具有响应性的投标文件。</w:t>
      </w:r>
    </w:p>
    <w:p w14:paraId="74427034">
      <w:pPr>
        <w:pStyle w:val="189"/>
        <w:pageBreakBefore w:val="0"/>
        <w:kinsoku/>
        <w:overflowPunct/>
        <w:bidi w:val="0"/>
        <w:spacing w:beforeLines="0" w:afterLines="0" w:line="360" w:lineRule="auto"/>
        <w:ind w:left="0" w:leftChars="0" w:right="0" w:firstLine="562" w:firstLineChars="200"/>
        <w:rPr>
          <w:rFonts w:hint="eastAsia" w:ascii="宋体" w:hAnsi="宋体" w:eastAsia="宋体" w:cs="宋体"/>
          <w:b/>
          <w:bCs/>
          <w:color w:val="auto"/>
          <w:sz w:val="28"/>
          <w:szCs w:val="28"/>
          <w:highlight w:val="none"/>
        </w:rPr>
      </w:pPr>
    </w:p>
    <w:p w14:paraId="1F188CC8">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 招标文件的澄清（答疑）</w:t>
      </w:r>
    </w:p>
    <w:p w14:paraId="1635F3A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 投标人应仔细阅读和检查招标文件的全部内容。如发现缺页或附件不全，应及时向招标人提出，以便补齐。如有疑问，应在投标人须知前附表规定的时间内提出，要求招标人对招标文件予以澄清。提交问题时一律不得署名。</w:t>
      </w:r>
    </w:p>
    <w:p w14:paraId="45E7F59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澄清（答疑）须经招标人盖章确认后，方可在</w:t>
      </w:r>
      <w:r>
        <w:rPr>
          <w:rFonts w:hint="eastAsia" w:ascii="宋体" w:hAnsi="宋体" w:cs="宋体"/>
          <w:color w:val="auto"/>
          <w:szCs w:val="21"/>
          <w:highlight w:val="none"/>
          <w:lang w:eastAsia="zh-CN"/>
        </w:rPr>
        <w:t>佛山市南海区人民政府网站—佛山市公共资源交易中心南海分中心</w:t>
      </w:r>
      <w:r>
        <w:rPr>
          <w:rFonts w:hint="eastAsia" w:ascii="宋体" w:hAnsi="宋体" w:eastAsia="宋体" w:cs="宋体"/>
          <w:color w:val="auto"/>
          <w:szCs w:val="21"/>
          <w:highlight w:val="none"/>
        </w:rPr>
        <w:t>发布。</w:t>
      </w:r>
    </w:p>
    <w:p w14:paraId="1ED3803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招标文件的澄清（答疑）将上传至</w:t>
      </w:r>
      <w:r>
        <w:rPr>
          <w:rFonts w:hint="eastAsia" w:ascii="宋体" w:hAnsi="宋体" w:cs="宋体"/>
          <w:color w:val="auto"/>
          <w:highlight w:val="none"/>
          <w:lang w:eastAsia="zh-CN"/>
        </w:rPr>
        <w:t>佛山市南海区人民政府网站—佛山市公共资源交易中心南海分中心</w:t>
      </w:r>
      <w:r>
        <w:rPr>
          <w:rFonts w:hint="eastAsia" w:ascii="宋体" w:hAnsi="宋体" w:eastAsia="宋体" w:cs="宋体"/>
          <w:color w:val="auto"/>
          <w:szCs w:val="21"/>
          <w:highlight w:val="none"/>
        </w:rPr>
        <w:t>供投标人下载，但不指明澄清问题的来源。如果澄清发出的时间距投标截止时间不足15日，并且澄清内容影响投标文件编制的，将相应延长投标截止时间。</w:t>
      </w:r>
    </w:p>
    <w:p w14:paraId="2CE45F4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 招标澄清（答疑）文件一经在</w:t>
      </w:r>
      <w:r>
        <w:rPr>
          <w:rFonts w:hint="eastAsia" w:ascii="宋体" w:hAnsi="宋体" w:cs="宋体"/>
          <w:color w:val="auto"/>
          <w:szCs w:val="21"/>
          <w:highlight w:val="none"/>
          <w:lang w:eastAsia="zh-CN"/>
        </w:rPr>
        <w:t>佛山市南海区人民政府网站—佛山市公共资源交易中心南海分中心</w:t>
      </w:r>
      <w:r>
        <w:rPr>
          <w:rFonts w:hint="eastAsia" w:ascii="宋体" w:hAnsi="宋体" w:eastAsia="宋体" w:cs="宋体"/>
          <w:color w:val="auto"/>
          <w:szCs w:val="21"/>
          <w:highlight w:val="none"/>
        </w:rPr>
        <w:t>发布，视作已发放给所有投标人，各投标人应随时关注项目信息，及时</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lang w:eastAsia="zh-CN"/>
        </w:rPr>
        <w:t>佛山市南海区人民政府网站—佛山市公共资源交易中心南海分中心</w:t>
      </w:r>
      <w:r>
        <w:rPr>
          <w:rFonts w:hint="eastAsia" w:ascii="宋体" w:hAnsi="宋体" w:eastAsia="宋体" w:cs="宋体"/>
          <w:color w:val="auto"/>
          <w:szCs w:val="21"/>
          <w:highlight w:val="none"/>
        </w:rPr>
        <w:t>下载相关文件，否则所造成的一切后果由投标人自负。</w:t>
      </w:r>
    </w:p>
    <w:p w14:paraId="0EB4B2CB">
      <w:pPr>
        <w:pStyle w:val="189"/>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highlight w:val="none"/>
        </w:rPr>
      </w:pPr>
    </w:p>
    <w:p w14:paraId="26896FD9">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 招标文件的修改、补充</w:t>
      </w:r>
    </w:p>
    <w:p w14:paraId="7407C97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 招标文件发出后，招标人可以对招标文件进行必要的修改或补充，并上传至</w:t>
      </w:r>
      <w:r>
        <w:rPr>
          <w:rFonts w:hint="default" w:ascii="宋体" w:hAnsi="宋体" w:cs="宋体"/>
          <w:color w:val="auto"/>
          <w:highlight w:val="none"/>
        </w:rPr>
        <w:t>佛山市南海区人民政府网站—佛山市公共资源交易中心南海分中心</w:t>
      </w:r>
      <w:r>
        <w:rPr>
          <w:rFonts w:hint="eastAsia" w:ascii="宋体" w:hAnsi="宋体" w:eastAsia="宋体" w:cs="宋体"/>
          <w:color w:val="auto"/>
          <w:szCs w:val="21"/>
          <w:highlight w:val="none"/>
        </w:rPr>
        <w:t xml:space="preserve">供投标人下载。但如果修改或补充招标文件的时间距投标截止时间不足15日，并且修改或补充内容影响投标文件编制的，将相应延长投标截止时间。 </w:t>
      </w:r>
    </w:p>
    <w:p w14:paraId="0BCDB9F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 招标修改、补充文件须经招标人盖章确认后，方可在</w:t>
      </w:r>
      <w:r>
        <w:rPr>
          <w:rFonts w:hint="eastAsia" w:ascii="宋体" w:hAnsi="宋体" w:cs="宋体"/>
          <w:color w:val="auto"/>
          <w:szCs w:val="21"/>
          <w:highlight w:val="none"/>
          <w:lang w:eastAsia="zh-CN"/>
        </w:rPr>
        <w:t>佛山市南海区人民政府网站—佛山市公共资源交易中心南海分中心</w:t>
      </w:r>
      <w:r>
        <w:rPr>
          <w:rFonts w:hint="eastAsia" w:ascii="宋体" w:hAnsi="宋体" w:eastAsia="宋体" w:cs="宋体"/>
          <w:color w:val="auto"/>
          <w:szCs w:val="21"/>
          <w:highlight w:val="none"/>
        </w:rPr>
        <w:t>发布。</w:t>
      </w:r>
    </w:p>
    <w:p w14:paraId="7090D7B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 招标修改、补充文件一经在</w:t>
      </w:r>
      <w:r>
        <w:rPr>
          <w:rFonts w:hint="eastAsia" w:ascii="宋体" w:hAnsi="宋体" w:cs="宋体"/>
          <w:color w:val="auto"/>
          <w:szCs w:val="21"/>
          <w:highlight w:val="none"/>
          <w:lang w:eastAsia="zh-CN"/>
        </w:rPr>
        <w:t>佛山市南海区人民政府网站—佛山市公共资源交易中心南海分中心</w:t>
      </w:r>
      <w:r>
        <w:rPr>
          <w:rFonts w:hint="eastAsia" w:ascii="宋体" w:hAnsi="宋体" w:eastAsia="宋体" w:cs="宋体"/>
          <w:color w:val="auto"/>
          <w:szCs w:val="21"/>
          <w:highlight w:val="none"/>
        </w:rPr>
        <w:t>发布，视作已发放给所有投标人，各投标人应随时关注项目信息，及时</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lang w:eastAsia="zh-CN"/>
        </w:rPr>
        <w:t>佛山市南海区人民政府网站—佛山市公共资源交易中心南海分中心</w:t>
      </w:r>
      <w:r>
        <w:rPr>
          <w:rFonts w:hint="eastAsia" w:ascii="宋体" w:hAnsi="宋体" w:eastAsia="宋体" w:cs="宋体"/>
          <w:color w:val="auto"/>
          <w:szCs w:val="21"/>
          <w:highlight w:val="none"/>
        </w:rPr>
        <w:t>下载相关文件，否则所造成的一切后果由投标人自负。</w:t>
      </w:r>
    </w:p>
    <w:p w14:paraId="7E88FA9E">
      <w:pPr>
        <w:pStyle w:val="2"/>
        <w:pageBreakBefore w:val="0"/>
        <w:kinsoku/>
        <w:overflowPunct/>
        <w:bidi w:val="0"/>
        <w:spacing w:beforeLines="0" w:afterLines="0" w:line="360" w:lineRule="auto"/>
        <w:ind w:left="0" w:leftChars="0" w:right="0"/>
        <w:rPr>
          <w:rFonts w:hint="eastAsia" w:ascii="宋体" w:hAnsi="宋体" w:eastAsia="宋体" w:cs="宋体"/>
          <w:color w:val="auto"/>
          <w:highlight w:val="none"/>
        </w:rPr>
      </w:pPr>
    </w:p>
    <w:p w14:paraId="7D44EE25">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 招标文件的效力</w:t>
      </w:r>
    </w:p>
    <w:p w14:paraId="409F253B">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 招标文件（澄清、答疑、修改、补充等）须经招标人盖章确认。</w:t>
      </w:r>
    </w:p>
    <w:p w14:paraId="6635165A">
      <w:pPr>
        <w:pageBreakBefore w:val="0"/>
        <w:kinsoku/>
        <w:overflowPunct/>
        <w:bidi w:val="0"/>
        <w:spacing w:beforeLines="0" w:afterLines="0" w:line="360" w:lineRule="auto"/>
        <w:ind w:left="0" w:leftChars="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 招标文件是招标人发出的要约邀请，投标人参加投标均视为承认</w:t>
      </w:r>
      <w:r>
        <w:rPr>
          <w:rFonts w:hint="eastAsia" w:ascii="宋体" w:hAnsi="宋体" w:cs="宋体"/>
          <w:color w:val="auto"/>
          <w:szCs w:val="21"/>
          <w:highlight w:val="none"/>
          <w:lang w:eastAsia="zh-CN"/>
        </w:rPr>
        <w:t>招标公告</w:t>
      </w:r>
      <w:r>
        <w:rPr>
          <w:rFonts w:hint="eastAsia" w:ascii="宋体" w:hAnsi="宋体" w:eastAsia="宋体" w:cs="宋体"/>
          <w:color w:val="auto"/>
          <w:szCs w:val="21"/>
          <w:highlight w:val="none"/>
        </w:rPr>
        <w:t>、招标文件及附件的所有条款，并承诺一旦中标将按招标文件、投标文件、合同条款及格式、技术规范要求的质量和进度完成全部委托任务。</w:t>
      </w:r>
    </w:p>
    <w:p w14:paraId="331DB6DD">
      <w:pPr>
        <w:pStyle w:val="192"/>
        <w:pageBreakBefore w:val="0"/>
        <w:kinsoku/>
        <w:overflowPunct/>
        <w:bidi w:val="0"/>
        <w:spacing w:before="0" w:beforeLines="0" w:afterLines="0" w:line="360" w:lineRule="auto"/>
        <w:ind w:left="0" w:leftChars="0" w:right="0" w:firstLine="562" w:firstLineChars="200"/>
        <w:rPr>
          <w:rFonts w:hint="eastAsia" w:ascii="宋体" w:hAnsi="宋体" w:eastAsia="宋体" w:cs="宋体"/>
          <w:b/>
          <w:bCs/>
          <w:color w:val="auto"/>
          <w:szCs w:val="28"/>
          <w:highlight w:val="none"/>
        </w:rPr>
      </w:pPr>
    </w:p>
    <w:p w14:paraId="3DAD1E33">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w:t>
      </w:r>
    </w:p>
    <w:p w14:paraId="66479CBA">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投标文件的组成</w:t>
      </w:r>
    </w:p>
    <w:p w14:paraId="4F83C92A">
      <w:pPr>
        <w:pageBreakBefore w:val="0"/>
        <w:kinsoku/>
        <w:overflowPunct/>
        <w:bidi w:val="0"/>
        <w:spacing w:beforeLines="0" w:afterLines="0" w:line="360" w:lineRule="auto"/>
        <w:ind w:left="0" w:leftChars="0" w:righ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3.1.1 投标文件由技术标、资信标（含资格审查资料）、经济标组成。</w:t>
      </w:r>
    </w:p>
    <w:p w14:paraId="5EFCD1D6">
      <w:pPr>
        <w:pageBreakBefore w:val="0"/>
        <w:kinsoku/>
        <w:overflowPunct/>
        <w:bidi w:val="0"/>
        <w:spacing w:beforeLines="0" w:afterLines="0" w:line="360" w:lineRule="auto"/>
        <w:ind w:left="0" w:leftChars="0" w:righ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3.1.2 </w:t>
      </w:r>
      <w:r>
        <w:rPr>
          <w:rFonts w:hint="eastAsia" w:ascii="宋体" w:hAnsi="宋体" w:eastAsia="宋体" w:cs="宋体"/>
          <w:color w:val="auto"/>
          <w:szCs w:val="21"/>
          <w:highlight w:val="none"/>
        </w:rPr>
        <w:t>技术</w:t>
      </w:r>
      <w:r>
        <w:rPr>
          <w:rFonts w:hint="eastAsia" w:ascii="宋体" w:hAnsi="宋体" w:eastAsia="宋体" w:cs="宋体"/>
          <w:bCs/>
          <w:color w:val="auto"/>
          <w:szCs w:val="21"/>
          <w:highlight w:val="none"/>
        </w:rPr>
        <w:t>标应包括下列内容：（详见</w:t>
      </w:r>
      <w:r>
        <w:rPr>
          <w:rFonts w:hint="eastAsia" w:ascii="宋体" w:hAnsi="宋体" w:eastAsia="宋体" w:cs="宋体"/>
          <w:color w:val="auto"/>
          <w:szCs w:val="21"/>
          <w:highlight w:val="none"/>
        </w:rPr>
        <w:t>第八</w:t>
      </w:r>
      <w:r>
        <w:rPr>
          <w:rFonts w:hint="eastAsia" w:ascii="宋体" w:hAnsi="宋体" w:eastAsia="宋体" w:cs="宋体"/>
          <w:bCs/>
          <w:color w:val="auto"/>
          <w:szCs w:val="21"/>
          <w:highlight w:val="none"/>
        </w:rPr>
        <w:t>章投标文件格式）</w:t>
      </w:r>
    </w:p>
    <w:p w14:paraId="15536268">
      <w:pPr>
        <w:pageBreakBefore w:val="0"/>
        <w:kinsoku/>
        <w:overflowPunct/>
        <w:bidi w:val="0"/>
        <w:spacing w:beforeLines="0" w:afterLines="0" w:line="360" w:lineRule="auto"/>
        <w:ind w:left="0" w:leftChars="0" w:righ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3.1.3 </w:t>
      </w:r>
      <w:r>
        <w:rPr>
          <w:rFonts w:hint="eastAsia" w:ascii="宋体" w:hAnsi="宋体" w:eastAsia="宋体" w:cs="宋体"/>
          <w:color w:val="auto"/>
          <w:szCs w:val="21"/>
          <w:highlight w:val="none"/>
        </w:rPr>
        <w:t>资信标（含资格审查资料）应包括</w:t>
      </w:r>
      <w:r>
        <w:rPr>
          <w:rFonts w:hint="eastAsia" w:ascii="宋体" w:hAnsi="宋体" w:eastAsia="宋体" w:cs="宋体"/>
          <w:bCs/>
          <w:color w:val="auto"/>
          <w:szCs w:val="21"/>
          <w:highlight w:val="none"/>
        </w:rPr>
        <w:t>下列内容：（详见</w:t>
      </w:r>
      <w:r>
        <w:rPr>
          <w:rFonts w:hint="eastAsia" w:ascii="宋体" w:hAnsi="宋体" w:eastAsia="宋体" w:cs="宋体"/>
          <w:color w:val="auto"/>
          <w:szCs w:val="21"/>
          <w:highlight w:val="none"/>
        </w:rPr>
        <w:t>第八</w:t>
      </w:r>
      <w:r>
        <w:rPr>
          <w:rFonts w:hint="eastAsia" w:ascii="宋体" w:hAnsi="宋体" w:eastAsia="宋体" w:cs="宋体"/>
          <w:bCs/>
          <w:color w:val="auto"/>
          <w:szCs w:val="21"/>
          <w:highlight w:val="none"/>
        </w:rPr>
        <w:t>章投标文件格式）</w:t>
      </w:r>
    </w:p>
    <w:p w14:paraId="3AED265B">
      <w:pPr>
        <w:pageBreakBefore w:val="0"/>
        <w:kinsoku/>
        <w:overflowPunct/>
        <w:bidi w:val="0"/>
        <w:spacing w:beforeLines="0" w:afterLines="0" w:line="360" w:lineRule="auto"/>
        <w:ind w:left="0" w:leftChars="0" w:right="0" w:firstLine="420" w:firstLineChars="200"/>
        <w:rPr>
          <w:rFonts w:hint="eastAsia" w:ascii="宋体" w:hAnsi="宋体" w:eastAsia="宋体" w:cs="宋体"/>
          <w:bCs/>
          <w:color w:val="auto"/>
          <w:sz w:val="24"/>
          <w:highlight w:val="none"/>
        </w:rPr>
      </w:pPr>
      <w:r>
        <w:rPr>
          <w:rFonts w:hint="eastAsia" w:ascii="宋体" w:hAnsi="宋体" w:eastAsia="宋体" w:cs="宋体"/>
          <w:bCs/>
          <w:color w:val="auto"/>
          <w:szCs w:val="21"/>
          <w:highlight w:val="none"/>
        </w:rPr>
        <w:t xml:space="preserve">3.1.4 </w:t>
      </w:r>
      <w:r>
        <w:rPr>
          <w:rFonts w:hint="eastAsia" w:ascii="宋体" w:hAnsi="宋体" w:eastAsia="宋体" w:cs="宋体"/>
          <w:color w:val="auto"/>
          <w:szCs w:val="21"/>
          <w:highlight w:val="none"/>
        </w:rPr>
        <w:t>经济标</w:t>
      </w:r>
      <w:r>
        <w:rPr>
          <w:rFonts w:hint="eastAsia" w:ascii="宋体" w:hAnsi="宋体" w:eastAsia="宋体" w:cs="宋体"/>
          <w:bCs/>
          <w:color w:val="auto"/>
          <w:szCs w:val="21"/>
          <w:highlight w:val="none"/>
        </w:rPr>
        <w:t>应包括下列内容：（详见</w:t>
      </w:r>
      <w:r>
        <w:rPr>
          <w:rFonts w:hint="eastAsia" w:ascii="宋体" w:hAnsi="宋体" w:eastAsia="宋体" w:cs="宋体"/>
          <w:color w:val="auto"/>
          <w:szCs w:val="21"/>
          <w:highlight w:val="none"/>
        </w:rPr>
        <w:t>第八</w:t>
      </w:r>
      <w:r>
        <w:rPr>
          <w:rFonts w:hint="eastAsia" w:ascii="宋体" w:hAnsi="宋体" w:eastAsia="宋体" w:cs="宋体"/>
          <w:bCs/>
          <w:color w:val="auto"/>
          <w:szCs w:val="21"/>
          <w:highlight w:val="none"/>
        </w:rPr>
        <w:t>章投标文件格式）</w:t>
      </w:r>
    </w:p>
    <w:p w14:paraId="3B6DBD96">
      <w:pPr>
        <w:pStyle w:val="25"/>
        <w:pageBreakBefore w:val="0"/>
        <w:kinsoku/>
        <w:overflowPunct/>
        <w:bidi w:val="0"/>
        <w:spacing w:beforeLines="0" w:afterLines="0" w:line="360" w:lineRule="auto"/>
        <w:ind w:left="0" w:leftChars="0" w:right="0" w:firstLine="562" w:firstLineChars="200"/>
        <w:rPr>
          <w:rFonts w:hint="eastAsia" w:ascii="宋体" w:hAnsi="宋体" w:eastAsia="宋体" w:cs="宋体"/>
          <w:color w:val="auto"/>
          <w:highlight w:val="none"/>
        </w:rPr>
      </w:pPr>
    </w:p>
    <w:p w14:paraId="01B006C2">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投标报价</w:t>
      </w:r>
    </w:p>
    <w:p w14:paraId="6AE43C55">
      <w:pPr>
        <w:pStyle w:val="62"/>
        <w:pageBreakBefore w:val="0"/>
        <w:kinsoku/>
        <w:overflowPunct/>
        <w:bidi w:val="0"/>
        <w:spacing w:beforeLines="0" w:after="0" w:afterLines="0" w:line="360" w:lineRule="auto"/>
        <w:ind w:left="0" w:leftChars="0" w:right="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 投标报价应包括国家规定的增值税税金，除投标人须知前附表另有规定外，增值税税金按一般计税方法计算。投标人应按第八章“投标文件格式”中“</w:t>
      </w:r>
      <w:r>
        <w:rPr>
          <w:rFonts w:hint="eastAsia" w:ascii="宋体" w:hAnsi="宋体" w:eastAsia="宋体" w:cs="宋体"/>
          <w:color w:val="auto"/>
          <w:szCs w:val="21"/>
          <w:highlight w:val="none"/>
          <w:lang w:eastAsia="zh-CN"/>
        </w:rPr>
        <w:t>预算复审造价咨询服务费</w:t>
      </w:r>
      <w:r>
        <w:rPr>
          <w:rFonts w:hint="eastAsia" w:ascii="宋体" w:hAnsi="宋体" w:eastAsia="宋体" w:cs="宋体"/>
          <w:color w:val="auto"/>
          <w:szCs w:val="21"/>
          <w:highlight w:val="none"/>
        </w:rPr>
        <w:t>报价说明”的要求在投标函中进行报价。</w:t>
      </w:r>
    </w:p>
    <w:p w14:paraId="260DF308">
      <w:pPr>
        <w:pStyle w:val="62"/>
        <w:pageBreakBefore w:val="0"/>
        <w:kinsoku/>
        <w:overflowPunct/>
        <w:bidi w:val="0"/>
        <w:spacing w:beforeLines="0" w:after="0" w:afterLines="0" w:line="360" w:lineRule="auto"/>
        <w:ind w:left="0" w:leftChars="0" w:right="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投标人在投标截止时间前修改投标函中的投标总报价，应同时修改“</w:t>
      </w:r>
      <w:r>
        <w:rPr>
          <w:rFonts w:hint="eastAsia" w:ascii="宋体" w:hAnsi="宋体" w:eastAsia="宋体" w:cs="宋体"/>
          <w:color w:val="auto"/>
          <w:szCs w:val="21"/>
          <w:highlight w:val="none"/>
          <w:lang w:eastAsia="zh-CN"/>
        </w:rPr>
        <w:t>预算复审造价咨询服务费</w:t>
      </w:r>
      <w:r>
        <w:rPr>
          <w:rFonts w:hint="eastAsia" w:ascii="宋体" w:hAnsi="宋体" w:eastAsia="宋体" w:cs="宋体"/>
          <w:color w:val="auto"/>
          <w:szCs w:val="21"/>
          <w:highlight w:val="none"/>
        </w:rPr>
        <w:t>报价说明”中的相应报价。</w:t>
      </w:r>
    </w:p>
    <w:p w14:paraId="798F5109">
      <w:pPr>
        <w:pStyle w:val="62"/>
        <w:pageBreakBefore w:val="0"/>
        <w:kinsoku/>
        <w:overflowPunct/>
        <w:bidi w:val="0"/>
        <w:spacing w:beforeLines="0" w:after="0" w:afterLines="0" w:line="360" w:lineRule="auto"/>
        <w:ind w:left="0" w:leftChars="0" w:right="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招标人设有招标控制价（最高投标限价）的，投标人的投标报价不得超过招标控制价（最高投标限价），招标控制价（最高投标限价）及其计算方法在投标人须知前附表中载明。投标单位的报价不得低于其成本价或高于招标控制价（最高投标限价）。</w:t>
      </w:r>
    </w:p>
    <w:p w14:paraId="43F5D1A6">
      <w:pPr>
        <w:pStyle w:val="62"/>
        <w:pageBreakBefore w:val="0"/>
        <w:kinsoku/>
        <w:overflowPunct/>
        <w:bidi w:val="0"/>
        <w:spacing w:beforeLines="0" w:after="0" w:afterLines="0" w:line="360" w:lineRule="auto"/>
        <w:ind w:left="0" w:leftChars="0" w:right="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3.2.4 </w:t>
      </w:r>
      <w:r>
        <w:rPr>
          <w:rFonts w:hint="eastAsia" w:ascii="宋体" w:hAnsi="宋体" w:eastAsia="宋体" w:cs="宋体"/>
          <w:color w:val="auto"/>
          <w:szCs w:val="21"/>
          <w:highlight w:val="none"/>
          <w:lang w:eastAsia="zh-CN"/>
        </w:rPr>
        <w:t>预算复审造价咨询服务费</w:t>
      </w:r>
      <w:r>
        <w:rPr>
          <w:rFonts w:hint="eastAsia" w:ascii="宋体" w:hAnsi="宋体" w:eastAsia="宋体" w:cs="宋体"/>
          <w:color w:val="auto"/>
          <w:szCs w:val="21"/>
          <w:highlight w:val="none"/>
        </w:rPr>
        <w:t>结算方法：见投标人须知前附表。</w:t>
      </w:r>
    </w:p>
    <w:p w14:paraId="4144C2BB">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 风险控制价设置详见投标人须知前附表。</w:t>
      </w:r>
    </w:p>
    <w:p w14:paraId="0D503523">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p>
    <w:p w14:paraId="78FA6631">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 投标货币</w:t>
      </w:r>
    </w:p>
    <w:p w14:paraId="2AB0D9C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本招标项目投标报价采用的币种为人民币。</w:t>
      </w:r>
    </w:p>
    <w:p w14:paraId="2D119600">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p>
    <w:p w14:paraId="7CC209EC">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 投标有效期</w:t>
      </w:r>
    </w:p>
    <w:p w14:paraId="03FCB86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在投标人须知前附表规定的投标有效期内，投标人不得要求撤销或修改其投标文件。</w:t>
      </w:r>
    </w:p>
    <w:p w14:paraId="677AA69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在投标有效期内，投标人撤销投标文件的，应承担招标文件和相关法律法规规定的责任。</w:t>
      </w:r>
    </w:p>
    <w:p w14:paraId="4A485FB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 出现特殊情况需要延长投标有效期的，招标人</w:t>
      </w:r>
      <w:r>
        <w:rPr>
          <w:rFonts w:hint="eastAsia" w:ascii="宋体" w:hAnsi="宋体" w:cs="宋体"/>
          <w:color w:val="auto"/>
          <w:szCs w:val="21"/>
          <w:highlight w:val="none"/>
          <w:lang w:val="en-US" w:eastAsia="zh-CN"/>
        </w:rPr>
        <w:t>在佛山市南海区人民政府网站—佛山市公共资源交易中心南海分中心发布延期公告，</w:t>
      </w:r>
      <w:r>
        <w:rPr>
          <w:rFonts w:hint="eastAsia" w:ascii="宋体" w:hAnsi="宋体" w:eastAsia="宋体" w:cs="宋体"/>
          <w:color w:val="auto"/>
          <w:szCs w:val="21"/>
          <w:highlight w:val="none"/>
        </w:rPr>
        <w:t>通知所有投标人延长投标有效期。投标人应予以书面答复，同意延长的，应相应延长其投标保证金的有效期，但不得要求或被允许修改或撤销其投标文件；投标人拒绝延长的，其投标失效，但投标人有权收回其投标保证金及以现金形式递交的投标保证金的银行同期存款利息（扣除银行手续费）。</w:t>
      </w:r>
    </w:p>
    <w:p w14:paraId="1D6DF304">
      <w:pPr>
        <w:pStyle w:val="189"/>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highlight w:val="none"/>
        </w:rPr>
      </w:pPr>
    </w:p>
    <w:p w14:paraId="2718354A">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 投标保证金</w:t>
      </w:r>
    </w:p>
    <w:p w14:paraId="171A2367">
      <w:pPr>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 投标人在递交投标文件的同时，应按投标人须知前附表规定的金额、担保形式和第八章“投标文件格式”规定的格式递交投标保证金，并作为其投标文件的组成部分。联合体投标的，其投标保证金由牵头人递交，并应符合投标人须知前附表的规定。</w:t>
      </w:r>
    </w:p>
    <w:p w14:paraId="100026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rPr>
        <w:t>投标人须按本须知前附表中规定的方式和金额提交投标</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金</w:t>
      </w:r>
      <w:r>
        <w:rPr>
          <w:rFonts w:hint="eastAsia" w:ascii="宋体" w:hAnsi="宋体" w:eastAsia="宋体" w:cs="宋体"/>
          <w:color w:val="auto"/>
          <w:szCs w:val="21"/>
          <w:highlight w:val="none"/>
        </w:rPr>
        <w:t>。</w:t>
      </w:r>
    </w:p>
    <w:p w14:paraId="046FBF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投标人须在本须知前附表中规定的时间前，按规定的办法提交投标</w:t>
      </w:r>
      <w:r>
        <w:rPr>
          <w:rFonts w:hint="eastAsia" w:ascii="宋体" w:hAnsi="宋体" w:eastAsia="宋体" w:cs="宋体"/>
          <w:color w:val="auto"/>
          <w:sz w:val="21"/>
          <w:szCs w:val="21"/>
          <w:highlight w:val="none"/>
          <w:lang w:val="en-US" w:eastAsia="zh-CN"/>
        </w:rPr>
        <w:t>保证</w:t>
      </w:r>
      <w:r>
        <w:rPr>
          <w:rFonts w:hint="eastAsia" w:ascii="宋体" w:hAnsi="宋体" w:eastAsia="宋体" w:cs="宋体"/>
          <w:color w:val="auto"/>
          <w:sz w:val="21"/>
          <w:szCs w:val="21"/>
          <w:highlight w:val="none"/>
        </w:rPr>
        <w:t>金</w:t>
      </w:r>
      <w:r>
        <w:rPr>
          <w:rFonts w:hint="eastAsia" w:ascii="宋体" w:hAnsi="宋体" w:eastAsia="宋体" w:cs="宋体"/>
          <w:color w:val="auto"/>
          <w:szCs w:val="21"/>
          <w:highlight w:val="none"/>
        </w:rPr>
        <w:t>。</w:t>
      </w:r>
    </w:p>
    <w:p w14:paraId="451A72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 投标保证金的有效期与退还</w:t>
      </w:r>
    </w:p>
    <w:p w14:paraId="52EBD63F">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（1）投标保证金在投标文件有效期内保持有效，招标人如果按本须知第3.4.2款的规定延长了投标文件的有效期，则保证金的有效期也相应延长；</w:t>
      </w:r>
    </w:p>
    <w:p w14:paraId="749D0569">
      <w:pPr>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（2）招标人在评标结束后，由</w:t>
      </w:r>
      <w:r>
        <w:rPr>
          <w:rFonts w:hint="eastAsia" w:ascii="宋体" w:hAnsi="宋体" w:cs="宋体"/>
          <w:color w:val="auto"/>
          <w:szCs w:val="21"/>
          <w:highlight w:val="none"/>
          <w:lang w:val="en-US" w:eastAsia="zh-CN"/>
        </w:rPr>
        <w:t>流转平台在中标公告发布之日起</w:t>
      </w:r>
      <w:r>
        <w:rPr>
          <w:rFonts w:hint="eastAsia" w:ascii="宋体" w:hAnsi="宋体"/>
          <w:color w:val="auto"/>
          <w:sz w:val="21"/>
          <w:szCs w:val="21"/>
          <w:highlight w:val="none"/>
        </w:rPr>
        <w:t>5个工作日内退回中标人的投标保证金（不计利息）</w:t>
      </w:r>
      <w:r>
        <w:rPr>
          <w:rFonts w:hint="eastAsia" w:ascii="宋体" w:hAnsi="宋体" w:eastAsia="宋体" w:cs="宋体"/>
          <w:color w:val="auto"/>
          <w:szCs w:val="21"/>
          <w:highlight w:val="none"/>
          <w:lang w:eastAsia="zh-CN"/>
        </w:rPr>
        <w:t>；</w:t>
      </w:r>
    </w:p>
    <w:p w14:paraId="74A0C37C">
      <w:pPr>
        <w:spacing w:line="360" w:lineRule="auto"/>
        <w:ind w:left="0" w:lef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（3）招标人与中标人签订合同后，</w:t>
      </w:r>
      <w:r>
        <w:rPr>
          <w:rFonts w:hint="eastAsia" w:ascii="宋体" w:hAnsi="宋体" w:cs="宋体"/>
          <w:color w:val="auto"/>
          <w:szCs w:val="21"/>
          <w:highlight w:val="none"/>
          <w:lang w:val="en-US" w:eastAsia="zh-CN"/>
        </w:rPr>
        <w:t>将</w:t>
      </w:r>
      <w:r>
        <w:rPr>
          <w:rFonts w:hint="eastAsia" w:ascii="宋体" w:hAnsi="宋体"/>
          <w:color w:val="auto"/>
          <w:sz w:val="21"/>
          <w:szCs w:val="21"/>
          <w:highlight w:val="none"/>
        </w:rPr>
        <w:t>合同</w:t>
      </w:r>
      <w:r>
        <w:rPr>
          <w:rFonts w:hint="eastAsia" w:ascii="宋体" w:hAnsi="宋体"/>
          <w:color w:val="auto"/>
          <w:sz w:val="21"/>
          <w:szCs w:val="21"/>
          <w:highlight w:val="none"/>
          <w:lang w:val="en-US" w:eastAsia="zh-CN"/>
        </w:rPr>
        <w:t>有效</w:t>
      </w:r>
      <w:r>
        <w:rPr>
          <w:rFonts w:hint="eastAsia" w:ascii="宋体" w:hAnsi="宋体"/>
          <w:color w:val="auto"/>
          <w:sz w:val="21"/>
          <w:szCs w:val="21"/>
          <w:highlight w:val="none"/>
        </w:rPr>
        <w:t>原件</w:t>
      </w:r>
      <w:r>
        <w:rPr>
          <w:rFonts w:hint="eastAsia" w:ascii="宋体" w:hAnsi="宋体"/>
          <w:color w:val="auto"/>
          <w:sz w:val="21"/>
          <w:szCs w:val="21"/>
          <w:highlight w:val="none"/>
          <w:lang w:val="en-US" w:eastAsia="zh-CN"/>
        </w:rPr>
        <w:t>提交流转平台</w:t>
      </w:r>
      <w:r>
        <w:rPr>
          <w:rFonts w:hint="eastAsia" w:ascii="宋体" w:hAnsi="宋体"/>
          <w:color w:val="auto"/>
          <w:sz w:val="21"/>
          <w:szCs w:val="21"/>
          <w:highlight w:val="none"/>
        </w:rPr>
        <w:t>后5个工作日内退回中标人的投标保证金（不计利息）</w:t>
      </w:r>
      <w:r>
        <w:rPr>
          <w:rFonts w:hint="eastAsia" w:ascii="宋体" w:hAnsi="宋体" w:eastAsia="宋体" w:cs="宋体"/>
          <w:color w:val="auto"/>
          <w:szCs w:val="21"/>
          <w:highlight w:val="none"/>
          <w:lang w:eastAsia="zh-CN"/>
        </w:rPr>
        <w:t>。</w:t>
      </w:r>
    </w:p>
    <w:p w14:paraId="503CCE34">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 有下列情形之一的，投标保证金将不予退还：</w:t>
      </w:r>
    </w:p>
    <w:p w14:paraId="35C91316">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（1）投标截止后投标人撤销其投标文件的；</w:t>
      </w:r>
    </w:p>
    <w:p w14:paraId="1830376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（2）中标人无正当理由不与招标人订立合同的；</w:t>
      </w:r>
    </w:p>
    <w:p w14:paraId="1DF702B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（3）中标人在签订合同时向招标人提出附加条件的；</w:t>
      </w:r>
    </w:p>
    <w:p w14:paraId="042B0704">
      <w:pPr>
        <w:pStyle w:val="2"/>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（4）中标人在签订合同时更改合同实质性内容的；</w:t>
      </w:r>
    </w:p>
    <w:p w14:paraId="1B2B9679">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（5）中标人不按照招标文件要求提交履约保证金的；</w:t>
      </w:r>
    </w:p>
    <w:p w14:paraId="6C1D32E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（6）投标人须知前附表规定的其他可以不予退还投标保证金的情形。</w:t>
      </w:r>
    </w:p>
    <w:p w14:paraId="3E81C2C2">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p>
    <w:p w14:paraId="5F3B4156">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 资格审查资料</w:t>
      </w:r>
    </w:p>
    <w:p w14:paraId="3456E68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 “投标人基本情况表”应附投标人营业执照（副本）、资质证书（副本）（如有）、企业基本账户的银行开户许可证或银行出具的《基本存款账户信息》（适用于以现金方式提交投标保证金的投标人）、类似项目业绩证明材料（如有）等材料的扫描件并加盖投标人公章。</w:t>
      </w:r>
    </w:p>
    <w:p w14:paraId="662C01C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 “近年完成的类似项目业绩情况表”（如有）应附相关证明材料，具体证明材料见</w:t>
      </w:r>
      <w:r>
        <w:rPr>
          <w:rFonts w:hint="eastAsia" w:ascii="宋体" w:hAnsi="宋体" w:cs="宋体"/>
          <w:color w:val="auto"/>
          <w:szCs w:val="21"/>
          <w:highlight w:val="none"/>
          <w:lang w:eastAsia="zh-CN"/>
        </w:rPr>
        <w:t>招标公告</w:t>
      </w:r>
      <w:r>
        <w:rPr>
          <w:rFonts w:hint="eastAsia" w:ascii="宋体" w:hAnsi="宋体" w:eastAsia="宋体" w:cs="宋体"/>
          <w:color w:val="auto"/>
          <w:szCs w:val="21"/>
          <w:highlight w:val="none"/>
        </w:rPr>
        <w:t>。每张表格只填写一个项目，并标明序号。</w:t>
      </w:r>
    </w:p>
    <w:p w14:paraId="171E461B">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注：各项业绩证明材料的内容须能清楚反映项目名称、中标人或承包人、中标金额或合同金额，以及本章规定的关键特征信息，如前述证明材料不能清晰反映本章规定的关键特征信息的，</w:t>
      </w:r>
      <w:r>
        <w:rPr>
          <w:rFonts w:hint="eastAsia" w:ascii="宋体" w:hAnsi="宋体" w:eastAsia="宋体" w:cs="宋体"/>
          <w:b/>
          <w:bCs/>
          <w:color w:val="auto"/>
          <w:szCs w:val="21"/>
          <w:highlight w:val="none"/>
        </w:rPr>
        <w:t>还须提供该项业绩的业主证明并须附有业主方的联系人及联系电话。</w:t>
      </w:r>
    </w:p>
    <w:p w14:paraId="46EC44D5">
      <w:pPr>
        <w:pStyle w:val="189"/>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 投标人须知前附表规定接受联合体投标的，本章第3.6.1款至第3.6.2款规定的表格和资料应包括联合体各方相关情况。</w:t>
      </w:r>
    </w:p>
    <w:p w14:paraId="38F738BC">
      <w:pPr>
        <w:pStyle w:val="223"/>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p>
    <w:p w14:paraId="17D9479C">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 备选投标方案</w:t>
      </w:r>
    </w:p>
    <w:p w14:paraId="06A712A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616EE267">
      <w:pPr>
        <w:pStyle w:val="189"/>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highlight w:val="none"/>
        </w:rPr>
      </w:pPr>
    </w:p>
    <w:p w14:paraId="483689EE">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3.8 投标文件的编制</w:t>
      </w:r>
    </w:p>
    <w:p w14:paraId="61A5F762">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 投标文件应按第八章“投标文件格式”进行编写，如有必要，可以增加附页，作为投标文件的组成部分。</w:t>
      </w:r>
    </w:p>
    <w:p w14:paraId="2C535F06">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 投标文件应当对招标文件有关</w:t>
      </w:r>
      <w:r>
        <w:rPr>
          <w:rFonts w:hint="eastAsia" w:ascii="宋体" w:hAnsi="宋体" w:cs="宋体"/>
          <w:color w:val="auto"/>
          <w:szCs w:val="21"/>
          <w:highlight w:val="none"/>
          <w:lang w:eastAsia="zh-CN"/>
        </w:rPr>
        <w:t>服务期</w:t>
      </w:r>
      <w:r>
        <w:rPr>
          <w:rFonts w:hint="eastAsia" w:ascii="宋体" w:hAnsi="宋体" w:eastAsia="宋体" w:cs="宋体"/>
          <w:color w:val="auto"/>
          <w:szCs w:val="21"/>
          <w:highlight w:val="none"/>
        </w:rPr>
        <w:t>、投标有效期、质量要求、</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规范和技术要求、招标范围等实质性内容作出响应。在此基础上，投标文件可以提出比招标文件要求更有利于招标人的承诺。</w:t>
      </w:r>
    </w:p>
    <w:p w14:paraId="116A120F">
      <w:pPr>
        <w:spacing w:beforeLines="0" w:afterLines="0"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 投标文件正本应用不褪色的材料书写或打印，投标文件中需签字、盖章的，投标人应按要求由投标人的法定代表人或其委托代理人或项目负责人亲笔签字（不得使用个人印章、签名章或其他电子制版签名代替）并加盖投标人公章（不得使用其他代章）。由委托代理人签字的，投标文件应附法定代表人签署的授权委托书。投标文件应尽量避免涂改、行间插字或删除，否则，所有改动之处均应加盖单位公章或由投标人的法定代表人或其委托代理人亲笔签字确认。</w:t>
      </w:r>
    </w:p>
    <w:p w14:paraId="139FBF1D">
      <w:pPr>
        <w:spacing w:beforeLines="0" w:afterLines="0"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以联合体形式参与投标的，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由联合体牵头人的法定代表人或其委托代理人</w:t>
      </w:r>
      <w:r>
        <w:rPr>
          <w:rFonts w:hint="eastAsia" w:ascii="宋体" w:hAnsi="宋体" w:eastAsia="宋体" w:cs="宋体"/>
          <w:color w:val="auto"/>
          <w:sz w:val="21"/>
          <w:szCs w:val="21"/>
          <w:highlight w:val="none"/>
          <w:lang w:eastAsia="zh-CN"/>
        </w:rPr>
        <w:t>或其</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rPr>
        <w:t>按上述规定签署，并由联合体牵头人盖章即可（投标文件中须附</w:t>
      </w:r>
      <w:r>
        <w:rPr>
          <w:rFonts w:hint="eastAsia" w:ascii="宋体" w:hAnsi="宋体" w:eastAsia="宋体" w:cs="宋体"/>
          <w:color w:val="auto"/>
          <w:sz w:val="21"/>
          <w:szCs w:val="21"/>
          <w:highlight w:val="none"/>
          <w:lang w:eastAsia="zh-CN"/>
        </w:rPr>
        <w:t>联合投标协议书</w:t>
      </w:r>
      <w:r>
        <w:rPr>
          <w:rFonts w:hint="eastAsia" w:ascii="宋体" w:hAnsi="宋体" w:eastAsia="宋体" w:cs="宋体"/>
          <w:color w:val="auto"/>
          <w:sz w:val="21"/>
          <w:szCs w:val="21"/>
          <w:highlight w:val="none"/>
        </w:rPr>
        <w:t>）。</w:t>
      </w:r>
    </w:p>
    <w:p w14:paraId="47FC6A58">
      <w:pPr>
        <w:spacing w:beforeLines="0" w:afterLines="0"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3.8.4 投标文件份数见投标人须知前附表。正本和副本的封面上应清楚地标记“正本”或“副本”的字样。当副本和正本不一致时，以正本为准。</w:t>
      </w:r>
    </w:p>
    <w:p w14:paraId="24CE3E52">
      <w:pPr>
        <w:spacing w:beforeLines="0" w:afterLines="0"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技术标暗标副本以外，投标文件装订成册后须加盖投标人公章，且其余投标文件的副本可以是正本签字盖章后的复印件，但必须清晰明辨。否则投标人须自行承担后果。当副本或投标文件电子版与正本不一致时以正本为准。所有技术标暗标副本均不得出现任何与判断投标人相关的标识或暗示，否则该投标将予以否决处理（采用暗标时）。投标文件电子版应包含所有投标文件的内容。</w:t>
      </w:r>
    </w:p>
    <w:p w14:paraId="3B826BA5">
      <w:pPr>
        <w:spacing w:beforeLines="0" w:afterLines="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3.8.5 投标文件的具体装订要求见投标人须知前附表规定。</w:t>
      </w:r>
    </w:p>
    <w:p w14:paraId="220844FE">
      <w:pPr>
        <w:pStyle w:val="192"/>
        <w:pageBreakBefore w:val="0"/>
        <w:kinsoku/>
        <w:overflowPunct/>
        <w:bidi w:val="0"/>
        <w:spacing w:before="0" w:beforeLines="0" w:afterLines="0" w:line="360" w:lineRule="auto"/>
        <w:ind w:left="0" w:leftChars="0" w:right="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p>
    <w:p w14:paraId="23D5B1B7">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w:t>
      </w:r>
    </w:p>
    <w:p w14:paraId="04FF9873">
      <w:pPr>
        <w:pStyle w:val="24"/>
        <w:spacing w:beforeLines="0" w:afterLines="0" w:line="360" w:lineRule="auto"/>
        <w:ind w:firstLine="442"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4.1 投标文件的密封和标记</w:t>
      </w:r>
    </w:p>
    <w:p w14:paraId="7CC939B8">
      <w:pPr>
        <w:spacing w:beforeLines="0" w:afterLines="0" w:line="360" w:lineRule="auto"/>
        <w:ind w:left="0"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投标文件的密封和标记要求详见投标须知前附表</w:t>
      </w:r>
      <w:r>
        <w:rPr>
          <w:rFonts w:hint="eastAsia" w:ascii="宋体" w:hAnsi="宋体" w:eastAsia="宋体" w:cs="宋体"/>
          <w:color w:val="auto"/>
          <w:szCs w:val="21"/>
          <w:highlight w:val="none"/>
          <w:lang w:val="en-US" w:eastAsia="zh-CN"/>
        </w:rPr>
        <w:t>。</w:t>
      </w:r>
    </w:p>
    <w:p w14:paraId="09189AE0">
      <w:pPr>
        <w:pStyle w:val="24"/>
        <w:spacing w:beforeLines="0" w:afterLines="0" w:line="360" w:lineRule="auto"/>
        <w:ind w:firstLine="442" w:firstLineChars="200"/>
        <w:rPr>
          <w:rFonts w:hint="eastAsia" w:ascii="宋体" w:hAnsi="宋体" w:cs="宋体"/>
          <w:color w:val="auto"/>
          <w:sz w:val="22"/>
          <w:szCs w:val="22"/>
          <w:highlight w:val="none"/>
        </w:rPr>
      </w:pPr>
    </w:p>
    <w:p w14:paraId="36BEEDBE">
      <w:pPr>
        <w:pStyle w:val="24"/>
        <w:spacing w:beforeLines="0" w:afterLines="0" w:line="360" w:lineRule="auto"/>
        <w:ind w:firstLine="442"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 xml:space="preserve">4.2 </w:t>
      </w:r>
      <w:r>
        <w:rPr>
          <w:rFonts w:hint="eastAsia" w:ascii="宋体" w:hAnsi="宋体" w:cs="宋体"/>
          <w:color w:val="auto"/>
          <w:sz w:val="22"/>
          <w:szCs w:val="22"/>
          <w:highlight w:val="none"/>
        </w:rPr>
        <w:t>投标文件的递交</w:t>
      </w:r>
    </w:p>
    <w:p w14:paraId="376B3C10">
      <w:pPr>
        <w:spacing w:beforeLines="0" w:afterLines="0"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 投标人应在投标截止时间前递交投标文件。</w:t>
      </w:r>
    </w:p>
    <w:p w14:paraId="1EE4728D">
      <w:pPr>
        <w:spacing w:beforeLines="0" w:afterLines="0"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 逾期送达的或者未送达指定地点的投标文件，招标人不予受理。</w:t>
      </w:r>
    </w:p>
    <w:p w14:paraId="00B24183">
      <w:pPr>
        <w:pStyle w:val="25"/>
        <w:pageBreakBefore w:val="0"/>
        <w:kinsoku/>
        <w:overflowPunct/>
        <w:bidi w:val="0"/>
        <w:spacing w:beforeLines="0" w:afterLines="0" w:line="360" w:lineRule="auto"/>
        <w:ind w:left="0" w:leftChars="0" w:right="0" w:firstLine="562" w:firstLineChars="200"/>
        <w:rPr>
          <w:rFonts w:hint="eastAsia" w:ascii="宋体" w:hAnsi="宋体" w:eastAsia="宋体" w:cs="宋体"/>
          <w:color w:val="auto"/>
          <w:highlight w:val="none"/>
        </w:rPr>
      </w:pPr>
    </w:p>
    <w:p w14:paraId="79E75D5C">
      <w:pPr>
        <w:pStyle w:val="24"/>
        <w:spacing w:beforeLines="0" w:afterLines="0" w:line="360" w:lineRule="auto"/>
        <w:ind w:firstLine="442"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xml:space="preserve"> 投标文件的修改与撤回</w:t>
      </w:r>
    </w:p>
    <w:p w14:paraId="7CB8A47F">
      <w:pPr>
        <w:spacing w:beforeLines="0" w:afterLines="0"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 在投标人须知前附表规定的投标截止时间前，投标人可以修改或撤回已递交的投标文件，但应以书面形式通知招标人。</w:t>
      </w:r>
    </w:p>
    <w:p w14:paraId="0D624443">
      <w:pPr>
        <w:spacing w:beforeLines="0" w:afterLines="0"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 修改的内容为投标文件的组成部分。修改的投标文件应按照本章第3.8款、第4.1款、第4.2款规定进行编制、密封、标记和递交，并标明“修改”字样。</w:t>
      </w:r>
    </w:p>
    <w:p w14:paraId="1986A481">
      <w:pPr>
        <w:spacing w:beforeLines="0" w:afterLines="0"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4.3.3 投标人依法撤回投标文件的，招标人自收到投标人书面撤回通知之日起5日内通知招标代理办理退还已收取的投标保证金。</w:t>
      </w:r>
    </w:p>
    <w:p w14:paraId="161EC4C8">
      <w:pPr>
        <w:pStyle w:val="192"/>
        <w:pageBreakBefore w:val="0"/>
        <w:kinsoku/>
        <w:overflowPunct/>
        <w:bidi w:val="0"/>
        <w:spacing w:before="0" w:beforeLines="0" w:afterLines="0" w:line="360" w:lineRule="auto"/>
        <w:ind w:left="0" w:leftChars="0" w:right="0" w:firstLine="560" w:firstLineChars="200"/>
        <w:rPr>
          <w:rFonts w:hint="eastAsia" w:ascii="宋体" w:hAnsi="宋体" w:eastAsia="宋体" w:cs="宋体"/>
          <w:color w:val="auto"/>
          <w:highlight w:val="none"/>
        </w:rPr>
      </w:pPr>
    </w:p>
    <w:p w14:paraId="0CE9C3A9">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5.开标</w:t>
      </w:r>
    </w:p>
    <w:p w14:paraId="068279CF">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 开标时间和地点</w:t>
      </w:r>
    </w:p>
    <w:p w14:paraId="3F0F985D">
      <w:pPr>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bCs w:val="0"/>
          <w:color w:val="auto"/>
          <w:szCs w:val="21"/>
          <w:highlight w:val="none"/>
          <w:lang w:val="en-US" w:eastAsia="zh-CN"/>
        </w:rPr>
        <w:t xml:space="preserve">5.1.1 </w:t>
      </w:r>
      <w:r>
        <w:rPr>
          <w:rFonts w:hint="eastAsia" w:ascii="宋体" w:hAnsi="宋体" w:eastAsia="宋体" w:cs="宋体"/>
          <w:bCs w:val="0"/>
          <w:color w:val="auto"/>
          <w:szCs w:val="21"/>
          <w:highlight w:val="none"/>
        </w:rPr>
        <w:t>开标时间和地点详见招标公告。</w:t>
      </w:r>
    </w:p>
    <w:p w14:paraId="7083D08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5.1.2投标人的授权代理人应在投标截止时间前到场，并带齐个人身份证明文件当场提交与核验（所有个人身份证原件于开标会现场查验后当场退还）。</w:t>
      </w:r>
    </w:p>
    <w:p w14:paraId="0F796D3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5.1.3 投标人参加开标会人员的身份证明文件要求见投标人须知前附表</w:t>
      </w:r>
      <w:r>
        <w:rPr>
          <w:rFonts w:hint="eastAsia" w:ascii="宋体" w:hAnsi="宋体" w:eastAsia="宋体" w:cs="宋体"/>
          <w:color w:val="auto"/>
          <w:szCs w:val="21"/>
          <w:highlight w:val="none"/>
          <w:lang w:val="en-US" w:eastAsia="zh-CN"/>
        </w:rPr>
        <w:t>及招标公告</w:t>
      </w:r>
      <w:r>
        <w:rPr>
          <w:rFonts w:hint="eastAsia" w:ascii="宋体" w:hAnsi="宋体" w:eastAsia="宋体" w:cs="宋体"/>
          <w:color w:val="auto"/>
          <w:szCs w:val="21"/>
          <w:highlight w:val="none"/>
        </w:rPr>
        <w:t>。</w:t>
      </w:r>
    </w:p>
    <w:p w14:paraId="6704698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5.1.4 投标人的授权代理人未全程参加开标会的，视为该投标人默认开标结果。</w:t>
      </w:r>
    </w:p>
    <w:p w14:paraId="7E840804">
      <w:pPr>
        <w:pStyle w:val="189"/>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highlight w:val="none"/>
        </w:rPr>
      </w:pPr>
    </w:p>
    <w:p w14:paraId="5A711F7D">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 开标程序</w:t>
      </w:r>
    </w:p>
    <w:p w14:paraId="35D04E63">
      <w:pPr>
        <w:spacing w:line="360" w:lineRule="auto"/>
        <w:ind w:lef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5.2.1  投标人出席开标会人员的身份检查由招标人代表实施并当众宣布检查结果；投标文件密封情况检查由投</w:t>
      </w:r>
      <w:r>
        <w:rPr>
          <w:rFonts w:hint="eastAsia" w:ascii="宋体" w:hAnsi="宋体" w:eastAsia="宋体" w:cs="宋体"/>
          <w:color w:val="auto"/>
          <w:szCs w:val="21"/>
          <w:highlight w:val="none"/>
          <w:lang w:eastAsia="zh-CN"/>
        </w:rPr>
        <w:t>标人</w:t>
      </w:r>
      <w:r>
        <w:rPr>
          <w:rFonts w:hint="eastAsia" w:ascii="宋体" w:hAnsi="宋体" w:eastAsia="宋体" w:cs="宋体"/>
          <w:color w:val="auto"/>
          <w:szCs w:val="21"/>
          <w:highlight w:val="none"/>
        </w:rPr>
        <w:t>按签到顺序排前的两名</w:t>
      </w:r>
      <w:r>
        <w:rPr>
          <w:rFonts w:hint="eastAsia" w:ascii="宋体" w:hAnsi="宋体" w:eastAsia="宋体" w:cs="宋体"/>
          <w:color w:val="auto"/>
          <w:szCs w:val="21"/>
          <w:highlight w:val="none"/>
          <w:lang w:val="en-US" w:eastAsia="zh-CN"/>
        </w:rPr>
        <w:t>投标人代表</w:t>
      </w:r>
      <w:r>
        <w:rPr>
          <w:rFonts w:hint="eastAsia" w:ascii="宋体" w:hAnsi="宋体" w:eastAsia="宋体" w:cs="宋体"/>
          <w:color w:val="auto"/>
          <w:szCs w:val="21"/>
          <w:highlight w:val="none"/>
        </w:rPr>
        <w:t>实施并当场宣布检查结果。不符合规定要求的，其投标将被拒绝</w:t>
      </w:r>
      <w:r>
        <w:rPr>
          <w:rFonts w:hint="eastAsia" w:ascii="宋体" w:hAnsi="宋体" w:eastAsia="宋体" w:cs="宋体"/>
          <w:color w:val="auto"/>
          <w:szCs w:val="21"/>
          <w:highlight w:val="none"/>
          <w:lang w:eastAsia="zh-CN"/>
        </w:rPr>
        <w:t>。</w:t>
      </w:r>
    </w:p>
    <w:p w14:paraId="6344518C">
      <w:pPr>
        <w:spacing w:line="360" w:lineRule="auto"/>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5.2.2 开标顺序：随机。</w:t>
      </w:r>
    </w:p>
    <w:p w14:paraId="000E8568">
      <w:pPr>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5.2.3 </w:t>
      </w:r>
      <w:r>
        <w:rPr>
          <w:rFonts w:hint="eastAsia" w:ascii="宋体" w:hAnsi="宋体" w:eastAsia="宋体" w:cs="宋体"/>
          <w:color w:val="auto"/>
          <w:szCs w:val="21"/>
          <w:highlight w:val="none"/>
        </w:rPr>
        <w:t>主持人按下列程序对投标文件进行开标：</w:t>
      </w:r>
    </w:p>
    <w:p w14:paraId="1C22A5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（1）宣布开标纪律，介绍参加开标会的人员；</w:t>
      </w:r>
    </w:p>
    <w:p w14:paraId="3C6FDB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（2）公布在投标截止时间前递交投标文件的投标人名称；</w:t>
      </w:r>
    </w:p>
    <w:p w14:paraId="733D6E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（3）按照投标人须知前附表规定检查投标文件的密封情况；</w:t>
      </w:r>
    </w:p>
    <w:p w14:paraId="720A8E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（4）按照投标人须知前附表的规定确定并宣布投标文件开标顺序；</w:t>
      </w:r>
    </w:p>
    <w:p w14:paraId="6FDDB1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（5）设有标底的，公布标底；</w:t>
      </w:r>
    </w:p>
    <w:p w14:paraId="59D00C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（6）核验投标保证金递交等情况；</w:t>
      </w:r>
    </w:p>
    <w:p w14:paraId="7A6CCD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（7）按照宣布的开标顺序当众开标，公布投标人名称、包组名称、投标报价及相关内容，并</w:t>
      </w:r>
      <w:r>
        <w:rPr>
          <w:rFonts w:hint="eastAsia" w:ascii="宋体" w:hAnsi="宋体" w:eastAsia="宋体" w:cs="宋体"/>
          <w:color w:val="auto"/>
          <w:szCs w:val="21"/>
          <w:highlight w:val="none"/>
          <w:lang w:val="en-US" w:eastAsia="zh-CN"/>
        </w:rPr>
        <w:t>进行</w:t>
      </w:r>
      <w:r>
        <w:rPr>
          <w:rFonts w:hint="eastAsia" w:ascii="宋体" w:hAnsi="宋体" w:eastAsia="宋体" w:cs="宋体"/>
          <w:color w:val="auto"/>
          <w:szCs w:val="21"/>
          <w:highlight w:val="none"/>
        </w:rPr>
        <w:t>记录；</w:t>
      </w:r>
    </w:p>
    <w:p w14:paraId="3DEC92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）招标人通过随机</w:t>
      </w:r>
      <w:r>
        <w:rPr>
          <w:rFonts w:hint="eastAsia" w:ascii="宋体" w:hAnsi="宋体" w:eastAsia="宋体" w:cs="宋体"/>
          <w:color w:val="auto"/>
          <w:szCs w:val="21"/>
          <w:highlight w:val="none"/>
          <w:lang w:val="en-US" w:eastAsia="zh-CN"/>
        </w:rPr>
        <w:t>抽取</w:t>
      </w:r>
      <w:r>
        <w:rPr>
          <w:rFonts w:hint="eastAsia" w:ascii="宋体" w:hAnsi="宋体" w:eastAsia="宋体" w:cs="宋体"/>
          <w:color w:val="auto"/>
          <w:szCs w:val="21"/>
          <w:highlight w:val="none"/>
        </w:rPr>
        <w:t>方式，从合理平均值、综合平均值中抽取一种评标基准价计算办法；</w:t>
      </w:r>
    </w:p>
    <w:p w14:paraId="7679DDA5">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）招标人通过随机</w:t>
      </w:r>
      <w:r>
        <w:rPr>
          <w:rFonts w:hint="eastAsia" w:ascii="宋体" w:hAnsi="宋体" w:eastAsia="宋体" w:cs="宋体"/>
          <w:color w:val="auto"/>
          <w:szCs w:val="21"/>
          <w:highlight w:val="none"/>
          <w:lang w:val="en-US" w:eastAsia="zh-CN"/>
        </w:rPr>
        <w:t>抽取</w:t>
      </w:r>
      <w:r>
        <w:rPr>
          <w:rFonts w:hint="eastAsia" w:ascii="宋体" w:hAnsi="宋体" w:eastAsia="宋体" w:cs="宋体"/>
          <w:color w:val="auto"/>
          <w:szCs w:val="21"/>
          <w:highlight w:val="none"/>
        </w:rPr>
        <w:t>方式，根据评标办法前附表中的规定抽取3个不同数值，3个数值的平均值即为下浮率k；</w:t>
      </w:r>
    </w:p>
    <w:p w14:paraId="5BDF82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）招标人通过随机</w:t>
      </w:r>
      <w:r>
        <w:rPr>
          <w:rFonts w:hint="eastAsia" w:ascii="宋体" w:hAnsi="宋体" w:eastAsia="宋体" w:cs="宋体"/>
          <w:color w:val="auto"/>
          <w:szCs w:val="21"/>
          <w:highlight w:val="none"/>
          <w:lang w:val="en-US" w:eastAsia="zh-CN"/>
        </w:rPr>
        <w:t>抽取</w:t>
      </w:r>
      <w:r>
        <w:rPr>
          <w:rFonts w:hint="eastAsia" w:ascii="宋体" w:hAnsi="宋体" w:eastAsia="宋体" w:cs="宋体"/>
          <w:color w:val="auto"/>
          <w:szCs w:val="21"/>
          <w:highlight w:val="none"/>
        </w:rPr>
        <w:t>方式，从0.4至0.8（以0.05递增）中抽取产生F1值；</w:t>
      </w:r>
    </w:p>
    <w:p w14:paraId="032185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）开标结束。</w:t>
      </w:r>
    </w:p>
    <w:p w14:paraId="69D2B3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评标委员会</w:t>
      </w:r>
      <w:r>
        <w:rPr>
          <w:rFonts w:hint="eastAsia" w:ascii="宋体" w:hAnsi="宋体" w:eastAsia="宋体" w:cs="宋体"/>
          <w:color w:val="auto"/>
          <w:szCs w:val="21"/>
          <w:highlight w:val="none"/>
        </w:rPr>
        <w:t>成员不得参加开标会议。</w:t>
      </w:r>
    </w:p>
    <w:p w14:paraId="589982D4">
      <w:pPr>
        <w:pStyle w:val="189"/>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highlight w:val="none"/>
        </w:rPr>
      </w:pPr>
    </w:p>
    <w:p w14:paraId="4B6E6F09">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 开标异议</w:t>
      </w:r>
    </w:p>
    <w:p w14:paraId="7706920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5.3.1 投标人对开标有异议的，应当在开标时当场提出，招标人当场作出答复，并制作记录。</w:t>
      </w:r>
    </w:p>
    <w:p w14:paraId="1869E663">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 当开标过程发生争议无法确定投标文件的有效性时，则提交评标委员会裁决。</w:t>
      </w:r>
    </w:p>
    <w:p w14:paraId="6597F0AC">
      <w:pPr>
        <w:pStyle w:val="192"/>
        <w:pageBreakBefore w:val="0"/>
        <w:kinsoku/>
        <w:overflowPunct/>
        <w:bidi w:val="0"/>
        <w:spacing w:before="0" w:beforeLines="0" w:afterLines="0" w:line="360" w:lineRule="auto"/>
        <w:ind w:left="0" w:leftChars="0" w:right="0" w:firstLine="560" w:firstLineChars="200"/>
        <w:rPr>
          <w:rFonts w:hint="eastAsia" w:ascii="宋体" w:hAnsi="宋体" w:eastAsia="宋体" w:cs="宋体"/>
          <w:color w:val="auto"/>
          <w:highlight w:val="none"/>
        </w:rPr>
      </w:pPr>
    </w:p>
    <w:p w14:paraId="676FBE24">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w:t>
      </w:r>
    </w:p>
    <w:p w14:paraId="1A426479">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 评标委员会</w:t>
      </w:r>
    </w:p>
    <w:p w14:paraId="21A2EFA1">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 评标由招标人依法组建的评标委员会负责。评标委员会成员人数以及技术、经济等方面专家的确定方式见投标人须知前附表。</w:t>
      </w:r>
    </w:p>
    <w:p w14:paraId="2238D38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 评标委员会成员有下列情形之一的，应当主动提出回避：</w:t>
      </w:r>
    </w:p>
    <w:p w14:paraId="7754ED28">
      <w:pPr>
        <w:pStyle w:val="183"/>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（1）招标项目的主管部门（包括上级管理部门）或者对该项目有监督职责的行业主管部门的工作人员；</w:t>
      </w:r>
    </w:p>
    <w:p w14:paraId="27FE8588">
      <w:pPr>
        <w:pStyle w:val="183"/>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（2）招标项目的招标人、投标人的工作人员、退休或离职未满3年的人员；</w:t>
      </w:r>
    </w:p>
    <w:p w14:paraId="6AC5EE29">
      <w:pPr>
        <w:pStyle w:val="183"/>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（3）招标项目的招标人、投标人主要负责人的近亲属；</w:t>
      </w:r>
    </w:p>
    <w:p w14:paraId="15C77658">
      <w:pPr>
        <w:pStyle w:val="183"/>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（4）与招标项目的投标人有直接利害关系，可能影响投标公正评审的</w:t>
      </w:r>
      <w:bookmarkStart w:id="668" w:name="_GoBack"/>
      <w:bookmarkEnd w:id="668"/>
      <w:r>
        <w:rPr>
          <w:rFonts w:hint="eastAsia" w:ascii="宋体" w:hAnsi="宋体" w:eastAsia="宋体" w:cs="宋体"/>
          <w:color w:val="auto"/>
          <w:kern w:val="2"/>
          <w:szCs w:val="21"/>
          <w:highlight w:val="none"/>
        </w:rPr>
        <w:t>；</w:t>
      </w:r>
    </w:p>
    <w:p w14:paraId="1EC2281F">
      <w:pPr>
        <w:pStyle w:val="183"/>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（5）曾因在招标、评标以及其他与招标投标有关活动中从事违法行为而受过行政处罚或刑事</w:t>
      </w:r>
    </w:p>
    <w:p w14:paraId="5CD6DB7A">
      <w:pPr>
        <w:pStyle w:val="183"/>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处罚的；</w:t>
      </w:r>
    </w:p>
    <w:p w14:paraId="5F99D4D7">
      <w:pPr>
        <w:pStyle w:val="183"/>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Cs w:val="21"/>
          <w:highlight w:val="none"/>
        </w:rPr>
        <w:t>（6）</w:t>
      </w:r>
      <w:r>
        <w:rPr>
          <w:rFonts w:hint="eastAsia" w:ascii="宋体" w:hAnsi="宋体" w:eastAsia="宋体" w:cs="宋体"/>
          <w:color w:val="auto"/>
          <w:szCs w:val="21"/>
          <w:highlight w:val="none"/>
        </w:rPr>
        <w:t>有关法律、法规、规章、规范性文件以及国家、省、市各级政府部门工作文件规定的其</w:t>
      </w:r>
    </w:p>
    <w:p w14:paraId="7631E504">
      <w:pPr>
        <w:pStyle w:val="183"/>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szCs w:val="21"/>
          <w:highlight w:val="none"/>
        </w:rPr>
        <w:t>他情形</w:t>
      </w:r>
      <w:r>
        <w:rPr>
          <w:rFonts w:hint="eastAsia" w:ascii="宋体" w:hAnsi="宋体" w:eastAsia="宋体" w:cs="宋体"/>
          <w:color w:val="auto"/>
          <w:kern w:val="2"/>
          <w:szCs w:val="21"/>
          <w:highlight w:val="none"/>
        </w:rPr>
        <w:t>。</w:t>
      </w:r>
    </w:p>
    <w:p w14:paraId="5FF096C0">
      <w:pPr>
        <w:pStyle w:val="183"/>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7BF2D5CC">
      <w:pPr>
        <w:pStyle w:val="183"/>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p>
    <w:p w14:paraId="640D68FE">
      <w:pPr>
        <w:pStyle w:val="25"/>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highlight w:val="none"/>
        </w:rPr>
      </w:pPr>
      <w:r>
        <w:rPr>
          <w:rFonts w:hint="eastAsia" w:ascii="宋体" w:hAnsi="宋体" w:eastAsia="宋体" w:cs="宋体"/>
          <w:color w:val="auto"/>
          <w:sz w:val="22"/>
          <w:szCs w:val="22"/>
          <w:highlight w:val="none"/>
        </w:rPr>
        <w:t>6.2 评标原则</w:t>
      </w:r>
    </w:p>
    <w:p w14:paraId="4671901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评标活动遵循公平、公正、科学和择优的原则。</w:t>
      </w:r>
    </w:p>
    <w:p w14:paraId="6641A501">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p>
    <w:p w14:paraId="325AB27C">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 评标</w:t>
      </w:r>
    </w:p>
    <w:p w14:paraId="760DCD8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6.3.1 评标委员会按照第四章“评标办法”规定的方法、评审因素、标准和程序对投标文件进行评审。第四章“评标办法”没有规定的方法、评审因素和标准，不作为评标依据。</w:t>
      </w:r>
    </w:p>
    <w:p w14:paraId="538610EA">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6.3.2 评标完成后，评标委员会应当向招标人提交书面评标报告和中标候选人名单/定标候选人名单。</w:t>
      </w:r>
    </w:p>
    <w:p w14:paraId="5AD385B2">
      <w:pPr>
        <w:pageBreakBefore w:val="0"/>
        <w:kinsoku/>
        <w:overflowPunct/>
        <w:bidi w:val="0"/>
        <w:spacing w:beforeLines="0" w:afterLines="0" w:line="360" w:lineRule="auto"/>
        <w:ind w:left="0" w:leftChars="0" w:righ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6.3.3 评标的应急措施</w:t>
      </w:r>
    </w:p>
    <w:p w14:paraId="592DBF64">
      <w:pPr>
        <w:pageBreakBefore w:val="0"/>
        <w:kinsoku/>
        <w:overflowPunct/>
        <w:bidi w:val="0"/>
        <w:spacing w:beforeLines="0" w:afterLines="0" w:line="360" w:lineRule="auto"/>
        <w:ind w:left="0" w:leftChars="0" w:righ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开标结束后，因故障无法评标时，经</w:t>
      </w:r>
      <w:r>
        <w:rPr>
          <w:rFonts w:hint="eastAsia" w:ascii="宋体" w:hAnsi="宋体" w:cs="宋体"/>
          <w:bCs/>
          <w:color w:val="auto"/>
          <w:szCs w:val="21"/>
          <w:highlight w:val="none"/>
          <w:lang w:val="en-US" w:eastAsia="zh-CN"/>
        </w:rPr>
        <w:t>流转中心</w:t>
      </w:r>
      <w:r>
        <w:rPr>
          <w:rFonts w:hint="eastAsia" w:ascii="宋体" w:hAnsi="宋体" w:eastAsia="宋体" w:cs="宋体"/>
          <w:bCs/>
          <w:color w:val="auto"/>
          <w:szCs w:val="21"/>
          <w:highlight w:val="none"/>
        </w:rPr>
        <w:t>确认后，招标人暂停评标活动，等待故障排除后继续评标。采取应急措施时，必须对原有资料及信息作出妥善保密处理。</w:t>
      </w:r>
    </w:p>
    <w:p w14:paraId="708CCF97">
      <w:pPr>
        <w:pStyle w:val="24"/>
        <w:keepNext w:val="0"/>
        <w:keepLines w:val="0"/>
        <w:pageBreakBefore w:val="0"/>
        <w:kinsoku/>
        <w:overflowPunct/>
        <w:bidi w:val="0"/>
        <w:spacing w:beforeLines="0" w:afterLines="0" w:line="360" w:lineRule="auto"/>
        <w:ind w:left="0" w:leftChars="0" w:right="0" w:firstLine="422" w:firstLineChars="20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rPr>
        <w:t>以下6.4款至7.4.6款适用于综合评估法，如采用评标定标分离法，可删除相关内容。</w:t>
      </w:r>
    </w:p>
    <w:p w14:paraId="4BBB3EFA">
      <w:pPr>
        <w:pStyle w:val="24"/>
        <w:keepNext w:val="0"/>
        <w:keepLines w:val="0"/>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 推荐中标候选人</w:t>
      </w:r>
    </w:p>
    <w:p w14:paraId="33E51AD5">
      <w:pPr>
        <w:pStyle w:val="24"/>
        <w:keepNext w:val="0"/>
        <w:keepLines w:val="0"/>
        <w:pageBreakBefore w:val="0"/>
        <w:kinsoku/>
        <w:overflowPunct/>
        <w:bidi w:val="0"/>
        <w:spacing w:beforeLines="0" w:afterLines="0" w:line="360" w:lineRule="auto"/>
        <w:ind w:left="0" w:leftChars="0" w:righ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评标委员会按照招标文件要求推荐中标候选人，中标候选人的人数见投标人须知前附表。</w:t>
      </w:r>
    </w:p>
    <w:p w14:paraId="1767C165">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08D4C09D">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6.5 中标候选人、评标过程及评标结果公示</w:t>
      </w:r>
    </w:p>
    <w:p w14:paraId="72F8C1B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见投标人须知前附表。</w:t>
      </w:r>
    </w:p>
    <w:p w14:paraId="3E110B29">
      <w:pPr>
        <w:pStyle w:val="24"/>
        <w:keepNext w:val="0"/>
        <w:keepLines w:val="0"/>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p>
    <w:p w14:paraId="515145BD">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7.中标、公示及合同授予</w:t>
      </w:r>
    </w:p>
    <w:p w14:paraId="5B81F923">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7.1中标</w:t>
      </w:r>
    </w:p>
    <w:p w14:paraId="344D2E9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 经公示无异议后，招标人确定第一中标候选人为中标人。</w:t>
      </w:r>
    </w:p>
    <w:p w14:paraId="4C578A23">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 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也可以重新招标。</w:t>
      </w:r>
    </w:p>
    <w:p w14:paraId="4EDA6BC6">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7.1.3 中标人的投标报价为中标价。</w:t>
      </w:r>
    </w:p>
    <w:p w14:paraId="4EBE8DBB">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56487D13">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 中标通知</w:t>
      </w:r>
    </w:p>
    <w:p w14:paraId="67BC5329">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招标人应当在中标人确定之日起7日内，向中标人发出中标通知书，并同时将中标结果通知所有未中标的投标人。</w:t>
      </w:r>
    </w:p>
    <w:p w14:paraId="6FD8DE29">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p>
    <w:p w14:paraId="3E5E3921">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 履约保证金</w:t>
      </w:r>
    </w:p>
    <w:p w14:paraId="28AF8B2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 在签订合同前，中标人应按投标人须知前附表规定的金额、形式和招标文件第五章“合同条款及格式”规定的格式向招标人提交履约保证金。联合体中标的，其履约保证金由牵头人递交，并应符合投标人须知前附表规定的金额、形式和招标文件第五章“合同条款及格式”规定的格式要求。</w:t>
      </w:r>
    </w:p>
    <w:p w14:paraId="18662CBB">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 中标人不能按本章第7.3.1项要求提交履约保证金的，视为放弃中标，其投标保证金不予退还，给招标人造成的损失超过履约保证金数额的，还应当对超过部分予以赔偿。</w:t>
      </w:r>
    </w:p>
    <w:p w14:paraId="712C2B39">
      <w:pPr>
        <w:pStyle w:val="189"/>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highlight w:val="none"/>
        </w:rPr>
      </w:pPr>
    </w:p>
    <w:p w14:paraId="0B7C0F59">
      <w:pPr>
        <w:pStyle w:val="25"/>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7.4 签订合同</w:t>
      </w:r>
    </w:p>
    <w:p w14:paraId="4B7D8AE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7.4.1 招标人和中标人应当自中标通知书发出之日起30日内，根据招标文件和中标人的投标文件订立书面合同。中标人无正当理由拒签合同，在签订合同时向招标人提出附加条件或者更改合同实质性内容的，或者不按照招标文件要求提交履约保证金的，招标人取消其中标资格，其投标保证金不予退还；给招标人造成的损失超过投标保证金数额的，中标人还应当对超过部分予以赔偿。 </w:t>
      </w:r>
    </w:p>
    <w:p w14:paraId="304A83A2">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7.4.2 发出中标通知书后，招标人无正当理由拒签合同，或者在签订合同时向中标人提出附加条件的，招标人向中标人退还投标保证金；给中标人造成损失的，还应当赔偿损失。 </w:t>
      </w:r>
    </w:p>
    <w:p w14:paraId="5518155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7.4.3 在签订</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合同之前，中标人应当根据招标文件及中标人的投标文件承诺组建项目管理团队，安排项目负责人等施工现场关键岗位人员到岗履职。否则，须自行承担由此造成的一切延误后果。中标人原则上不得更换施工现场关键岗位人员的。确需更换的，应符合《佛山市政府投资工程建设项目标后履约监督管理办法（试行）》等相关规定并经过批准，且更换的人员不得低于原拟派人员的所有条件。</w:t>
      </w:r>
    </w:p>
    <w:p w14:paraId="33315FE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7.4.4 签订</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合同时，签约双方应出示法定代表人证明书或其代理人授权书。</w:t>
      </w:r>
    </w:p>
    <w:p w14:paraId="3EBADBE3">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7.4.5 联合体中标的，联合体各方应当共同与招标人签订合同，就中标项目向招标人承担连带责任。</w:t>
      </w:r>
    </w:p>
    <w:p w14:paraId="084B2F01">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7.4.6 中标人因本章第7.4.1项被取消其中标资格后，招标人可以按照评标委员会提出的中标候选人名单排序依次确定其他中标候选人为中标人，也可以重新招标。</w:t>
      </w:r>
    </w:p>
    <w:p w14:paraId="0918588B">
      <w:pPr>
        <w:pStyle w:val="24"/>
        <w:keepNext w:val="0"/>
        <w:keepLines w:val="0"/>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p>
    <w:p w14:paraId="6FA76F48">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strike w:val="0"/>
          <w:color w:val="auto"/>
          <w:sz w:val="22"/>
          <w:szCs w:val="22"/>
          <w:highlight w:val="none"/>
        </w:rPr>
      </w:pPr>
      <w:r>
        <w:rPr>
          <w:rFonts w:hint="eastAsia" w:ascii="宋体" w:hAnsi="宋体" w:eastAsia="宋体" w:cs="宋体"/>
          <w:strike w:val="0"/>
          <w:color w:val="auto"/>
          <w:sz w:val="22"/>
          <w:szCs w:val="22"/>
          <w:highlight w:val="none"/>
        </w:rPr>
        <w:t>8. 重新招标</w:t>
      </w:r>
    </w:p>
    <w:p w14:paraId="469A5255">
      <w:pPr>
        <w:pageBreakBefore w:val="0"/>
        <w:kinsoku/>
        <w:overflowPunct/>
        <w:bidi w:val="0"/>
        <w:spacing w:beforeLines="0" w:afterLines="0" w:line="360" w:lineRule="auto"/>
        <w:ind w:left="0" w:leftChars="0" w:right="0" w:firstLine="420" w:firstLineChars="200"/>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有下列情形之一的，招标人应当重新招标：</w:t>
      </w:r>
    </w:p>
    <w:p w14:paraId="0DFEF99F">
      <w:pPr>
        <w:pageBreakBefore w:val="0"/>
        <w:kinsoku/>
        <w:overflowPunct/>
        <w:bidi w:val="0"/>
        <w:spacing w:beforeLines="0" w:afterLines="0" w:line="360" w:lineRule="auto"/>
        <w:ind w:left="0" w:leftChars="0" w:right="0" w:firstLine="420" w:firstLineChars="200"/>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（1）投标截止时间止，投标人少于3个的；</w:t>
      </w:r>
    </w:p>
    <w:p w14:paraId="10D5D09C">
      <w:pPr>
        <w:pageBreakBefore w:val="0"/>
        <w:kinsoku/>
        <w:overflowPunct/>
        <w:bidi w:val="0"/>
        <w:spacing w:beforeLines="0" w:afterLines="0" w:line="360" w:lineRule="auto"/>
        <w:ind w:left="0" w:leftChars="0" w:right="0" w:firstLine="420" w:firstLineChars="200"/>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（2）通过初步评审的有效投标人少于3个的；</w:t>
      </w:r>
    </w:p>
    <w:p w14:paraId="54F214EB">
      <w:pPr>
        <w:pageBreakBefore w:val="0"/>
        <w:kinsoku/>
        <w:overflowPunct/>
        <w:bidi w:val="0"/>
        <w:spacing w:beforeLines="0" w:afterLines="0" w:line="360" w:lineRule="auto"/>
        <w:ind w:left="0" w:leftChars="0" w:right="0" w:firstLine="420" w:firstLineChars="200"/>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（3）定标候选人少于3个的；</w:t>
      </w:r>
    </w:p>
    <w:p w14:paraId="6864CCA6">
      <w:pPr>
        <w:pageBreakBefore w:val="0"/>
        <w:kinsoku/>
        <w:overflowPunct/>
        <w:bidi w:val="0"/>
        <w:spacing w:beforeLines="0" w:afterLines="0" w:line="360" w:lineRule="auto"/>
        <w:ind w:left="0" w:leftChars="0" w:right="0" w:firstLine="420" w:firstLineChars="200"/>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（4）只推荐1个中标候选人时，中标候选人中标无效或者放弃中标的；</w:t>
      </w:r>
    </w:p>
    <w:p w14:paraId="0D33E533">
      <w:pPr>
        <w:pageBreakBefore w:val="0"/>
        <w:kinsoku/>
        <w:overflowPunct/>
        <w:bidi w:val="0"/>
        <w:spacing w:beforeLines="0" w:afterLines="0" w:line="360" w:lineRule="auto"/>
        <w:ind w:left="0" w:leftChars="0" w:right="0" w:firstLine="420" w:firstLineChars="200"/>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（5）法律法规规定的其他情形。</w:t>
      </w:r>
    </w:p>
    <w:p w14:paraId="704EDC86">
      <w:pPr>
        <w:pageBreakBefore w:val="0"/>
        <w:kinsoku/>
        <w:overflowPunct/>
        <w:bidi w:val="0"/>
        <w:spacing w:beforeLines="0" w:afterLines="0" w:line="360" w:lineRule="auto"/>
        <w:ind w:left="0" w:leftChars="0" w:right="0" w:firstLine="420" w:firstLineChars="200"/>
        <w:rPr>
          <w:rFonts w:hint="eastAsia" w:ascii="宋体" w:hAnsi="宋体" w:eastAsia="宋体" w:cs="宋体"/>
          <w:strike w:val="0"/>
          <w:color w:val="auto"/>
          <w:highlight w:val="none"/>
        </w:rPr>
      </w:pPr>
    </w:p>
    <w:p w14:paraId="27B06255">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strike w:val="0"/>
          <w:color w:val="auto"/>
          <w:sz w:val="22"/>
          <w:szCs w:val="22"/>
          <w:highlight w:val="none"/>
        </w:rPr>
      </w:pPr>
      <w:r>
        <w:rPr>
          <w:rFonts w:hint="eastAsia" w:ascii="宋体" w:hAnsi="宋体" w:eastAsia="宋体" w:cs="宋体"/>
          <w:strike w:val="0"/>
          <w:color w:val="auto"/>
          <w:sz w:val="22"/>
          <w:szCs w:val="22"/>
          <w:highlight w:val="none"/>
        </w:rPr>
        <w:t>9. 纪律和监督</w:t>
      </w:r>
    </w:p>
    <w:p w14:paraId="6FC2B743">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strike w:val="0"/>
          <w:color w:val="auto"/>
          <w:sz w:val="22"/>
          <w:szCs w:val="22"/>
          <w:highlight w:val="none"/>
        </w:rPr>
      </w:pPr>
      <w:r>
        <w:rPr>
          <w:rFonts w:hint="eastAsia" w:ascii="宋体" w:hAnsi="宋体" w:eastAsia="宋体" w:cs="宋体"/>
          <w:strike w:val="0"/>
          <w:color w:val="auto"/>
          <w:sz w:val="22"/>
          <w:szCs w:val="22"/>
          <w:highlight w:val="none"/>
        </w:rPr>
        <w:t>9.1 对招标人的纪律要求</w:t>
      </w:r>
    </w:p>
    <w:p w14:paraId="1EA58188">
      <w:pPr>
        <w:pageBreakBefore w:val="0"/>
        <w:kinsoku/>
        <w:overflowPunct/>
        <w:bidi w:val="0"/>
        <w:spacing w:beforeLines="0" w:afterLines="0" w:line="360" w:lineRule="auto"/>
        <w:ind w:left="0" w:leftChars="0" w:right="0" w:firstLine="420" w:firstLineChars="200"/>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招标人不得泄露招标投标活动中应当保密的情况和资料，不得与投标人串通损害国家利益、社会公共利益或者他人合法权益。</w:t>
      </w:r>
    </w:p>
    <w:p w14:paraId="47B6D243">
      <w:pPr>
        <w:pStyle w:val="189"/>
        <w:pageBreakBefore w:val="0"/>
        <w:kinsoku/>
        <w:overflowPunct/>
        <w:bidi w:val="0"/>
        <w:spacing w:beforeLines="0" w:afterLines="0" w:line="360" w:lineRule="auto"/>
        <w:ind w:left="0" w:leftChars="0" w:right="0" w:firstLine="480" w:firstLineChars="200"/>
        <w:rPr>
          <w:rFonts w:hint="eastAsia" w:ascii="宋体" w:hAnsi="宋体" w:eastAsia="宋体" w:cs="宋体"/>
          <w:strike w:val="0"/>
          <w:color w:val="auto"/>
          <w:highlight w:val="none"/>
        </w:rPr>
      </w:pPr>
    </w:p>
    <w:p w14:paraId="2D336334">
      <w:pPr>
        <w:pStyle w:val="25"/>
        <w:pageBreakBefore w:val="0"/>
        <w:kinsoku/>
        <w:overflowPunct/>
        <w:bidi w:val="0"/>
        <w:spacing w:beforeLines="0" w:afterLines="0" w:line="360" w:lineRule="auto"/>
        <w:ind w:left="0" w:leftChars="0" w:right="0" w:firstLine="442" w:firstLineChars="200"/>
        <w:rPr>
          <w:rFonts w:hint="eastAsia" w:ascii="宋体" w:hAnsi="宋体" w:eastAsia="宋体" w:cs="宋体"/>
          <w:strike w:val="0"/>
          <w:color w:val="auto"/>
          <w:sz w:val="22"/>
          <w:szCs w:val="22"/>
          <w:highlight w:val="none"/>
        </w:rPr>
      </w:pPr>
      <w:r>
        <w:rPr>
          <w:rFonts w:hint="eastAsia" w:ascii="宋体" w:hAnsi="宋体" w:eastAsia="宋体" w:cs="宋体"/>
          <w:strike w:val="0"/>
          <w:color w:val="auto"/>
          <w:sz w:val="22"/>
          <w:szCs w:val="22"/>
          <w:highlight w:val="none"/>
        </w:rPr>
        <w:t>9.2 对投标人的纪律要求</w:t>
      </w:r>
    </w:p>
    <w:p w14:paraId="5C252792">
      <w:pPr>
        <w:pageBreakBefore w:val="0"/>
        <w:kinsoku/>
        <w:overflowPunct/>
        <w:bidi w:val="0"/>
        <w:spacing w:beforeLines="0" w:afterLines="0" w:line="360" w:lineRule="auto"/>
        <w:ind w:left="0" w:leftChars="0" w:right="0" w:firstLine="420" w:firstLineChars="200"/>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投标人不得相互串通投标或者与招标人串通投标，不得向招标人或者评标委员会成员行贿谋取中标，不得以他人名义投标或者以其他方式弄虚作假骗取中标；投标人不得以任何方式干扰、影响评标定标工作。</w:t>
      </w:r>
    </w:p>
    <w:p w14:paraId="2841FCBD">
      <w:pPr>
        <w:pStyle w:val="2"/>
        <w:pageBreakBefore w:val="0"/>
        <w:kinsoku/>
        <w:overflowPunct/>
        <w:bidi w:val="0"/>
        <w:spacing w:beforeLines="0" w:afterLines="0" w:line="360" w:lineRule="auto"/>
        <w:ind w:left="0" w:leftChars="0" w:right="0"/>
        <w:rPr>
          <w:rFonts w:hint="eastAsia" w:ascii="宋体" w:hAnsi="宋体" w:eastAsia="宋体" w:cs="宋体"/>
          <w:strike w:val="0"/>
          <w:color w:val="auto"/>
          <w:highlight w:val="none"/>
        </w:rPr>
      </w:pPr>
    </w:p>
    <w:p w14:paraId="10E2FBEC">
      <w:pPr>
        <w:pStyle w:val="25"/>
        <w:pageBreakBefore w:val="0"/>
        <w:kinsoku/>
        <w:overflowPunct/>
        <w:bidi w:val="0"/>
        <w:spacing w:beforeLines="0" w:afterLines="0" w:line="360" w:lineRule="auto"/>
        <w:ind w:left="0" w:leftChars="0" w:right="0" w:firstLine="442" w:firstLineChars="200"/>
        <w:rPr>
          <w:rFonts w:hint="eastAsia" w:ascii="宋体" w:hAnsi="宋体" w:eastAsia="宋体" w:cs="宋体"/>
          <w:strike w:val="0"/>
          <w:color w:val="auto"/>
          <w:sz w:val="22"/>
          <w:szCs w:val="22"/>
          <w:highlight w:val="none"/>
        </w:rPr>
      </w:pPr>
      <w:r>
        <w:rPr>
          <w:rFonts w:hint="eastAsia" w:ascii="宋体" w:hAnsi="宋体" w:eastAsia="宋体" w:cs="宋体"/>
          <w:strike w:val="0"/>
          <w:color w:val="auto"/>
          <w:sz w:val="22"/>
          <w:szCs w:val="22"/>
          <w:highlight w:val="none"/>
        </w:rPr>
        <w:t>9.3 对评标委员会成员的纪律要求</w:t>
      </w:r>
    </w:p>
    <w:p w14:paraId="3B5AAED1">
      <w:pPr>
        <w:pageBreakBefore w:val="0"/>
        <w:kinsoku/>
        <w:overflowPunct/>
        <w:bidi w:val="0"/>
        <w:spacing w:beforeLines="0" w:afterLines="0" w:line="360" w:lineRule="auto"/>
        <w:ind w:left="0" w:leftChars="0" w:right="0" w:firstLine="420" w:firstLineChars="200"/>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四章“评标定标办法”没有规定的评审因素和标准进行评标。</w:t>
      </w:r>
    </w:p>
    <w:p w14:paraId="65500F14">
      <w:pPr>
        <w:pStyle w:val="2"/>
        <w:pageBreakBefore w:val="0"/>
        <w:kinsoku/>
        <w:overflowPunct/>
        <w:bidi w:val="0"/>
        <w:spacing w:beforeLines="0" w:afterLines="0" w:line="360" w:lineRule="auto"/>
        <w:ind w:left="0" w:leftChars="0" w:right="0"/>
        <w:rPr>
          <w:rFonts w:hint="eastAsia" w:ascii="宋体" w:hAnsi="宋体" w:eastAsia="宋体" w:cs="宋体"/>
          <w:strike w:val="0"/>
          <w:color w:val="auto"/>
          <w:highlight w:val="none"/>
        </w:rPr>
      </w:pPr>
    </w:p>
    <w:p w14:paraId="76304B78">
      <w:pPr>
        <w:pStyle w:val="25"/>
        <w:keepNext w:val="0"/>
        <w:keepLines w:val="0"/>
        <w:pageBreakBefore w:val="0"/>
        <w:kinsoku/>
        <w:overflowPunct/>
        <w:bidi w:val="0"/>
        <w:spacing w:beforeLines="0" w:afterLines="0" w:line="360" w:lineRule="auto"/>
        <w:ind w:left="0" w:leftChars="0" w:right="0" w:firstLine="442" w:firstLineChars="200"/>
        <w:rPr>
          <w:rFonts w:hint="eastAsia" w:ascii="宋体" w:hAnsi="宋体" w:eastAsia="宋体" w:cs="宋体"/>
          <w:strike w:val="0"/>
          <w:color w:val="auto"/>
          <w:sz w:val="22"/>
          <w:szCs w:val="22"/>
          <w:highlight w:val="none"/>
        </w:rPr>
      </w:pPr>
      <w:r>
        <w:rPr>
          <w:rFonts w:hint="eastAsia" w:ascii="宋体" w:hAnsi="宋体" w:eastAsia="宋体" w:cs="宋体"/>
          <w:strike w:val="0"/>
          <w:color w:val="auto"/>
          <w:sz w:val="22"/>
          <w:szCs w:val="22"/>
          <w:highlight w:val="none"/>
        </w:rPr>
        <w:t>9.</w:t>
      </w:r>
      <w:r>
        <w:rPr>
          <w:rFonts w:hint="eastAsia" w:ascii="宋体" w:hAnsi="宋体" w:cs="宋体"/>
          <w:strike w:val="0"/>
          <w:color w:val="auto"/>
          <w:sz w:val="22"/>
          <w:szCs w:val="22"/>
          <w:highlight w:val="none"/>
          <w:lang w:val="en-US" w:eastAsia="zh-CN"/>
        </w:rPr>
        <w:t>4</w:t>
      </w:r>
      <w:r>
        <w:rPr>
          <w:rFonts w:hint="eastAsia" w:ascii="宋体" w:hAnsi="宋体" w:eastAsia="宋体" w:cs="宋体"/>
          <w:strike w:val="0"/>
          <w:color w:val="auto"/>
          <w:sz w:val="22"/>
          <w:szCs w:val="22"/>
          <w:highlight w:val="none"/>
        </w:rPr>
        <w:t xml:space="preserve"> 对与评标、定标活动有关的工作人员的纪律要求</w:t>
      </w:r>
    </w:p>
    <w:p w14:paraId="2F791756">
      <w:pPr>
        <w:pageBreakBefore w:val="0"/>
        <w:kinsoku/>
        <w:overflowPunct/>
        <w:bidi w:val="0"/>
        <w:spacing w:beforeLines="0" w:afterLines="0" w:line="360" w:lineRule="auto"/>
        <w:ind w:left="0" w:leftChars="0" w:right="0" w:firstLine="420" w:firstLineChars="200"/>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与评标、定标活动有关的工作人员不得收受他人的财物或者其他好处，不得向他人透露对投标文件的评审和比较、定标候选人、中标候选人的推荐情况以及与评标、定标有关的其他情况。在评标、定标活动中，与评标、定标活动有关的工作人员不得擅离职守，影响评标、定标程序正常进行。</w:t>
      </w:r>
    </w:p>
    <w:p w14:paraId="158E2894">
      <w:pPr>
        <w:pStyle w:val="25"/>
        <w:keepNext w:val="0"/>
        <w:keepLines w:val="0"/>
        <w:pageBreakBefore w:val="0"/>
        <w:kinsoku/>
        <w:overflowPunct/>
        <w:bidi w:val="0"/>
        <w:spacing w:beforeLines="0" w:afterLines="0" w:line="360" w:lineRule="auto"/>
        <w:ind w:left="0" w:leftChars="0" w:right="0" w:firstLine="442" w:firstLineChars="200"/>
        <w:rPr>
          <w:rFonts w:hint="eastAsia" w:ascii="宋体" w:hAnsi="宋体" w:eastAsia="宋体" w:cs="宋体"/>
          <w:strike w:val="0"/>
          <w:color w:val="auto"/>
          <w:sz w:val="22"/>
          <w:szCs w:val="22"/>
          <w:highlight w:val="none"/>
        </w:rPr>
      </w:pPr>
    </w:p>
    <w:p w14:paraId="08F68635">
      <w:pPr>
        <w:pStyle w:val="25"/>
        <w:keepNext w:val="0"/>
        <w:keepLines w:val="0"/>
        <w:pageBreakBefore w:val="0"/>
        <w:kinsoku/>
        <w:overflowPunct/>
        <w:bidi w:val="0"/>
        <w:spacing w:beforeLines="0" w:afterLines="0" w:line="360" w:lineRule="auto"/>
        <w:ind w:left="0" w:leftChars="0" w:right="0" w:firstLine="442" w:firstLineChars="200"/>
        <w:rPr>
          <w:rFonts w:hint="eastAsia" w:ascii="宋体" w:hAnsi="宋体" w:eastAsia="宋体" w:cs="宋体"/>
          <w:strike w:val="0"/>
          <w:color w:val="auto"/>
          <w:sz w:val="22"/>
          <w:szCs w:val="22"/>
          <w:highlight w:val="none"/>
        </w:rPr>
      </w:pPr>
      <w:r>
        <w:rPr>
          <w:rFonts w:hint="eastAsia" w:ascii="宋体" w:hAnsi="宋体" w:eastAsia="宋体" w:cs="宋体"/>
          <w:strike w:val="0"/>
          <w:color w:val="auto"/>
          <w:sz w:val="22"/>
          <w:szCs w:val="22"/>
          <w:highlight w:val="none"/>
        </w:rPr>
        <w:t>9.</w:t>
      </w:r>
      <w:r>
        <w:rPr>
          <w:rFonts w:hint="eastAsia" w:ascii="宋体" w:hAnsi="宋体" w:cs="宋体"/>
          <w:strike w:val="0"/>
          <w:color w:val="auto"/>
          <w:sz w:val="22"/>
          <w:szCs w:val="22"/>
          <w:highlight w:val="none"/>
          <w:lang w:val="en-US" w:eastAsia="zh-CN"/>
        </w:rPr>
        <w:t>5</w:t>
      </w:r>
      <w:r>
        <w:rPr>
          <w:rFonts w:hint="eastAsia" w:ascii="宋体" w:hAnsi="宋体" w:eastAsia="宋体" w:cs="宋体"/>
          <w:strike w:val="0"/>
          <w:color w:val="auto"/>
          <w:sz w:val="22"/>
          <w:szCs w:val="22"/>
          <w:highlight w:val="none"/>
        </w:rPr>
        <w:t xml:space="preserve"> 异议和投诉</w:t>
      </w:r>
    </w:p>
    <w:p w14:paraId="199298A6">
      <w:pPr>
        <w:pStyle w:val="25"/>
        <w:keepNext w:val="0"/>
        <w:keepLines w:val="0"/>
        <w:pageBreakBefore w:val="0"/>
        <w:kinsoku/>
        <w:overflowPunct/>
        <w:bidi w:val="0"/>
        <w:spacing w:beforeLines="0" w:afterLines="0" w:line="360" w:lineRule="auto"/>
        <w:ind w:left="0" w:leftChars="0" w:right="0" w:firstLine="420" w:firstLineChars="200"/>
        <w:rPr>
          <w:rFonts w:hint="eastAsia" w:ascii="宋体" w:hAnsi="宋体" w:eastAsia="宋体" w:cs="宋体"/>
          <w:b w:val="0"/>
          <w:bCs w:val="0"/>
          <w:strike w:val="0"/>
          <w:color w:val="auto"/>
          <w:sz w:val="21"/>
          <w:szCs w:val="21"/>
          <w:highlight w:val="none"/>
        </w:rPr>
      </w:pPr>
      <w:r>
        <w:rPr>
          <w:rFonts w:hint="eastAsia" w:ascii="宋体" w:hAnsi="宋体" w:eastAsia="宋体" w:cs="宋体"/>
          <w:b w:val="0"/>
          <w:bCs w:val="0"/>
          <w:strike w:val="0"/>
          <w:color w:val="auto"/>
          <w:sz w:val="21"/>
          <w:szCs w:val="21"/>
          <w:highlight w:val="none"/>
        </w:rPr>
        <w:t>9.6.1 潜在投标人对招标文件有异议的，应当在投标截止时间10日前，向招标人提出。</w:t>
      </w:r>
    </w:p>
    <w:p w14:paraId="134784F1">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strike w:val="0"/>
          <w:color w:val="auto"/>
          <w:szCs w:val="21"/>
          <w:highlight w:val="none"/>
        </w:rPr>
        <w:t>9.6.2 投标人或者其他利害关系人认为招标投标活动不符合法律法规规定或者本办法规定的，可以</w:t>
      </w:r>
      <w:r>
        <w:rPr>
          <w:rFonts w:hint="eastAsia" w:ascii="宋体" w:hAnsi="宋体" w:eastAsia="宋体" w:cs="宋体"/>
          <w:color w:val="auto"/>
          <w:szCs w:val="21"/>
          <w:highlight w:val="none"/>
        </w:rPr>
        <w:t>自知道或者应当知道之日起10日内，应当向政务服务和数据管理部门或者行业主管部门提出投诉。投诉应当有明确的请求和必要的证明材料。</w:t>
      </w:r>
    </w:p>
    <w:p w14:paraId="088015A4">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9.6.3 就以下事项投诉的，应当先向招标人提出异议，异议答复期间不计算在前款规定的期限内。</w:t>
      </w:r>
    </w:p>
    <w:p w14:paraId="6AE9D95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（1）潜在投标人或者其他利害关系人对招标文件有异议的，应当在投标截止时间10日前提出。</w:t>
      </w:r>
    </w:p>
    <w:p w14:paraId="3A5FF63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（2）投标人对开标有异议的，应当在开标时当场提出，招标人应当当场作出答复，并制作记录。</w:t>
      </w:r>
    </w:p>
    <w:p w14:paraId="524FE11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（3）投标人或者其他利害关系人对评标结果有异议的，应当在评标结果公示期间一次性完整提出。</w:t>
      </w:r>
    </w:p>
    <w:p w14:paraId="03E52BBB">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（4）投标人或者其他利害关系人对定标结果有异议的，应当在定标公示期间一次性完整提出。在定标公示期间，招标人不再受理针对评标结果提出的异议。</w:t>
      </w:r>
    </w:p>
    <w:p w14:paraId="7338390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9.6.4 投标人或者其他利害关系人的异议未一次性完整提出的，招标人不予受理。</w:t>
      </w:r>
    </w:p>
    <w:p w14:paraId="64184B06">
      <w:pPr>
        <w:pStyle w:val="192"/>
        <w:pageBreakBefore w:val="0"/>
        <w:kinsoku/>
        <w:overflowPunct/>
        <w:bidi w:val="0"/>
        <w:spacing w:before="0" w:beforeLines="0" w:afterLines="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9.6.5 若出现复核/复评且改变原评标结果/定标结果的，投标人或者其他利害关系人对复核/复评结果有异议的，应当在复核/复评结果公示期间</w:t>
      </w:r>
      <w:r>
        <w:rPr>
          <w:rFonts w:hint="eastAsia" w:ascii="宋体" w:hAnsi="宋体" w:eastAsia="宋体" w:cs="宋体"/>
          <w:color w:val="auto"/>
          <w:kern w:val="0"/>
          <w:sz w:val="21"/>
          <w:szCs w:val="21"/>
          <w:highlight w:val="none"/>
        </w:rPr>
        <w:t>向招标人</w:t>
      </w:r>
      <w:r>
        <w:rPr>
          <w:rFonts w:hint="eastAsia" w:ascii="宋体" w:hAnsi="宋体" w:eastAsia="宋体" w:cs="宋体"/>
          <w:color w:val="auto"/>
          <w:sz w:val="21"/>
          <w:szCs w:val="21"/>
          <w:highlight w:val="none"/>
        </w:rPr>
        <w:t>提出。招标人不再受理投标人或者其他利害关系人针对原评标结果/定标结果公示期间已公示内容（包括原中标候选人的投标文件）提出的异议。</w:t>
      </w:r>
    </w:p>
    <w:p w14:paraId="28F4A976">
      <w:pPr>
        <w:pStyle w:val="25"/>
        <w:pageBreakBefore w:val="0"/>
        <w:kinsoku/>
        <w:overflowPunct/>
        <w:bidi w:val="0"/>
        <w:spacing w:beforeLines="0" w:afterLines="0" w:line="360" w:lineRule="auto"/>
        <w:ind w:left="0" w:leftChars="0" w:right="0"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9.6.6 招标人应当自收到异议之日起3日内作出答复；作出答复前，应当暂停招标投标活动。</w:t>
      </w:r>
    </w:p>
    <w:p w14:paraId="0D5E956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9.6.7 投标人、潜在投标人或其他利害关系人应当充分重视异议、投诉提出的时限，避免异议权、投诉权因时效原因而灭失。</w:t>
      </w:r>
    </w:p>
    <w:p w14:paraId="09870482">
      <w:pPr>
        <w:pStyle w:val="192"/>
        <w:pageBreakBefore w:val="0"/>
        <w:kinsoku/>
        <w:overflowPunct/>
        <w:bidi w:val="0"/>
        <w:spacing w:before="0" w:beforeLines="0" w:afterLines="0" w:line="360" w:lineRule="auto"/>
        <w:ind w:left="0" w:leftChars="0" w:right="0" w:firstLine="560" w:firstLineChars="200"/>
        <w:rPr>
          <w:rFonts w:hint="eastAsia" w:ascii="宋体" w:hAnsi="宋体" w:eastAsia="宋体" w:cs="宋体"/>
          <w:color w:val="auto"/>
          <w:highlight w:val="none"/>
        </w:rPr>
      </w:pPr>
    </w:p>
    <w:p w14:paraId="14972060">
      <w:pPr>
        <w:pStyle w:val="24"/>
        <w:pageBreakBefore w:val="0"/>
        <w:kinsoku/>
        <w:overflowPunct/>
        <w:bidi w:val="0"/>
        <w:spacing w:beforeLines="0" w:afterLines="0" w:line="360" w:lineRule="auto"/>
        <w:ind w:left="0" w:leftChars="0" w:right="0"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 需要补充的其他内容</w:t>
      </w:r>
    </w:p>
    <w:p w14:paraId="0AA48B0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需要补充的其他内容：见投标人须知前附表。</w:t>
      </w:r>
    </w:p>
    <w:p w14:paraId="1DFBDBFA">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77"/>
      <w:bookmarkEnd w:id="78"/>
      <w:bookmarkEnd w:id="79"/>
      <w:bookmarkEnd w:id="80"/>
      <w:r>
        <w:rPr>
          <w:rFonts w:hint="eastAsia" w:ascii="宋体" w:hAnsi="宋体" w:eastAsia="宋体" w:cs="宋体"/>
          <w:b/>
          <w:color w:val="auto"/>
          <w:sz w:val="28"/>
          <w:szCs w:val="28"/>
          <w:highlight w:val="none"/>
        </w:rPr>
        <w:t>附表一：问题澄清通知</w:t>
      </w:r>
    </w:p>
    <w:p w14:paraId="59255358">
      <w:pPr>
        <w:pageBreakBefore w:val="0"/>
        <w:kinsoku/>
        <w:overflowPunct/>
        <w:bidi w:val="0"/>
        <w:spacing w:beforeLines="0" w:afterLines="0" w:line="360" w:lineRule="auto"/>
        <w:ind w:left="0" w:leftChars="0" w:right="0" w:firstLine="420" w:firstLineChars="200"/>
        <w:jc w:val="center"/>
        <w:rPr>
          <w:rFonts w:hint="eastAsia" w:ascii="宋体" w:hAnsi="宋体" w:eastAsia="宋体" w:cs="宋体"/>
          <w:color w:val="auto"/>
          <w:szCs w:val="21"/>
          <w:highlight w:val="none"/>
        </w:rPr>
      </w:pPr>
    </w:p>
    <w:p w14:paraId="144EAC51">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0" w:firstLine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问题澄清通知</w:t>
      </w:r>
    </w:p>
    <w:p w14:paraId="4EEE6C8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033400D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2F78B4EB">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w:t>
      </w:r>
    </w:p>
    <w:p w14:paraId="74C3CC83">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0563F4CA">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（项目名称）的评标委员会对你方的投标文件进行了仔细的审查，现需你方对下列问题予以澄清/说明/补正：</w:t>
      </w:r>
    </w:p>
    <w:p w14:paraId="32B52E6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4F4EF26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4DE2E639">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33C9ECEC">
      <w:pPr>
        <w:pStyle w:val="36"/>
        <w:pageBreakBefore w:val="0"/>
        <w:kinsoku/>
        <w:overflowPunct/>
        <w:bidi w:val="0"/>
        <w:spacing w:beforeLines="0" w:after="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513C45B2">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请将上述问题的澄清/说明/补正于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分前通过</w:t>
      </w:r>
      <w:r>
        <w:rPr>
          <w:rFonts w:hint="eastAsia" w:ascii="宋体" w:hAnsi="宋体" w:cs="宋体"/>
          <w:color w:val="auto"/>
          <w:szCs w:val="21"/>
          <w:highlight w:val="none"/>
          <w:lang w:eastAsia="zh-CN"/>
        </w:rPr>
        <w:t>佛山市南海区人民政府网站—佛山市公共资源交易中心南海分中心</w:t>
      </w:r>
      <w:r>
        <w:rPr>
          <w:rFonts w:hint="eastAsia" w:ascii="宋体" w:hAnsi="宋体" w:eastAsia="宋体" w:cs="宋体"/>
          <w:color w:val="auto"/>
          <w:szCs w:val="21"/>
          <w:highlight w:val="none"/>
        </w:rPr>
        <w:t>进行反馈。</w:t>
      </w:r>
    </w:p>
    <w:p w14:paraId="0C2AEEE6">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1DE46FD4">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49B43BFE">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（签章）</w:t>
      </w:r>
    </w:p>
    <w:p w14:paraId="3EEFC9F5">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szCs w:val="21"/>
          <w:highlight w:val="none"/>
        </w:rPr>
      </w:pPr>
    </w:p>
    <w:p w14:paraId="11F6170D">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88D479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55E487A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p>
    <w:p w14:paraId="53FB9211">
      <w:pPr>
        <w:pStyle w:val="25"/>
        <w:pageBreakBefore w:val="0"/>
        <w:kinsoku/>
        <w:overflowPunct/>
        <w:bidi w:val="0"/>
        <w:spacing w:beforeLines="0" w:afterLines="0" w:line="360" w:lineRule="auto"/>
        <w:ind w:left="0" w:leftChars="0" w:right="0" w:firstLine="562"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81" w:name="_Toc152042360"/>
      <w:bookmarkStart w:id="82" w:name="_Toc144974550"/>
      <w:bookmarkStart w:id="83" w:name="_Toc437961045"/>
      <w:bookmarkStart w:id="84" w:name="_Toc359208475"/>
      <w:bookmarkStart w:id="85" w:name="_Toc152045583"/>
      <w:r>
        <w:rPr>
          <w:rFonts w:hint="eastAsia" w:ascii="宋体" w:hAnsi="宋体" w:eastAsia="宋体" w:cs="宋体"/>
          <w:color w:val="auto"/>
          <w:highlight w:val="none"/>
        </w:rPr>
        <w:t>附表二：问题的澄清</w:t>
      </w:r>
      <w:bookmarkEnd w:id="81"/>
      <w:bookmarkEnd w:id="82"/>
      <w:bookmarkEnd w:id="83"/>
      <w:bookmarkEnd w:id="84"/>
      <w:bookmarkEnd w:id="85"/>
    </w:p>
    <w:p w14:paraId="5BD3937C">
      <w:pPr>
        <w:pageBreakBefore w:val="0"/>
        <w:kinsoku/>
        <w:overflowPunct/>
        <w:bidi w:val="0"/>
        <w:spacing w:beforeLines="0" w:afterLines="0" w:line="360" w:lineRule="auto"/>
        <w:ind w:left="0" w:leftChars="0" w:right="0" w:firstLine="560" w:firstLineChars="200"/>
        <w:jc w:val="center"/>
        <w:rPr>
          <w:rFonts w:hint="eastAsia" w:ascii="宋体" w:hAnsi="宋体" w:eastAsia="宋体" w:cs="宋体"/>
          <w:color w:val="auto"/>
          <w:sz w:val="28"/>
          <w:szCs w:val="28"/>
          <w:highlight w:val="none"/>
        </w:rPr>
      </w:pPr>
    </w:p>
    <w:p w14:paraId="002E7979">
      <w:pPr>
        <w:pageBreakBefore w:val="0"/>
        <w:kinsoku/>
        <w:overflowPunct/>
        <w:bidi w:val="0"/>
        <w:spacing w:beforeLines="0" w:afterLines="0" w:line="360" w:lineRule="auto"/>
        <w:ind w:left="0" w:leftChars="0" w:right="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问题的澄清</w:t>
      </w:r>
    </w:p>
    <w:p w14:paraId="6637DCCD">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编号： </w:t>
      </w:r>
    </w:p>
    <w:p w14:paraId="3EFA4C42">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0C4904FD">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（项目名称）评标委员会：</w:t>
      </w:r>
    </w:p>
    <w:p w14:paraId="37C02D7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2DA6D0A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问题澄清通知（编号：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）已收悉，现澄清/说明/补正如下：</w:t>
      </w:r>
    </w:p>
    <w:p w14:paraId="7BEC7FA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70CBE79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76EF042D">
      <w:pPr>
        <w:pStyle w:val="36"/>
        <w:pageBreakBefore w:val="0"/>
        <w:kinsoku/>
        <w:overflowPunct/>
        <w:bidi w:val="0"/>
        <w:spacing w:beforeLines="0" w:after="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47725A45">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3AC1B13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上述问题澄清/说明/补正，不改变我方投标文件的实质性内容，构成我方投标文件的组成部分。</w:t>
      </w:r>
    </w:p>
    <w:p w14:paraId="12723AC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201D0E4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010917B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3FDD1258">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（盖公章）</w:t>
      </w:r>
    </w:p>
    <w:p w14:paraId="519A1E45">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szCs w:val="21"/>
          <w:highlight w:val="none"/>
        </w:rPr>
      </w:pPr>
    </w:p>
    <w:p w14:paraId="02F98642">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3FD403C7">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szCs w:val="21"/>
          <w:highlight w:val="none"/>
        </w:rPr>
      </w:pPr>
    </w:p>
    <w:p w14:paraId="78DA52B1">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sz w:val="24"/>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64EE7E7">
      <w:pPr>
        <w:pageBreakBefore w:val="0"/>
        <w:kinsoku/>
        <w:overflowPunct/>
        <w:bidi w:val="0"/>
        <w:spacing w:beforeLines="0" w:afterLines="0" w:line="360" w:lineRule="auto"/>
        <w:ind w:left="0" w:leftChars="0" w:right="0" w:firstLine="562" w:firstLineChars="200"/>
        <w:rPr>
          <w:rFonts w:hint="eastAsia" w:ascii="宋体" w:hAnsi="宋体" w:eastAsia="宋体" w:cs="宋体"/>
          <w:b/>
          <w:bCs/>
          <w:color w:val="auto"/>
          <w:kern w:val="32"/>
          <w:sz w:val="28"/>
          <w:szCs w:val="40"/>
          <w:highlight w:val="none"/>
        </w:rPr>
      </w:pPr>
      <w:bookmarkStart w:id="86" w:name="_Toc25582"/>
      <w:bookmarkStart w:id="87" w:name="_Toc152045587"/>
      <w:bookmarkStart w:id="88" w:name="_Toc1352259797"/>
      <w:bookmarkStart w:id="89" w:name="_Toc144974554"/>
      <w:bookmarkStart w:id="90" w:name="_Toc1276155260"/>
      <w:bookmarkStart w:id="91" w:name="_Toc152042364"/>
      <w:bookmarkStart w:id="92" w:name="_Toc359208479"/>
      <w:bookmarkStart w:id="93" w:name="_Toc437961046"/>
      <w:bookmarkStart w:id="94" w:name="_Toc8199"/>
      <w:bookmarkStart w:id="95" w:name="_Toc11217"/>
      <w:bookmarkStart w:id="96" w:name="_Toc524942588"/>
      <w:r>
        <w:rPr>
          <w:rFonts w:hint="eastAsia" w:ascii="宋体" w:hAnsi="宋体" w:eastAsia="宋体" w:cs="宋体"/>
          <w:b/>
          <w:bCs/>
          <w:color w:val="auto"/>
          <w:kern w:val="32"/>
          <w:sz w:val="28"/>
          <w:szCs w:val="40"/>
          <w:highlight w:val="none"/>
        </w:rPr>
        <w:br w:type="page"/>
      </w:r>
    </w:p>
    <w:p w14:paraId="298C29D0">
      <w:pPr>
        <w:pageBreakBefore w:val="0"/>
        <w:kinsoku/>
        <w:overflowPunct/>
        <w:bidi w:val="0"/>
        <w:spacing w:beforeLines="0" w:afterLines="0" w:line="360" w:lineRule="auto"/>
        <w:ind w:left="0" w:leftChars="0" w:right="0"/>
        <w:jc w:val="center"/>
        <w:outlineLvl w:val="0"/>
        <w:rPr>
          <w:rFonts w:hint="eastAsia" w:ascii="宋体" w:hAnsi="宋体" w:eastAsia="宋体" w:cs="宋体"/>
          <w:b/>
          <w:bCs/>
          <w:color w:val="auto"/>
          <w:kern w:val="32"/>
          <w:sz w:val="28"/>
          <w:szCs w:val="40"/>
          <w:highlight w:val="none"/>
        </w:rPr>
      </w:pPr>
      <w:bookmarkStart w:id="97" w:name="_Toc16953"/>
      <w:bookmarkStart w:id="98" w:name="_Toc29541"/>
      <w:bookmarkStart w:id="99" w:name="_Toc19926"/>
      <w:bookmarkStart w:id="100" w:name="_Toc32586"/>
      <w:bookmarkStart w:id="101" w:name="_Toc32177"/>
      <w:bookmarkStart w:id="102" w:name="_Toc32186"/>
      <w:r>
        <w:rPr>
          <w:rFonts w:hint="eastAsia" w:ascii="宋体" w:hAnsi="宋体" w:eastAsia="宋体" w:cs="宋体"/>
          <w:b/>
          <w:bCs/>
          <w:color w:val="auto"/>
          <w:kern w:val="32"/>
          <w:sz w:val="28"/>
          <w:szCs w:val="40"/>
          <w:highlight w:val="none"/>
        </w:rPr>
        <w:t>第四章 评标定标办法（综合评估法）</w:t>
      </w:r>
      <w:bookmarkEnd w:id="97"/>
      <w:bookmarkEnd w:id="98"/>
      <w:bookmarkEnd w:id="99"/>
      <w:bookmarkEnd w:id="100"/>
      <w:bookmarkEnd w:id="101"/>
      <w:bookmarkEnd w:id="102"/>
    </w:p>
    <w:p w14:paraId="6374A98B">
      <w:pPr>
        <w:keepNext/>
        <w:keepLines/>
        <w:pageBreakBefore w:val="0"/>
        <w:kinsoku/>
        <w:overflowPunct/>
        <w:bidi w:val="0"/>
        <w:spacing w:beforeLines="0" w:afterLines="0" w:line="360" w:lineRule="auto"/>
        <w:ind w:left="0" w:leftChars="0" w:right="0"/>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评标办法前附表</w:t>
      </w:r>
    </w:p>
    <w:tbl>
      <w:tblPr>
        <w:tblStyle w:val="63"/>
        <w:tblW w:w="92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883"/>
        <w:gridCol w:w="2182"/>
        <w:gridCol w:w="5451"/>
      </w:tblGrid>
      <w:tr w14:paraId="1AEB4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50" w:type="dxa"/>
            <w:gridSpan w:val="2"/>
            <w:tcBorders>
              <w:top w:val="single" w:color="auto" w:sz="4" w:space="0"/>
              <w:bottom w:val="single" w:color="auto" w:sz="4" w:space="0"/>
              <w:right w:val="single" w:color="auto" w:sz="4" w:space="0"/>
            </w:tcBorders>
            <w:shd w:val="clear" w:color="auto" w:fill="E6E6E6"/>
            <w:vAlign w:val="center"/>
          </w:tcPr>
          <w:p w14:paraId="5FF76C5D">
            <w:pPr>
              <w:pageBreakBefore w:val="0"/>
              <w:kinsoku/>
              <w:overflowPunct/>
              <w:bidi w:val="0"/>
              <w:spacing w:beforeLines="0" w:afterLines="0" w:line="360" w:lineRule="auto"/>
              <w:ind w:left="0" w:leftChars="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条款号</w:t>
            </w:r>
          </w:p>
        </w:tc>
        <w:tc>
          <w:tcPr>
            <w:tcW w:w="2182" w:type="dxa"/>
            <w:tcBorders>
              <w:top w:val="single" w:color="auto" w:sz="4" w:space="0"/>
              <w:left w:val="single" w:color="auto" w:sz="4" w:space="0"/>
              <w:bottom w:val="single" w:color="auto" w:sz="4" w:space="0"/>
              <w:right w:val="single" w:color="auto" w:sz="4" w:space="0"/>
            </w:tcBorders>
            <w:shd w:val="clear" w:color="auto" w:fill="E6E6E6"/>
            <w:vAlign w:val="center"/>
          </w:tcPr>
          <w:p w14:paraId="0A235391">
            <w:pPr>
              <w:pageBreakBefore w:val="0"/>
              <w:kinsoku/>
              <w:overflowPunct/>
              <w:bidi w:val="0"/>
              <w:spacing w:beforeLines="0" w:afterLines="0" w:line="360" w:lineRule="auto"/>
              <w:ind w:left="0" w:leftChars="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51" w:type="dxa"/>
            <w:tcBorders>
              <w:top w:val="single" w:color="auto" w:sz="4" w:space="0"/>
              <w:left w:val="single" w:color="auto" w:sz="4" w:space="0"/>
              <w:bottom w:val="single" w:color="auto" w:sz="4" w:space="0"/>
              <w:right w:val="single" w:color="auto" w:sz="4" w:space="0"/>
            </w:tcBorders>
            <w:shd w:val="clear" w:color="auto" w:fill="E6E6E6"/>
            <w:vAlign w:val="center"/>
          </w:tcPr>
          <w:p w14:paraId="3DD553C7">
            <w:pPr>
              <w:pageBreakBefore w:val="0"/>
              <w:kinsoku/>
              <w:overflowPunct/>
              <w:bidi w:val="0"/>
              <w:spacing w:beforeLines="0" w:afterLines="0" w:line="360" w:lineRule="auto"/>
              <w:ind w:left="0" w:leftChars="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0957B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restart"/>
            <w:tcBorders>
              <w:top w:val="single" w:color="auto" w:sz="4" w:space="0"/>
              <w:right w:val="single" w:color="auto" w:sz="4" w:space="0"/>
            </w:tcBorders>
            <w:vAlign w:val="center"/>
          </w:tcPr>
          <w:p w14:paraId="6126E3B9">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883" w:type="dxa"/>
            <w:vMerge w:val="restart"/>
            <w:tcBorders>
              <w:top w:val="single" w:color="auto" w:sz="4" w:space="0"/>
              <w:right w:val="single" w:color="auto" w:sz="4" w:space="0"/>
            </w:tcBorders>
            <w:vAlign w:val="center"/>
          </w:tcPr>
          <w:p w14:paraId="5DE58F19">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w:t>
            </w:r>
          </w:p>
          <w:p w14:paraId="72EF1C70">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审标准</w:t>
            </w:r>
          </w:p>
        </w:tc>
        <w:tc>
          <w:tcPr>
            <w:tcW w:w="2182" w:type="dxa"/>
            <w:tcBorders>
              <w:top w:val="single" w:color="auto" w:sz="4" w:space="0"/>
              <w:left w:val="single" w:color="auto" w:sz="4" w:space="0"/>
              <w:bottom w:val="single" w:color="auto" w:sz="4" w:space="0"/>
              <w:right w:val="single" w:color="auto" w:sz="4" w:space="0"/>
            </w:tcBorders>
            <w:vAlign w:val="center"/>
          </w:tcPr>
          <w:p w14:paraId="48238D9D">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451" w:type="dxa"/>
            <w:tcBorders>
              <w:top w:val="single" w:color="auto" w:sz="4" w:space="0"/>
              <w:left w:val="single" w:color="auto" w:sz="4" w:space="0"/>
              <w:bottom w:val="single" w:color="auto" w:sz="4" w:space="0"/>
              <w:right w:val="single" w:color="auto" w:sz="4" w:space="0"/>
            </w:tcBorders>
            <w:vAlign w:val="center"/>
          </w:tcPr>
          <w:p w14:paraId="7C9E8F50">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与营业执照、资质证书（如有）、基本存款账户（</w:t>
            </w:r>
            <w:r>
              <w:rPr>
                <w:rFonts w:hint="eastAsia" w:ascii="宋体" w:hAnsi="宋体" w:eastAsia="宋体" w:cs="宋体"/>
                <w:color w:val="auto"/>
                <w:sz w:val="21"/>
                <w:szCs w:val="21"/>
                <w:highlight w:val="none"/>
                <w:lang w:val="en-US" w:eastAsia="zh-CN"/>
              </w:rPr>
              <w:t>适用于以现金方式提交投标保证金的投标人</w:t>
            </w:r>
            <w:r>
              <w:rPr>
                <w:rFonts w:hint="eastAsia" w:ascii="宋体" w:hAnsi="宋体" w:eastAsia="宋体" w:cs="宋体"/>
                <w:color w:val="auto"/>
                <w:sz w:val="21"/>
                <w:szCs w:val="21"/>
                <w:highlight w:val="none"/>
              </w:rPr>
              <w:t>）等证件的单位名称一致</w:t>
            </w:r>
            <w:r>
              <w:rPr>
                <w:rFonts w:hint="eastAsia" w:ascii="宋体" w:hAnsi="宋体" w:eastAsia="宋体" w:cs="宋体"/>
                <w:color w:val="auto"/>
                <w:sz w:val="21"/>
                <w:szCs w:val="21"/>
                <w:highlight w:val="none"/>
                <w:lang w:eastAsia="zh-CN"/>
              </w:rPr>
              <w:t>；</w:t>
            </w:r>
          </w:p>
        </w:tc>
      </w:tr>
      <w:tr w14:paraId="49092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0CBD1838">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41A58F4D">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7D0A6E0">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盖章</w:t>
            </w:r>
          </w:p>
        </w:tc>
        <w:tc>
          <w:tcPr>
            <w:tcW w:w="5451" w:type="dxa"/>
            <w:tcBorders>
              <w:top w:val="single" w:color="auto" w:sz="4" w:space="0"/>
              <w:left w:val="single" w:color="auto" w:sz="4" w:space="0"/>
              <w:bottom w:val="single" w:color="auto" w:sz="4" w:space="0"/>
              <w:right w:val="single" w:color="auto" w:sz="4" w:space="0"/>
            </w:tcBorders>
            <w:vAlign w:val="center"/>
          </w:tcPr>
          <w:p w14:paraId="0A8362D8">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符合第三章“投标人须知”第3.8.4款规定</w:t>
            </w:r>
          </w:p>
        </w:tc>
      </w:tr>
      <w:tr w14:paraId="4DE0C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520D16AC">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2DB8014A">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38AD020">
            <w:pPr>
              <w:pageBreakBefore w:val="0"/>
              <w:kinsoku/>
              <w:overflowPunct/>
              <w:bidi w:val="0"/>
              <w:spacing w:beforeLines="0" w:afterLines="0" w:line="360" w:lineRule="auto"/>
              <w:ind w:left="0"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联合体投标人（如有）</w:t>
            </w:r>
          </w:p>
        </w:tc>
        <w:tc>
          <w:tcPr>
            <w:tcW w:w="5451" w:type="dxa"/>
            <w:tcBorders>
              <w:top w:val="single" w:color="auto" w:sz="4" w:space="0"/>
              <w:left w:val="single" w:color="auto" w:sz="4" w:space="0"/>
              <w:bottom w:val="single" w:color="auto" w:sz="4" w:space="0"/>
              <w:right w:val="single" w:color="auto" w:sz="4" w:space="0"/>
            </w:tcBorders>
            <w:vAlign w:val="center"/>
          </w:tcPr>
          <w:p w14:paraId="140CB9ED">
            <w:pPr>
              <w:pageBreakBefore w:val="0"/>
              <w:kinsoku/>
              <w:overflowPunct/>
              <w:bidi w:val="0"/>
              <w:spacing w:beforeLines="0" w:afterLines="0" w:line="360" w:lineRule="auto"/>
              <w:ind w:left="0"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提交联合投标协议书，并明确联合体牵头人</w:t>
            </w:r>
          </w:p>
        </w:tc>
      </w:tr>
      <w:tr w14:paraId="5D041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2B810D03">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37E353D2">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723CBC3">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5451" w:type="dxa"/>
            <w:tcBorders>
              <w:top w:val="single" w:color="auto" w:sz="4" w:space="0"/>
              <w:left w:val="single" w:color="auto" w:sz="4" w:space="0"/>
              <w:bottom w:val="single" w:color="auto" w:sz="4" w:space="0"/>
              <w:right w:val="single" w:color="auto" w:sz="4" w:space="0"/>
            </w:tcBorders>
            <w:vAlign w:val="center"/>
          </w:tcPr>
          <w:p w14:paraId="50BCC4A5">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14:paraId="1E13B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bottom w:val="single" w:color="auto" w:sz="4" w:space="0"/>
              <w:right w:val="single" w:color="auto" w:sz="4" w:space="0"/>
            </w:tcBorders>
            <w:vAlign w:val="center"/>
          </w:tcPr>
          <w:p w14:paraId="31AD8F67">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bottom w:val="single" w:color="auto" w:sz="4" w:space="0"/>
              <w:right w:val="single" w:color="auto" w:sz="4" w:space="0"/>
            </w:tcBorders>
            <w:vAlign w:val="center"/>
          </w:tcPr>
          <w:p w14:paraId="26D67204">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5B8A044">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否决性条款集中载明的情形</w:t>
            </w:r>
          </w:p>
        </w:tc>
        <w:tc>
          <w:tcPr>
            <w:tcW w:w="5451" w:type="dxa"/>
            <w:tcBorders>
              <w:top w:val="single" w:color="auto" w:sz="4" w:space="0"/>
              <w:left w:val="single" w:color="auto" w:sz="4" w:space="0"/>
              <w:bottom w:val="single" w:color="auto" w:sz="4" w:space="0"/>
              <w:right w:val="single" w:color="auto" w:sz="4" w:space="0"/>
            </w:tcBorders>
            <w:vAlign w:val="center"/>
          </w:tcPr>
          <w:p w14:paraId="3DBA669B">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不存在否决性条款集中载明的情形规定</w:t>
            </w:r>
          </w:p>
        </w:tc>
      </w:tr>
      <w:tr w14:paraId="739AB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7" w:type="dxa"/>
            <w:vMerge w:val="restart"/>
            <w:tcBorders>
              <w:top w:val="single" w:color="auto" w:sz="4" w:space="0"/>
              <w:right w:val="single" w:color="auto" w:sz="4" w:space="0"/>
            </w:tcBorders>
            <w:vAlign w:val="center"/>
          </w:tcPr>
          <w:p w14:paraId="386ECD94">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883" w:type="dxa"/>
            <w:vMerge w:val="restart"/>
            <w:tcBorders>
              <w:top w:val="single" w:color="auto" w:sz="4" w:space="0"/>
              <w:right w:val="single" w:color="auto" w:sz="4" w:space="0"/>
            </w:tcBorders>
            <w:vAlign w:val="center"/>
          </w:tcPr>
          <w:p w14:paraId="169B5742">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182" w:type="dxa"/>
            <w:tcBorders>
              <w:top w:val="single" w:color="auto" w:sz="4" w:space="0"/>
              <w:left w:val="single" w:color="auto" w:sz="4" w:space="0"/>
              <w:bottom w:val="single" w:color="auto" w:sz="4" w:space="0"/>
              <w:right w:val="single" w:color="auto" w:sz="4" w:space="0"/>
            </w:tcBorders>
            <w:vAlign w:val="center"/>
          </w:tcPr>
          <w:p w14:paraId="22CAFFEB">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法人资格</w:t>
            </w:r>
          </w:p>
        </w:tc>
        <w:tc>
          <w:tcPr>
            <w:tcW w:w="5451" w:type="dxa"/>
            <w:tcBorders>
              <w:top w:val="single" w:color="auto" w:sz="4" w:space="0"/>
              <w:left w:val="single" w:color="auto" w:sz="4" w:space="0"/>
              <w:bottom w:val="single" w:color="auto" w:sz="4" w:space="0"/>
              <w:right w:val="single" w:color="auto" w:sz="4" w:space="0"/>
            </w:tcBorders>
            <w:vAlign w:val="center"/>
          </w:tcPr>
          <w:p w14:paraId="5C03BAAB">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eastAsia="zh-CN"/>
              </w:rPr>
              <w:t>具有独立法人资格并依法取得有效的营业执照</w:t>
            </w:r>
          </w:p>
        </w:tc>
      </w:tr>
      <w:tr w14:paraId="3845F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7" w:type="dxa"/>
            <w:vMerge w:val="continue"/>
            <w:tcBorders>
              <w:right w:val="single" w:color="auto" w:sz="4" w:space="0"/>
            </w:tcBorders>
            <w:vAlign w:val="center"/>
          </w:tcPr>
          <w:p w14:paraId="5F768523">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5E3FCE24">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tcPr>
          <w:p w14:paraId="461EBA87">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资质等级（如有）</w:t>
            </w:r>
          </w:p>
        </w:tc>
        <w:tc>
          <w:tcPr>
            <w:tcW w:w="5451" w:type="dxa"/>
            <w:tcBorders>
              <w:top w:val="single" w:color="auto" w:sz="4" w:space="0"/>
              <w:left w:val="single" w:color="auto" w:sz="4" w:space="0"/>
              <w:bottom w:val="single" w:color="auto" w:sz="4" w:space="0"/>
              <w:right w:val="single" w:color="auto" w:sz="4" w:space="0"/>
            </w:tcBorders>
            <w:vAlign w:val="center"/>
          </w:tcPr>
          <w:p w14:paraId="20044A56">
            <w:pPr>
              <w:pageBreakBefore w:val="0"/>
              <w:kinsoku/>
              <w:overflowPunct/>
              <w:bidi w:val="0"/>
              <w:spacing w:beforeLines="0" w:afterLines="0" w:line="360" w:lineRule="auto"/>
              <w:ind w:left="0" w:leftChars="0" w:right="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本招标项目</w:t>
            </w:r>
            <w:r>
              <w:rPr>
                <w:rFonts w:hint="eastAsia" w:ascii="宋体" w:hAnsi="宋体" w:cs="宋体"/>
                <w:color w:val="auto"/>
                <w:sz w:val="21"/>
                <w:szCs w:val="21"/>
                <w:highlight w:val="none"/>
                <w:lang w:eastAsia="zh-CN"/>
              </w:rPr>
              <w:t>招标公告</w:t>
            </w:r>
            <w:r>
              <w:rPr>
                <w:rFonts w:hint="eastAsia" w:ascii="宋体" w:hAnsi="宋体" w:eastAsia="宋体" w:cs="宋体"/>
                <w:color w:val="auto"/>
                <w:sz w:val="21"/>
                <w:szCs w:val="21"/>
                <w:highlight w:val="none"/>
              </w:rPr>
              <w:t>的要求</w:t>
            </w:r>
          </w:p>
        </w:tc>
      </w:tr>
      <w:tr w14:paraId="68655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7" w:type="dxa"/>
            <w:vMerge w:val="continue"/>
            <w:tcBorders>
              <w:right w:val="single" w:color="auto" w:sz="4" w:space="0"/>
            </w:tcBorders>
            <w:vAlign w:val="center"/>
          </w:tcPr>
          <w:p w14:paraId="206BDEFD">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6C44EC7F">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78548B9">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联合体投标人（如有）</w:t>
            </w:r>
          </w:p>
        </w:tc>
        <w:tc>
          <w:tcPr>
            <w:tcW w:w="5451" w:type="dxa"/>
            <w:tcBorders>
              <w:top w:val="single" w:color="auto" w:sz="4" w:space="0"/>
              <w:left w:val="single" w:color="auto" w:sz="4" w:space="0"/>
              <w:bottom w:val="single" w:color="auto" w:sz="4" w:space="0"/>
              <w:right w:val="single" w:color="auto" w:sz="4" w:space="0"/>
            </w:tcBorders>
            <w:vAlign w:val="center"/>
          </w:tcPr>
          <w:p w14:paraId="10174D7E">
            <w:pPr>
              <w:pageBreakBefore w:val="0"/>
              <w:kinsoku/>
              <w:overflowPunct/>
              <w:bidi w:val="0"/>
              <w:spacing w:beforeLines="0" w:afterLines="0" w:line="360" w:lineRule="auto"/>
              <w:ind w:left="0" w:leftChars="0" w:right="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本招标项目</w:t>
            </w:r>
            <w:r>
              <w:rPr>
                <w:rFonts w:hint="eastAsia" w:ascii="宋体" w:hAnsi="宋体" w:cs="宋体"/>
                <w:color w:val="auto"/>
                <w:sz w:val="21"/>
                <w:szCs w:val="21"/>
                <w:highlight w:val="none"/>
                <w:lang w:eastAsia="zh-CN"/>
              </w:rPr>
              <w:t>招标公告</w:t>
            </w:r>
            <w:r>
              <w:rPr>
                <w:rFonts w:hint="eastAsia" w:ascii="宋体" w:hAnsi="宋体" w:eastAsia="宋体" w:cs="宋体"/>
                <w:color w:val="auto"/>
                <w:sz w:val="21"/>
                <w:szCs w:val="21"/>
                <w:highlight w:val="none"/>
              </w:rPr>
              <w:t>的要求</w:t>
            </w:r>
          </w:p>
        </w:tc>
      </w:tr>
      <w:tr w14:paraId="56C1A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0DE3C23A">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6A59B992">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E777CB4">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进粤登记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c>
          <w:tcPr>
            <w:tcW w:w="5451" w:type="dxa"/>
            <w:tcBorders>
              <w:top w:val="single" w:color="auto" w:sz="4" w:space="0"/>
              <w:left w:val="single" w:color="auto" w:sz="4" w:space="0"/>
              <w:bottom w:val="single" w:color="auto" w:sz="4" w:space="0"/>
              <w:right w:val="single" w:color="auto" w:sz="4" w:space="0"/>
            </w:tcBorders>
            <w:vAlign w:val="center"/>
          </w:tcPr>
          <w:p w14:paraId="15CC544F">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本招标项目</w:t>
            </w:r>
            <w:r>
              <w:rPr>
                <w:rFonts w:hint="eastAsia" w:ascii="宋体" w:hAnsi="宋体" w:cs="宋体"/>
                <w:color w:val="auto"/>
                <w:sz w:val="21"/>
                <w:szCs w:val="21"/>
                <w:highlight w:val="none"/>
                <w:lang w:eastAsia="zh-CN"/>
              </w:rPr>
              <w:t>招标公告</w:t>
            </w:r>
            <w:r>
              <w:rPr>
                <w:rFonts w:hint="eastAsia" w:ascii="宋体" w:hAnsi="宋体" w:eastAsia="宋体" w:cs="宋体"/>
                <w:color w:val="auto"/>
                <w:sz w:val="21"/>
                <w:szCs w:val="21"/>
                <w:highlight w:val="none"/>
              </w:rPr>
              <w:t>的要求</w:t>
            </w:r>
          </w:p>
        </w:tc>
      </w:tr>
      <w:tr w14:paraId="364A2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767" w:type="dxa"/>
            <w:vMerge w:val="continue"/>
            <w:tcBorders>
              <w:right w:val="single" w:color="auto" w:sz="4" w:space="0"/>
            </w:tcBorders>
            <w:vAlign w:val="center"/>
          </w:tcPr>
          <w:p w14:paraId="7DAED955">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68C5B35F">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10A39DF">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5451" w:type="dxa"/>
            <w:tcBorders>
              <w:top w:val="single" w:color="auto" w:sz="4" w:space="0"/>
              <w:left w:val="single" w:color="auto" w:sz="4" w:space="0"/>
              <w:bottom w:val="single" w:color="auto" w:sz="4" w:space="0"/>
              <w:right w:val="single" w:color="auto" w:sz="4" w:space="0"/>
            </w:tcBorders>
            <w:vAlign w:val="center"/>
          </w:tcPr>
          <w:p w14:paraId="1DFA0C21">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本招标项目</w:t>
            </w:r>
            <w:r>
              <w:rPr>
                <w:rFonts w:hint="eastAsia" w:ascii="宋体" w:hAnsi="宋体" w:cs="宋体"/>
                <w:color w:val="auto"/>
                <w:sz w:val="21"/>
                <w:szCs w:val="21"/>
                <w:highlight w:val="none"/>
                <w:lang w:eastAsia="zh-CN"/>
              </w:rPr>
              <w:t>招标公告</w:t>
            </w:r>
            <w:r>
              <w:rPr>
                <w:rFonts w:hint="eastAsia" w:ascii="宋体" w:hAnsi="宋体" w:eastAsia="宋体" w:cs="宋体"/>
                <w:color w:val="auto"/>
                <w:sz w:val="21"/>
                <w:szCs w:val="21"/>
                <w:highlight w:val="none"/>
              </w:rPr>
              <w:t>的要求</w:t>
            </w:r>
          </w:p>
        </w:tc>
      </w:tr>
      <w:tr w14:paraId="2750B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69E106AE">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677F5443">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98752F4">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5451" w:type="dxa"/>
            <w:tcBorders>
              <w:top w:val="single" w:color="auto" w:sz="4" w:space="0"/>
              <w:left w:val="single" w:color="auto" w:sz="4" w:space="0"/>
              <w:bottom w:val="single" w:color="auto" w:sz="4" w:space="0"/>
              <w:right w:val="single" w:color="auto" w:sz="4" w:space="0"/>
            </w:tcBorders>
            <w:vAlign w:val="center"/>
          </w:tcPr>
          <w:p w14:paraId="5096ACDA">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本招标项目</w:t>
            </w:r>
            <w:r>
              <w:rPr>
                <w:rFonts w:hint="eastAsia" w:ascii="宋体" w:hAnsi="宋体" w:cs="宋体"/>
                <w:color w:val="auto"/>
                <w:sz w:val="21"/>
                <w:szCs w:val="21"/>
                <w:highlight w:val="none"/>
                <w:lang w:eastAsia="zh-CN"/>
              </w:rPr>
              <w:t>招标公告</w:t>
            </w:r>
            <w:r>
              <w:rPr>
                <w:rFonts w:hint="eastAsia" w:ascii="宋体" w:hAnsi="宋体" w:eastAsia="宋体" w:cs="宋体"/>
                <w:color w:val="auto"/>
                <w:sz w:val="21"/>
                <w:szCs w:val="21"/>
                <w:highlight w:val="none"/>
              </w:rPr>
              <w:t>的要求</w:t>
            </w:r>
          </w:p>
        </w:tc>
      </w:tr>
      <w:tr w14:paraId="3CAF6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6271ADB9">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414F4D67">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72B9313">
            <w:pPr>
              <w:pageBreakBefore w:val="0"/>
              <w:kinsoku/>
              <w:overflowPunct/>
              <w:bidi w:val="0"/>
              <w:spacing w:beforeLines="0" w:afterLines="0" w:line="360" w:lineRule="auto"/>
              <w:ind w:left="0"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类似项目业绩（如有）</w:t>
            </w:r>
          </w:p>
        </w:tc>
        <w:tc>
          <w:tcPr>
            <w:tcW w:w="5451" w:type="dxa"/>
            <w:tcBorders>
              <w:top w:val="single" w:color="auto" w:sz="4" w:space="0"/>
              <w:left w:val="single" w:color="auto" w:sz="4" w:space="0"/>
              <w:bottom w:val="single" w:color="auto" w:sz="4" w:space="0"/>
              <w:right w:val="single" w:color="auto" w:sz="4" w:space="0"/>
            </w:tcBorders>
            <w:vAlign w:val="center"/>
          </w:tcPr>
          <w:p w14:paraId="01928797">
            <w:pPr>
              <w:pageBreakBefore w:val="0"/>
              <w:kinsoku/>
              <w:overflowPunct/>
              <w:bidi w:val="0"/>
              <w:spacing w:beforeLines="0" w:afterLines="0" w:line="360" w:lineRule="auto"/>
              <w:ind w:left="0" w:leftChars="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本招标项目</w:t>
            </w:r>
            <w:r>
              <w:rPr>
                <w:rFonts w:hint="eastAsia" w:ascii="宋体" w:hAnsi="宋体" w:cs="宋体"/>
                <w:color w:val="auto"/>
                <w:sz w:val="21"/>
                <w:szCs w:val="21"/>
                <w:highlight w:val="none"/>
                <w:lang w:eastAsia="zh-CN"/>
              </w:rPr>
              <w:t>招标公告</w:t>
            </w:r>
            <w:r>
              <w:rPr>
                <w:rFonts w:hint="eastAsia" w:ascii="宋体" w:hAnsi="宋体" w:eastAsia="宋体" w:cs="宋体"/>
                <w:color w:val="auto"/>
                <w:sz w:val="21"/>
                <w:szCs w:val="21"/>
                <w:highlight w:val="none"/>
              </w:rPr>
              <w:t>的要求</w:t>
            </w:r>
          </w:p>
        </w:tc>
      </w:tr>
      <w:tr w14:paraId="58E4E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2837357C">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4877128B">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DEE388C">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否决性条款集中载明的情形</w:t>
            </w:r>
          </w:p>
        </w:tc>
        <w:tc>
          <w:tcPr>
            <w:tcW w:w="5451" w:type="dxa"/>
            <w:tcBorders>
              <w:top w:val="single" w:color="auto" w:sz="4" w:space="0"/>
              <w:left w:val="single" w:color="auto" w:sz="4" w:space="0"/>
              <w:bottom w:val="single" w:color="auto" w:sz="4" w:space="0"/>
              <w:right w:val="single" w:color="auto" w:sz="4" w:space="0"/>
            </w:tcBorders>
            <w:vAlign w:val="center"/>
          </w:tcPr>
          <w:p w14:paraId="3963FFC4">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不存在否决性条款集中载明的情形规定</w:t>
            </w:r>
          </w:p>
        </w:tc>
      </w:tr>
      <w:tr w14:paraId="1D6D0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restart"/>
            <w:tcBorders>
              <w:top w:val="single" w:color="auto" w:sz="4" w:space="0"/>
              <w:right w:val="single" w:color="auto" w:sz="4" w:space="0"/>
            </w:tcBorders>
            <w:vAlign w:val="center"/>
          </w:tcPr>
          <w:p w14:paraId="3529757E">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883" w:type="dxa"/>
            <w:vMerge w:val="restart"/>
            <w:tcBorders>
              <w:top w:val="single" w:color="auto" w:sz="4" w:space="0"/>
              <w:right w:val="single" w:color="auto" w:sz="4" w:space="0"/>
            </w:tcBorders>
            <w:vAlign w:val="center"/>
          </w:tcPr>
          <w:p w14:paraId="4D050617">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w:t>
            </w:r>
          </w:p>
          <w:p w14:paraId="4BD2EA02">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2182" w:type="dxa"/>
            <w:tcBorders>
              <w:top w:val="single" w:color="auto" w:sz="4" w:space="0"/>
              <w:left w:val="single" w:color="auto" w:sz="4" w:space="0"/>
              <w:bottom w:val="single" w:color="auto" w:sz="4" w:space="0"/>
              <w:right w:val="single" w:color="auto" w:sz="4" w:space="0"/>
            </w:tcBorders>
            <w:vAlign w:val="center"/>
          </w:tcPr>
          <w:p w14:paraId="0C4BF76C">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投标范围</w:t>
            </w:r>
          </w:p>
        </w:tc>
        <w:tc>
          <w:tcPr>
            <w:tcW w:w="5451" w:type="dxa"/>
            <w:tcBorders>
              <w:top w:val="single" w:color="auto" w:sz="4" w:space="0"/>
              <w:left w:val="single" w:color="auto" w:sz="4" w:space="0"/>
              <w:bottom w:val="single" w:color="auto" w:sz="4" w:space="0"/>
              <w:right w:val="single" w:color="auto" w:sz="4" w:space="0"/>
            </w:tcBorders>
            <w:vAlign w:val="center"/>
          </w:tcPr>
          <w:p w14:paraId="5CECA1B7">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本招标项目</w:t>
            </w:r>
            <w:r>
              <w:rPr>
                <w:rFonts w:hint="eastAsia" w:ascii="宋体" w:hAnsi="宋体" w:cs="宋体"/>
                <w:color w:val="auto"/>
                <w:sz w:val="21"/>
                <w:szCs w:val="21"/>
                <w:highlight w:val="none"/>
                <w:lang w:eastAsia="zh-CN"/>
              </w:rPr>
              <w:t>招标公告</w:t>
            </w:r>
            <w:r>
              <w:rPr>
                <w:rFonts w:hint="eastAsia" w:ascii="宋体" w:hAnsi="宋体" w:eastAsia="宋体" w:cs="宋体"/>
                <w:color w:val="auto"/>
                <w:sz w:val="21"/>
                <w:szCs w:val="21"/>
                <w:highlight w:val="none"/>
              </w:rPr>
              <w:t>的要求</w:t>
            </w:r>
          </w:p>
        </w:tc>
      </w:tr>
      <w:tr w14:paraId="0B10D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5B550101">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76D726B8">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2B808B6">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服务期</w:t>
            </w:r>
          </w:p>
        </w:tc>
        <w:tc>
          <w:tcPr>
            <w:tcW w:w="5451" w:type="dxa"/>
            <w:tcBorders>
              <w:top w:val="single" w:color="auto" w:sz="4" w:space="0"/>
              <w:left w:val="single" w:color="auto" w:sz="4" w:space="0"/>
              <w:bottom w:val="single" w:color="auto" w:sz="4" w:space="0"/>
              <w:right w:val="single" w:color="auto" w:sz="4" w:space="0"/>
            </w:tcBorders>
            <w:vAlign w:val="center"/>
          </w:tcPr>
          <w:p w14:paraId="0D5152B2">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本招标项目</w:t>
            </w:r>
            <w:r>
              <w:rPr>
                <w:rFonts w:hint="eastAsia" w:ascii="宋体" w:hAnsi="宋体" w:cs="宋体"/>
                <w:color w:val="auto"/>
                <w:sz w:val="21"/>
                <w:szCs w:val="21"/>
                <w:highlight w:val="none"/>
                <w:lang w:eastAsia="zh-CN"/>
              </w:rPr>
              <w:t>招标公告</w:t>
            </w:r>
            <w:r>
              <w:rPr>
                <w:rFonts w:hint="eastAsia" w:ascii="宋体" w:hAnsi="宋体" w:eastAsia="宋体" w:cs="宋体"/>
                <w:color w:val="auto"/>
                <w:sz w:val="21"/>
                <w:szCs w:val="21"/>
                <w:highlight w:val="none"/>
              </w:rPr>
              <w:t>的要求</w:t>
            </w:r>
          </w:p>
        </w:tc>
      </w:tr>
      <w:tr w14:paraId="7A987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600C6298">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3DFA9B5B">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7287EE9">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5451" w:type="dxa"/>
            <w:tcBorders>
              <w:top w:val="single" w:color="auto" w:sz="4" w:space="0"/>
              <w:left w:val="single" w:color="auto" w:sz="4" w:space="0"/>
              <w:bottom w:val="single" w:color="auto" w:sz="4" w:space="0"/>
              <w:right w:val="single" w:color="auto" w:sz="4" w:space="0"/>
            </w:tcBorders>
            <w:vAlign w:val="center"/>
          </w:tcPr>
          <w:p w14:paraId="4F04C535">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本招标项目</w:t>
            </w:r>
            <w:r>
              <w:rPr>
                <w:rFonts w:hint="eastAsia" w:ascii="宋体" w:hAnsi="宋体" w:cs="宋体"/>
                <w:color w:val="auto"/>
                <w:sz w:val="21"/>
                <w:szCs w:val="21"/>
                <w:highlight w:val="none"/>
                <w:lang w:eastAsia="zh-CN"/>
              </w:rPr>
              <w:t>招标公告</w:t>
            </w:r>
            <w:r>
              <w:rPr>
                <w:rFonts w:hint="eastAsia" w:ascii="宋体" w:hAnsi="宋体" w:eastAsia="宋体" w:cs="宋体"/>
                <w:color w:val="auto"/>
                <w:sz w:val="21"/>
                <w:szCs w:val="21"/>
                <w:highlight w:val="none"/>
              </w:rPr>
              <w:t>的要求</w:t>
            </w:r>
          </w:p>
        </w:tc>
      </w:tr>
      <w:tr w14:paraId="79067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34C043D5">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5B001212">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08C64CC">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451" w:type="dxa"/>
            <w:tcBorders>
              <w:top w:val="single" w:color="auto" w:sz="4" w:space="0"/>
              <w:left w:val="single" w:color="auto" w:sz="4" w:space="0"/>
              <w:bottom w:val="single" w:color="auto" w:sz="4" w:space="0"/>
              <w:right w:val="single" w:color="auto" w:sz="4" w:space="0"/>
            </w:tcBorders>
            <w:vAlign w:val="center"/>
          </w:tcPr>
          <w:p w14:paraId="74A5C07A">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符合第三章“投标人须知”第3.4.1款规定</w:t>
            </w:r>
          </w:p>
        </w:tc>
      </w:tr>
      <w:tr w14:paraId="734B9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418FE0DD">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2FB6A56B">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26F99E5">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451" w:type="dxa"/>
            <w:tcBorders>
              <w:top w:val="single" w:color="auto" w:sz="4" w:space="0"/>
              <w:left w:val="single" w:color="auto" w:sz="4" w:space="0"/>
              <w:bottom w:val="single" w:color="auto" w:sz="4" w:space="0"/>
              <w:right w:val="single" w:color="auto" w:sz="4" w:space="0"/>
            </w:tcBorders>
            <w:vAlign w:val="center"/>
          </w:tcPr>
          <w:p w14:paraId="2CF4CB83">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符合第三章“投标人须知”第3.5款规定</w:t>
            </w:r>
          </w:p>
        </w:tc>
      </w:tr>
      <w:tr w14:paraId="66105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617DB2F3">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7521E507">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851BADF">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5451" w:type="dxa"/>
            <w:tcBorders>
              <w:top w:val="single" w:color="auto" w:sz="4" w:space="0"/>
              <w:left w:val="single" w:color="auto" w:sz="4" w:space="0"/>
              <w:bottom w:val="single" w:color="auto" w:sz="4" w:space="0"/>
              <w:right w:val="single" w:color="auto" w:sz="4" w:space="0"/>
            </w:tcBorders>
            <w:vAlign w:val="center"/>
          </w:tcPr>
          <w:p w14:paraId="40D9AE08">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符合第五章“合同条款及格式”规定</w:t>
            </w:r>
          </w:p>
        </w:tc>
      </w:tr>
      <w:tr w14:paraId="6874C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06937C06">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4D93D1CE">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AE6B1DD">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规范和技术要求</w:t>
            </w:r>
          </w:p>
        </w:tc>
        <w:tc>
          <w:tcPr>
            <w:tcW w:w="5451" w:type="dxa"/>
            <w:tcBorders>
              <w:top w:val="single" w:color="auto" w:sz="4" w:space="0"/>
              <w:left w:val="single" w:color="auto" w:sz="4" w:space="0"/>
              <w:bottom w:val="single" w:color="auto" w:sz="4" w:space="0"/>
              <w:right w:val="single" w:color="auto" w:sz="4" w:space="0"/>
            </w:tcBorders>
            <w:vAlign w:val="center"/>
          </w:tcPr>
          <w:p w14:paraId="51CBC542">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符合第七章“规范和技术要求”规定</w:t>
            </w:r>
          </w:p>
        </w:tc>
      </w:tr>
      <w:tr w14:paraId="48335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0F0B59FE">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467957BB">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20D72E8">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投标价格</w:t>
            </w:r>
          </w:p>
        </w:tc>
        <w:tc>
          <w:tcPr>
            <w:tcW w:w="5451" w:type="dxa"/>
            <w:tcBorders>
              <w:top w:val="single" w:color="auto" w:sz="4" w:space="0"/>
              <w:left w:val="single" w:color="auto" w:sz="4" w:space="0"/>
              <w:bottom w:val="single" w:color="auto" w:sz="4" w:space="0"/>
              <w:right w:val="single" w:color="auto" w:sz="4" w:space="0"/>
            </w:tcBorders>
            <w:vAlign w:val="center"/>
          </w:tcPr>
          <w:p w14:paraId="59ECD160">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符合第三章“投标人须知”第3.2款规定</w:t>
            </w:r>
          </w:p>
        </w:tc>
      </w:tr>
      <w:tr w14:paraId="7D8D1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bottom w:val="single" w:color="auto" w:sz="4" w:space="0"/>
              <w:right w:val="single" w:color="auto" w:sz="4" w:space="0"/>
            </w:tcBorders>
            <w:vAlign w:val="center"/>
          </w:tcPr>
          <w:p w14:paraId="3F65579E">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bottom w:val="single" w:color="auto" w:sz="4" w:space="0"/>
              <w:right w:val="single" w:color="auto" w:sz="4" w:space="0"/>
            </w:tcBorders>
            <w:vAlign w:val="center"/>
          </w:tcPr>
          <w:p w14:paraId="721DBB04">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42F5817">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否决性条款集中载明的情形</w:t>
            </w:r>
          </w:p>
        </w:tc>
        <w:tc>
          <w:tcPr>
            <w:tcW w:w="5451" w:type="dxa"/>
            <w:tcBorders>
              <w:top w:val="single" w:color="auto" w:sz="4" w:space="0"/>
              <w:left w:val="single" w:color="auto" w:sz="4" w:space="0"/>
              <w:bottom w:val="single" w:color="auto" w:sz="4" w:space="0"/>
              <w:right w:val="single" w:color="auto" w:sz="4" w:space="0"/>
            </w:tcBorders>
            <w:vAlign w:val="center"/>
          </w:tcPr>
          <w:p w14:paraId="1752556F">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不存在否决性条款集中载明的情形规定</w:t>
            </w:r>
          </w:p>
        </w:tc>
      </w:tr>
      <w:tr w14:paraId="5B1F4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50" w:type="dxa"/>
            <w:gridSpan w:val="2"/>
            <w:tcBorders>
              <w:top w:val="single" w:color="auto" w:sz="4" w:space="0"/>
              <w:bottom w:val="single" w:color="auto" w:sz="4" w:space="0"/>
              <w:right w:val="single" w:color="auto" w:sz="4" w:space="0"/>
            </w:tcBorders>
            <w:vAlign w:val="center"/>
          </w:tcPr>
          <w:p w14:paraId="4274C6A3">
            <w:pPr>
              <w:pageBreakBefore w:val="0"/>
              <w:kinsoku/>
              <w:overflowPunct/>
              <w:bidi w:val="0"/>
              <w:spacing w:beforeLines="0" w:afterLines="0" w:line="360" w:lineRule="auto"/>
              <w:ind w:left="0" w:leftChars="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条款号</w:t>
            </w:r>
          </w:p>
        </w:tc>
        <w:tc>
          <w:tcPr>
            <w:tcW w:w="2182" w:type="dxa"/>
            <w:tcBorders>
              <w:top w:val="single" w:color="auto" w:sz="4" w:space="0"/>
              <w:left w:val="single" w:color="auto" w:sz="4" w:space="0"/>
              <w:bottom w:val="single" w:color="auto" w:sz="4" w:space="0"/>
              <w:right w:val="single" w:color="auto" w:sz="4" w:space="0"/>
            </w:tcBorders>
            <w:vAlign w:val="center"/>
          </w:tcPr>
          <w:p w14:paraId="604EDEC5">
            <w:pPr>
              <w:pageBreakBefore w:val="0"/>
              <w:kinsoku/>
              <w:overflowPunct/>
              <w:bidi w:val="0"/>
              <w:spacing w:beforeLines="0" w:afterLines="0" w:line="360" w:lineRule="auto"/>
              <w:ind w:left="0" w:leftChars="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条款内容</w:t>
            </w:r>
          </w:p>
        </w:tc>
        <w:tc>
          <w:tcPr>
            <w:tcW w:w="5451" w:type="dxa"/>
            <w:tcBorders>
              <w:top w:val="single" w:color="auto" w:sz="4" w:space="0"/>
              <w:left w:val="single" w:color="auto" w:sz="4" w:space="0"/>
              <w:bottom w:val="single" w:color="auto" w:sz="4" w:space="0"/>
              <w:right w:val="single" w:color="auto" w:sz="4" w:space="0"/>
            </w:tcBorders>
            <w:vAlign w:val="center"/>
          </w:tcPr>
          <w:p w14:paraId="52351B2B">
            <w:pPr>
              <w:pageBreakBefore w:val="0"/>
              <w:kinsoku/>
              <w:overflowPunct/>
              <w:bidi w:val="0"/>
              <w:spacing w:beforeLines="0" w:afterLines="0" w:line="360" w:lineRule="auto"/>
              <w:ind w:left="0" w:leftChars="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编列内容</w:t>
            </w:r>
          </w:p>
        </w:tc>
      </w:tr>
      <w:tr w14:paraId="7D0B2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50" w:type="dxa"/>
            <w:gridSpan w:val="2"/>
            <w:tcBorders>
              <w:top w:val="single" w:color="auto" w:sz="4" w:space="0"/>
              <w:right w:val="single" w:color="auto" w:sz="4" w:space="0"/>
            </w:tcBorders>
            <w:vAlign w:val="center"/>
          </w:tcPr>
          <w:p w14:paraId="185ADF7C">
            <w:pPr>
              <w:pageBreakBefore w:val="0"/>
              <w:kinsoku/>
              <w:overflowPunct/>
              <w:bidi w:val="0"/>
              <w:spacing w:beforeLines="0" w:afterLines="0" w:line="360" w:lineRule="auto"/>
              <w:ind w:left="0" w:leftChars="0" w:right="0"/>
              <w:jc w:val="center"/>
              <w:rPr>
                <w:rFonts w:hint="eastAsia" w:ascii="宋体" w:hAnsi="宋体" w:eastAsia="宋体" w:cs="宋体"/>
                <w:b/>
                <w:color w:val="auto"/>
                <w:kern w:val="0"/>
                <w:sz w:val="21"/>
                <w:szCs w:val="21"/>
                <w:highlight w:val="none"/>
              </w:rPr>
            </w:pPr>
            <w:r>
              <w:rPr>
                <w:rFonts w:hint="eastAsia" w:ascii="宋体" w:hAnsi="宋体" w:eastAsia="宋体" w:cs="宋体"/>
                <w:bCs/>
                <w:color w:val="auto"/>
                <w:kern w:val="0"/>
                <w:sz w:val="21"/>
                <w:szCs w:val="21"/>
                <w:highlight w:val="none"/>
              </w:rPr>
              <w:t>2.2.1</w:t>
            </w:r>
          </w:p>
        </w:tc>
        <w:tc>
          <w:tcPr>
            <w:tcW w:w="2182" w:type="dxa"/>
            <w:tcBorders>
              <w:top w:val="single" w:color="auto" w:sz="4" w:space="0"/>
              <w:left w:val="single" w:color="auto" w:sz="4" w:space="0"/>
              <w:bottom w:val="single" w:color="auto" w:sz="4" w:space="0"/>
              <w:right w:val="single" w:color="auto" w:sz="4" w:space="0"/>
            </w:tcBorders>
            <w:vAlign w:val="center"/>
          </w:tcPr>
          <w:p w14:paraId="02FB2B9C">
            <w:pPr>
              <w:pageBreakBefore w:val="0"/>
              <w:widowControl/>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tc>
        <w:tc>
          <w:tcPr>
            <w:tcW w:w="5451" w:type="dxa"/>
            <w:tcBorders>
              <w:top w:val="single" w:color="auto" w:sz="4" w:space="0"/>
              <w:left w:val="single" w:color="auto" w:sz="4" w:space="0"/>
              <w:bottom w:val="single" w:color="auto" w:sz="4" w:space="0"/>
              <w:right w:val="single" w:color="auto" w:sz="4" w:space="0"/>
            </w:tcBorders>
            <w:vAlign w:val="center"/>
          </w:tcPr>
          <w:p w14:paraId="494028C7">
            <w:pPr>
              <w:pageBreakBefore w:val="0"/>
              <w:widowControl/>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总分：100分。其中：技术标：</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rPr>
              <w:t>分</w:t>
            </w:r>
          </w:p>
          <w:p w14:paraId="032E1044">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资信标：</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分，经济标：</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rPr>
              <w:t>分</w:t>
            </w:r>
          </w:p>
          <w:p w14:paraId="30997858">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注：资信标权重区间为20%～30%，技术标权重区间为50%～70%，经济标权重区间为10%～20%。</w:t>
            </w:r>
          </w:p>
          <w:p w14:paraId="0255D10F">
            <w:pPr>
              <w:pageBreakBefore w:val="0"/>
              <w:widowControl/>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行业主管部门尚未开展信用评价和履约评价的行业：服务类项目，资信标权重区间为15%～30%，技术标权重区间为50%～70%，经济标权重区间为10%～25%。</w:t>
            </w:r>
          </w:p>
        </w:tc>
      </w:tr>
      <w:tr w14:paraId="5DE16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0" w:type="dxa"/>
            <w:gridSpan w:val="2"/>
            <w:tcBorders>
              <w:top w:val="single" w:color="auto" w:sz="4" w:space="0"/>
              <w:bottom w:val="single" w:color="auto" w:sz="4" w:space="0"/>
              <w:right w:val="single" w:color="auto" w:sz="4" w:space="0"/>
            </w:tcBorders>
            <w:vAlign w:val="center"/>
          </w:tcPr>
          <w:p w14:paraId="5C232826">
            <w:pPr>
              <w:pageBreakBefore w:val="0"/>
              <w:kinsoku/>
              <w:overflowPunct/>
              <w:bidi w:val="0"/>
              <w:spacing w:beforeLines="0" w:afterLines="0" w:line="360" w:lineRule="auto"/>
              <w:ind w:left="0" w:leftChars="0" w:right="0"/>
              <w:jc w:val="center"/>
              <w:rPr>
                <w:rFonts w:hint="eastAsia" w:ascii="宋体" w:hAnsi="宋体" w:eastAsia="宋体" w:cs="宋体"/>
                <w:b/>
                <w:color w:val="auto"/>
                <w:kern w:val="0"/>
                <w:sz w:val="21"/>
                <w:szCs w:val="21"/>
                <w:highlight w:val="none"/>
              </w:rPr>
            </w:pPr>
            <w:r>
              <w:rPr>
                <w:rFonts w:hint="eastAsia" w:ascii="宋体" w:hAnsi="宋体" w:eastAsia="宋体" w:cs="宋体"/>
                <w:bCs/>
                <w:color w:val="auto"/>
                <w:kern w:val="0"/>
                <w:sz w:val="21"/>
                <w:szCs w:val="21"/>
                <w:highlight w:val="none"/>
              </w:rPr>
              <w:t>2.2.2</w:t>
            </w:r>
          </w:p>
        </w:tc>
        <w:tc>
          <w:tcPr>
            <w:tcW w:w="2182" w:type="dxa"/>
            <w:tcBorders>
              <w:top w:val="single" w:color="auto" w:sz="4" w:space="0"/>
              <w:left w:val="single" w:color="auto" w:sz="4" w:space="0"/>
              <w:bottom w:val="single" w:color="auto" w:sz="4" w:space="0"/>
              <w:right w:val="single" w:color="auto" w:sz="4" w:space="0"/>
            </w:tcBorders>
            <w:vAlign w:val="center"/>
          </w:tcPr>
          <w:p w14:paraId="579A0953">
            <w:pPr>
              <w:pageBreakBefore w:val="0"/>
              <w:widowControl/>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评标基准价（Q值）计算方法</w:t>
            </w:r>
          </w:p>
        </w:tc>
        <w:tc>
          <w:tcPr>
            <w:tcW w:w="5451" w:type="dxa"/>
            <w:tcBorders>
              <w:top w:val="single" w:color="auto" w:sz="4" w:space="0"/>
              <w:left w:val="single" w:color="auto" w:sz="4" w:space="0"/>
              <w:bottom w:val="single" w:color="auto" w:sz="4" w:space="0"/>
              <w:right w:val="single" w:color="auto" w:sz="4" w:space="0"/>
            </w:tcBorders>
            <w:vAlign w:val="center"/>
          </w:tcPr>
          <w:p w14:paraId="654E3504">
            <w:pPr>
              <w:pageBreakBefore w:val="0"/>
              <w:widowControl/>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1.以合理平均值作为评标基准价的计算方法如下：</w:t>
            </w:r>
          </w:p>
          <w:p w14:paraId="175DE837">
            <w:pPr>
              <w:pageBreakBefore w:val="0"/>
              <w:widowControl/>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合理平均值=招标控制价×（1-下浮率k），从</w:t>
            </w:r>
            <w:r>
              <w:rPr>
                <w:rFonts w:hint="eastAsia" w:ascii="宋体" w:hAnsi="宋体" w:eastAsia="宋体" w:cs="宋体"/>
                <w:color w:val="auto"/>
                <w:sz w:val="21"/>
                <w:szCs w:val="21"/>
                <w:highlight w:val="none"/>
                <w:u w:val="single"/>
                <w:lang w:val="en-US" w:eastAsia="zh-CN"/>
              </w:rPr>
              <w:t xml:space="preserve">10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15 </w:t>
            </w:r>
            <w:r>
              <w:rPr>
                <w:rFonts w:hint="eastAsia" w:ascii="宋体" w:hAnsi="宋体" w:eastAsia="宋体" w:cs="宋体"/>
                <w:color w:val="auto"/>
                <w:sz w:val="21"/>
                <w:szCs w:val="21"/>
                <w:highlight w:val="none"/>
                <w:lang w:val="en-US" w:eastAsia="zh-CN"/>
              </w:rPr>
              <w:t>%中（具体由招标人在5%～15%中确定，区间内跨度不小于5%），以0.2%为一档等差增序排号，一次性随机抽取3个不同数值，3个数值的平均值即为下浮率k。</w:t>
            </w:r>
          </w:p>
          <w:p w14:paraId="79095306">
            <w:pPr>
              <w:pageBreakBefore w:val="0"/>
              <w:widowControl/>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2.以综合平均值作为评标基准价的计算方法如下：</w:t>
            </w:r>
          </w:p>
          <w:p w14:paraId="57C8680B">
            <w:pPr>
              <w:pageBreakBefore w:val="0"/>
              <w:widowControl/>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基准价=（A+B）/2，A值=招标控制价×（1-下浮率k），下浮率K按照合理平均值的确定方式执行。B值为进入第二阶段评审的所有有效投标报价算术平均值（当有效投标报价数量大于等于7家时，去掉一个最高报价和一个最低报价后进行算术平均）。</w:t>
            </w:r>
          </w:p>
          <w:p w14:paraId="42ACFD97">
            <w:pPr>
              <w:pageBreakBefore w:val="0"/>
              <w:widowControl/>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3.投标人的有效投标报价低于风险控制价的不参与评标基准价的计算，但仍参与经济标的计算。（如有）</w:t>
            </w:r>
          </w:p>
          <w:p w14:paraId="6D62B3B3">
            <w:pPr>
              <w:pageBreakBefore w:val="0"/>
              <w:widowControl/>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4.除计算错误外，评标基准价不因招标投标当事人异议、投诉、复核以及其他任何情形而改变。</w:t>
            </w:r>
          </w:p>
          <w:p w14:paraId="5CDD8913">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val="en-US" w:eastAsia="zh-CN"/>
              </w:rPr>
              <w:t>k四舍五入精确至0.01％，其它计算值四舍五入，保留两位有效小数</w:t>
            </w:r>
            <w:r>
              <w:rPr>
                <w:rFonts w:hint="eastAsia" w:ascii="宋体" w:hAnsi="宋体" w:eastAsia="宋体" w:cs="宋体"/>
                <w:b/>
                <w:color w:val="auto"/>
                <w:sz w:val="21"/>
                <w:szCs w:val="21"/>
                <w:highlight w:val="none"/>
              </w:rPr>
              <w:t>。</w:t>
            </w:r>
          </w:p>
        </w:tc>
      </w:tr>
      <w:tr w14:paraId="0BF05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50" w:type="dxa"/>
            <w:gridSpan w:val="2"/>
            <w:tcBorders>
              <w:top w:val="single" w:color="auto" w:sz="4" w:space="0"/>
              <w:bottom w:val="single" w:color="auto" w:sz="4" w:space="0"/>
              <w:right w:val="single" w:color="auto" w:sz="4" w:space="0"/>
            </w:tcBorders>
            <w:vAlign w:val="center"/>
          </w:tcPr>
          <w:p w14:paraId="1C890EAF">
            <w:pPr>
              <w:pageBreakBefore w:val="0"/>
              <w:kinsoku/>
              <w:overflowPunct/>
              <w:bidi w:val="0"/>
              <w:spacing w:beforeLines="0" w:afterLines="0" w:line="360" w:lineRule="auto"/>
              <w:ind w:left="0" w:leftChars="0" w:right="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2.2.3</w:t>
            </w:r>
          </w:p>
        </w:tc>
        <w:tc>
          <w:tcPr>
            <w:tcW w:w="2182" w:type="dxa"/>
            <w:tcBorders>
              <w:top w:val="single" w:color="auto" w:sz="4" w:space="0"/>
              <w:left w:val="single" w:color="auto" w:sz="4" w:space="0"/>
              <w:bottom w:val="single" w:color="auto" w:sz="4" w:space="0"/>
              <w:right w:val="single" w:color="auto" w:sz="4" w:space="0"/>
            </w:tcBorders>
            <w:vAlign w:val="center"/>
          </w:tcPr>
          <w:p w14:paraId="2279E1A0">
            <w:pPr>
              <w:pageBreakBefore w:val="0"/>
              <w:widowControl/>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投标报价的偏差率计算公式</w:t>
            </w:r>
          </w:p>
        </w:tc>
        <w:tc>
          <w:tcPr>
            <w:tcW w:w="5451" w:type="dxa"/>
            <w:tcBorders>
              <w:top w:val="single" w:color="auto" w:sz="4" w:space="0"/>
              <w:left w:val="single" w:color="auto" w:sz="4" w:space="0"/>
              <w:bottom w:val="single" w:color="auto" w:sz="4" w:space="0"/>
              <w:right w:val="single" w:color="auto" w:sz="4" w:space="0"/>
            </w:tcBorders>
            <w:vAlign w:val="center"/>
          </w:tcPr>
          <w:p w14:paraId="0C79550A">
            <w:pPr>
              <w:pageBreakBefore w:val="0"/>
              <w:kinsoku/>
              <w:overflowPunct/>
              <w:bidi w:val="0"/>
              <w:spacing w:beforeLines="0" w:afterLines="0" w:line="360" w:lineRule="auto"/>
              <w:ind w:left="0" w:leftChars="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报价偏差率=100%×（投标报价－评标基准价）÷评标基准价</w:t>
            </w:r>
          </w:p>
          <w:p w14:paraId="349FBF76">
            <w:pPr>
              <w:pageBreakBefore w:val="0"/>
              <w:kinsoku/>
              <w:overflowPunct/>
              <w:bidi w:val="0"/>
              <w:spacing w:beforeLines="0" w:afterLines="0" w:line="360" w:lineRule="auto"/>
              <w:ind w:left="0" w:leftChars="0" w:right="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注：计算值保留两位有效小数，第三位小数四舍五入。</w:t>
            </w:r>
          </w:p>
        </w:tc>
      </w:tr>
      <w:tr w14:paraId="5EBC3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50" w:type="dxa"/>
            <w:gridSpan w:val="2"/>
            <w:vMerge w:val="restart"/>
            <w:tcBorders>
              <w:top w:val="single" w:color="auto" w:sz="4" w:space="0"/>
              <w:right w:val="single" w:color="auto" w:sz="4" w:space="0"/>
            </w:tcBorders>
            <w:vAlign w:val="center"/>
          </w:tcPr>
          <w:p w14:paraId="397506C1">
            <w:pPr>
              <w:pageBreakBefore w:val="0"/>
              <w:kinsoku/>
              <w:overflowPunct/>
              <w:bidi w:val="0"/>
              <w:spacing w:beforeLines="0" w:afterLines="0" w:line="360" w:lineRule="auto"/>
              <w:ind w:left="0" w:leftChars="0" w:right="0"/>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3.4.2</w:t>
            </w:r>
          </w:p>
        </w:tc>
        <w:tc>
          <w:tcPr>
            <w:tcW w:w="2182" w:type="dxa"/>
            <w:tcBorders>
              <w:top w:val="single" w:color="auto" w:sz="4" w:space="0"/>
              <w:left w:val="single" w:color="auto" w:sz="4" w:space="0"/>
              <w:bottom w:val="single" w:color="auto" w:sz="4" w:space="0"/>
              <w:right w:val="single" w:color="auto" w:sz="4" w:space="0"/>
            </w:tcBorders>
            <w:vAlign w:val="center"/>
          </w:tcPr>
          <w:p w14:paraId="17849444">
            <w:pPr>
              <w:pageBreakBefore w:val="0"/>
              <w:widowControl/>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第一阶段评审</w:t>
            </w:r>
          </w:p>
        </w:tc>
        <w:tc>
          <w:tcPr>
            <w:tcW w:w="5451" w:type="dxa"/>
            <w:tcBorders>
              <w:top w:val="single" w:color="auto" w:sz="4" w:space="0"/>
              <w:left w:val="single" w:color="auto" w:sz="4" w:space="0"/>
              <w:bottom w:val="single" w:color="auto" w:sz="4" w:space="0"/>
              <w:right w:val="single" w:color="auto" w:sz="4" w:space="0"/>
            </w:tcBorders>
            <w:vAlign w:val="center"/>
          </w:tcPr>
          <w:p w14:paraId="0673E4E7">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对所有通过初步评审并被判定为有效的投标人的资信标和技术标进行评审，推荐</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lang w:val="en-US" w:eastAsia="zh-CN"/>
              </w:rPr>
              <w:t>资信标+技术标</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lang w:val="en-US" w:eastAsia="zh-CN"/>
              </w:rPr>
              <w:t>评审总得分≥（资信标+技术标）总分</w:t>
            </w:r>
            <w:r>
              <w:rPr>
                <w:rFonts w:hint="eastAsia" w:ascii="宋体" w:hAnsi="宋体" w:eastAsia="宋体" w:cs="宋体"/>
                <w:color w:val="auto"/>
                <w:sz w:val="21"/>
                <w:szCs w:val="21"/>
                <w:highlight w:val="none"/>
                <w:u w:val="single"/>
                <w:lang w:val="en-US" w:eastAsia="zh-CN"/>
              </w:rPr>
              <w:t xml:space="preserve"> 75% </w:t>
            </w:r>
            <w:r>
              <w:rPr>
                <w:rFonts w:hint="eastAsia" w:ascii="宋体" w:hAnsi="宋体" w:eastAsia="宋体" w:cs="宋体"/>
                <w:color w:val="auto"/>
                <w:sz w:val="21"/>
                <w:szCs w:val="21"/>
                <w:highlight w:val="none"/>
                <w:lang w:val="en-US" w:eastAsia="zh-CN"/>
              </w:rPr>
              <w:t>（75%～85%）的投标人进入第二阶段评审。</w:t>
            </w:r>
          </w:p>
        </w:tc>
      </w:tr>
      <w:tr w14:paraId="2D042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50" w:type="dxa"/>
            <w:gridSpan w:val="2"/>
            <w:vMerge w:val="continue"/>
            <w:tcBorders>
              <w:right w:val="single" w:color="auto" w:sz="4" w:space="0"/>
            </w:tcBorders>
            <w:vAlign w:val="center"/>
          </w:tcPr>
          <w:p w14:paraId="2DBFB2FB">
            <w:pPr>
              <w:pageBreakBefore w:val="0"/>
              <w:kinsoku/>
              <w:overflowPunct/>
              <w:bidi w:val="0"/>
              <w:spacing w:beforeLines="0" w:afterLines="0" w:line="360" w:lineRule="auto"/>
              <w:ind w:left="0" w:leftChars="0" w:right="0"/>
              <w:jc w:val="center"/>
              <w:rPr>
                <w:rFonts w:hint="eastAsia" w:ascii="宋体" w:hAnsi="宋体" w:eastAsia="宋体" w:cs="宋体"/>
                <w:bCs/>
                <w:color w:val="auto"/>
                <w:kern w:val="0"/>
                <w:sz w:val="21"/>
                <w:szCs w:val="21"/>
                <w:highlight w:val="none"/>
                <w:lang w:val="en-US" w:eastAsia="zh-CN"/>
              </w:rPr>
            </w:pPr>
          </w:p>
        </w:tc>
        <w:tc>
          <w:tcPr>
            <w:tcW w:w="2182" w:type="dxa"/>
            <w:tcBorders>
              <w:top w:val="single" w:color="auto" w:sz="4" w:space="0"/>
              <w:left w:val="single" w:color="auto" w:sz="4" w:space="0"/>
              <w:bottom w:val="single" w:color="auto" w:sz="4" w:space="0"/>
              <w:right w:val="single" w:color="auto" w:sz="4" w:space="0"/>
            </w:tcBorders>
            <w:vAlign w:val="center"/>
          </w:tcPr>
          <w:p w14:paraId="0901E124">
            <w:pPr>
              <w:pageBreakBefore w:val="0"/>
              <w:widowControl/>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第二阶段评审</w:t>
            </w:r>
          </w:p>
        </w:tc>
        <w:tc>
          <w:tcPr>
            <w:tcW w:w="5451" w:type="dxa"/>
            <w:tcBorders>
              <w:top w:val="single" w:color="auto" w:sz="4" w:space="0"/>
              <w:left w:val="single" w:color="auto" w:sz="4" w:space="0"/>
              <w:bottom w:val="single" w:color="auto" w:sz="4" w:space="0"/>
              <w:right w:val="single" w:color="auto" w:sz="4" w:space="0"/>
            </w:tcBorders>
            <w:vAlign w:val="center"/>
          </w:tcPr>
          <w:p w14:paraId="7040D791">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eastAsia="zh-CN"/>
              </w:rPr>
              <w:t>对入围第二阶段的所有投标人的经济标进行评审，</w:t>
            </w:r>
            <w:r>
              <w:rPr>
                <w:rFonts w:hint="eastAsia" w:ascii="宋体" w:hAnsi="宋体" w:eastAsia="宋体" w:cs="宋体"/>
                <w:color w:val="auto"/>
                <w:sz w:val="21"/>
                <w:szCs w:val="21"/>
                <w:highlight w:val="none"/>
                <w:lang w:val="en-US" w:eastAsia="zh-CN"/>
              </w:rPr>
              <w:t>按投标人资信标、技术标、经济标的综合得分由高到低的顺序推荐：</w:t>
            </w:r>
          </w:p>
          <w:p w14:paraId="139C3ECF">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lang w:val="en-US" w:eastAsia="zh-CN"/>
              </w:rPr>
              <w:t>中标候选人</w:t>
            </w:r>
          </w:p>
          <w:p w14:paraId="0E300FF4">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lang w:val="en-US" w:eastAsia="zh-CN"/>
              </w:rPr>
              <w:t>定标候选人。</w:t>
            </w:r>
          </w:p>
        </w:tc>
      </w:tr>
      <w:tr w14:paraId="31260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50" w:type="dxa"/>
            <w:gridSpan w:val="2"/>
            <w:vMerge w:val="continue"/>
            <w:tcBorders>
              <w:bottom w:val="single" w:color="auto" w:sz="4" w:space="0"/>
              <w:right w:val="single" w:color="auto" w:sz="4" w:space="0"/>
            </w:tcBorders>
            <w:vAlign w:val="center"/>
          </w:tcPr>
          <w:p w14:paraId="2282A5E8">
            <w:pPr>
              <w:pageBreakBefore w:val="0"/>
              <w:kinsoku/>
              <w:overflowPunct/>
              <w:bidi w:val="0"/>
              <w:spacing w:beforeLines="0" w:afterLines="0" w:line="360" w:lineRule="auto"/>
              <w:ind w:left="0" w:leftChars="0" w:right="0"/>
              <w:jc w:val="center"/>
              <w:rPr>
                <w:rFonts w:hint="eastAsia" w:ascii="宋体" w:hAnsi="宋体" w:eastAsia="宋体" w:cs="宋体"/>
                <w:bCs/>
                <w:color w:val="auto"/>
                <w:kern w:val="0"/>
                <w:sz w:val="21"/>
                <w:szCs w:val="21"/>
                <w:highlight w:val="none"/>
                <w:lang w:val="en-US" w:eastAsia="zh-CN"/>
              </w:rPr>
            </w:pPr>
          </w:p>
        </w:tc>
        <w:tc>
          <w:tcPr>
            <w:tcW w:w="2182" w:type="dxa"/>
            <w:tcBorders>
              <w:top w:val="single" w:color="auto" w:sz="4" w:space="0"/>
              <w:left w:val="single" w:color="auto" w:sz="4" w:space="0"/>
              <w:bottom w:val="single" w:color="auto" w:sz="4" w:space="0"/>
              <w:right w:val="single" w:color="auto" w:sz="4" w:space="0"/>
            </w:tcBorders>
            <w:vAlign w:val="center"/>
          </w:tcPr>
          <w:p w14:paraId="13BA65EB">
            <w:pPr>
              <w:pageBreakBefore w:val="0"/>
              <w:widowControl/>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特殊情况</w:t>
            </w:r>
          </w:p>
        </w:tc>
        <w:tc>
          <w:tcPr>
            <w:tcW w:w="5451" w:type="dxa"/>
            <w:tcBorders>
              <w:top w:val="single" w:color="auto" w:sz="4" w:space="0"/>
              <w:left w:val="single" w:color="auto" w:sz="4" w:space="0"/>
              <w:bottom w:val="single" w:color="auto" w:sz="4" w:space="0"/>
              <w:right w:val="single" w:color="auto" w:sz="4" w:space="0"/>
            </w:tcBorders>
            <w:vAlign w:val="center"/>
          </w:tcPr>
          <w:p w14:paraId="72F611DC">
            <w:pPr>
              <w:pStyle w:val="3"/>
              <w:numPr>
                <w:ilvl w:val="0"/>
                <w:numId w:val="0"/>
              </w:numPr>
              <w:spacing w:beforeLines="0" w:after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1.当进入第一阶段的有效投标人≥3且≤7个时，直接对所有有效投标人的资信标、技术标、经济标进行综合评审打分，按投标人得分由高到低的顺序推荐</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lang w:val="en-US" w:eastAsia="zh-CN"/>
              </w:rPr>
              <w:t>中标候选人</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lang w:val="en-US" w:eastAsia="zh-CN"/>
              </w:rPr>
              <w:t>定标候选人。</w:t>
            </w:r>
          </w:p>
          <w:p w14:paraId="7A13F49E">
            <w:pPr>
              <w:pStyle w:val="3"/>
              <w:numPr>
                <w:ilvl w:val="0"/>
                <w:numId w:val="0"/>
              </w:numPr>
              <w:spacing w:beforeLines="0" w:afterLines="0"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2.当进入第二阶段的有效投标人＜3个时，应当选取第一阶段总得分排序前三的投标人进入第二阶段；</w:t>
            </w:r>
            <w:r>
              <w:rPr>
                <w:rFonts w:hint="eastAsia" w:ascii="宋体" w:hAnsi="宋体" w:eastAsia="宋体" w:cs="宋体"/>
                <w:b w:val="0"/>
                <w:bCs w:val="0"/>
                <w:snapToGrid/>
                <w:color w:val="auto"/>
                <w:spacing w:val="0"/>
                <w:sz w:val="21"/>
                <w:szCs w:val="21"/>
                <w:highlight w:val="none"/>
                <w:u w:val="none"/>
                <w:shd w:val="clear" w:color="auto" w:fill="auto"/>
                <w:lang w:val="en-US" w:eastAsia="zh-CN"/>
              </w:rPr>
              <w:t>当出现</w:t>
            </w:r>
            <w:r>
              <w:rPr>
                <w:rFonts w:hint="eastAsia" w:ascii="宋体" w:hAnsi="宋体" w:eastAsia="宋体" w:cs="宋体"/>
                <w:color w:val="auto"/>
                <w:sz w:val="21"/>
                <w:szCs w:val="21"/>
                <w:highlight w:val="none"/>
                <w:lang w:val="en-US" w:eastAsia="zh-CN"/>
              </w:rPr>
              <w:t>第一阶段总得分排序前三的投标人得分相同，导致进入第二阶段的有效投标人数量超过3个时，</w:t>
            </w:r>
            <w:r>
              <w:rPr>
                <w:rFonts w:hint="eastAsia" w:ascii="宋体" w:hAnsi="宋体" w:eastAsia="宋体" w:cs="宋体"/>
                <w:b w:val="0"/>
                <w:bCs w:val="0"/>
                <w:color w:val="auto"/>
                <w:spacing w:val="0"/>
                <w:kern w:val="2"/>
                <w:sz w:val="21"/>
                <w:szCs w:val="21"/>
                <w:highlight w:val="none"/>
                <w:lang w:val="en-US" w:eastAsia="zh-CN" w:bidi="ar-SA"/>
              </w:rPr>
              <w:t>推荐资信标得分较高的；资信标得分相同的，推荐投标报价低的；</w:t>
            </w:r>
            <w:r>
              <w:rPr>
                <w:rFonts w:hint="eastAsia" w:ascii="宋体" w:hAnsi="宋体" w:eastAsia="宋体" w:cs="宋体"/>
                <w:color w:val="auto"/>
                <w:sz w:val="21"/>
                <w:szCs w:val="21"/>
                <w:highlight w:val="none"/>
              </w:rPr>
              <w:t>投标报价相同的，推荐诚信等级高的；诚信等级相同的，推荐诚信分数高的；诚信分数相同的，由评标委员会投票决定</w:t>
            </w:r>
            <w:r>
              <w:rPr>
                <w:rFonts w:hint="eastAsia" w:ascii="宋体" w:hAnsi="宋体" w:eastAsia="宋体" w:cs="宋体"/>
                <w:color w:val="auto"/>
                <w:sz w:val="21"/>
                <w:szCs w:val="21"/>
                <w:highlight w:val="none"/>
                <w:lang w:val="en-US" w:eastAsia="zh-CN"/>
              </w:rPr>
              <w:t>。</w:t>
            </w:r>
          </w:p>
          <w:p w14:paraId="345FD53C">
            <w:pPr>
              <w:pStyle w:val="3"/>
              <w:pageBreakBefore w:val="0"/>
              <w:kinsoku/>
              <w:overflowPunct/>
              <w:bidi w:val="0"/>
              <w:spacing w:beforeLines="0" w:afterLines="0" w:line="360" w:lineRule="auto"/>
              <w:ind w:left="0" w:leftChars="0" w:right="0"/>
              <w:rPr>
                <w:rFonts w:hint="eastAsia" w:ascii="宋体" w:hAnsi="宋体" w:eastAsia="宋体" w:cs="宋体"/>
                <w:color w:val="auto"/>
                <w:highlight w:val="none"/>
                <w:lang w:val="en-US" w:eastAsia="zh-CN"/>
              </w:rPr>
            </w:pPr>
            <w:r>
              <w:rPr>
                <w:rFonts w:hint="default" w:ascii="宋体" w:hAnsi="宋体" w:eastAsia="宋体" w:cs="宋体"/>
                <w:color w:val="auto"/>
                <w:sz w:val="21"/>
                <w:szCs w:val="21"/>
                <w:highlight w:val="none"/>
                <w:lang w:val="en-US" w:eastAsia="zh-CN"/>
              </w:rPr>
              <w:t>3.当出现多个投标人得分相同，导致推荐的中标候选人数量超过招标文件规定时，推荐资信标得分较高的；资信标得分相同的，推荐投标报价低的；投标报价相同的，推荐诚信等级高的；诚信等级相同的，推荐诚信分数高的；诚信分数相同的，由</w:t>
            </w:r>
            <w:r>
              <w:rPr>
                <w:rFonts w:hint="eastAsia" w:cs="宋体"/>
                <w:color w:val="auto"/>
                <w:sz w:val="21"/>
                <w:szCs w:val="21"/>
                <w:highlight w:val="none"/>
                <w:lang w:val="en-US" w:eastAsia="zh-CN"/>
              </w:rPr>
              <w:t>评标委员会</w:t>
            </w:r>
            <w:r>
              <w:rPr>
                <w:rFonts w:hint="default" w:ascii="宋体" w:hAnsi="宋体" w:eastAsia="宋体" w:cs="宋体"/>
                <w:color w:val="auto"/>
                <w:sz w:val="21"/>
                <w:szCs w:val="21"/>
                <w:highlight w:val="none"/>
                <w:lang w:val="en-US" w:eastAsia="zh-CN"/>
              </w:rPr>
              <w:t>现场投票确定中标候选人。</w:t>
            </w:r>
          </w:p>
        </w:tc>
      </w:tr>
      <w:tr w14:paraId="2CB94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50" w:type="dxa"/>
            <w:gridSpan w:val="2"/>
            <w:tcBorders>
              <w:top w:val="single" w:color="auto" w:sz="4" w:space="0"/>
              <w:bottom w:val="single" w:color="auto" w:sz="4" w:space="0"/>
              <w:right w:val="single" w:color="auto" w:sz="4" w:space="0"/>
            </w:tcBorders>
            <w:vAlign w:val="center"/>
          </w:tcPr>
          <w:p w14:paraId="30015EA9">
            <w:pPr>
              <w:pageBreakBefore w:val="0"/>
              <w:kinsoku/>
              <w:overflowPunct/>
              <w:bidi w:val="0"/>
              <w:spacing w:beforeLines="0" w:afterLines="0" w:line="360" w:lineRule="auto"/>
              <w:ind w:left="0" w:leftChars="0" w:right="0"/>
              <w:jc w:val="center"/>
              <w:rPr>
                <w:rFonts w:hint="eastAsia" w:ascii="宋体" w:hAnsi="宋体" w:eastAsia="宋体" w:cs="宋体"/>
                <w:bCs/>
                <w:color w:val="auto"/>
                <w:kern w:val="0"/>
                <w:sz w:val="21"/>
                <w:szCs w:val="21"/>
                <w:highlight w:val="none"/>
              </w:rPr>
            </w:pPr>
            <w:r>
              <w:rPr>
                <w:rFonts w:hint="eastAsia" w:ascii="宋体" w:hAnsi="宋体" w:eastAsia="宋体" w:cs="宋体"/>
                <w:b/>
                <w:bCs/>
                <w:color w:val="auto"/>
                <w:sz w:val="21"/>
                <w:szCs w:val="21"/>
                <w:highlight w:val="none"/>
              </w:rPr>
              <w:t>条款号</w:t>
            </w:r>
          </w:p>
        </w:tc>
        <w:tc>
          <w:tcPr>
            <w:tcW w:w="2182" w:type="dxa"/>
            <w:tcBorders>
              <w:top w:val="single" w:color="auto" w:sz="4" w:space="0"/>
              <w:left w:val="single" w:color="auto" w:sz="4" w:space="0"/>
              <w:bottom w:val="single" w:color="auto" w:sz="4" w:space="0"/>
              <w:right w:val="single" w:color="auto" w:sz="4" w:space="0"/>
            </w:tcBorders>
            <w:vAlign w:val="center"/>
          </w:tcPr>
          <w:p w14:paraId="2DD030E6">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w:t>
            </w:r>
            <w:r>
              <w:rPr>
                <w:rFonts w:hint="eastAsia" w:ascii="宋体" w:hAnsi="宋体" w:eastAsia="宋体" w:cs="宋体"/>
                <w:b/>
                <w:bCs/>
                <w:color w:val="auto"/>
                <w:sz w:val="21"/>
                <w:szCs w:val="21"/>
                <w:highlight w:val="none"/>
                <w:lang w:val="en-US" w:eastAsia="zh-CN"/>
              </w:rPr>
              <w:t>审</w:t>
            </w:r>
            <w:r>
              <w:rPr>
                <w:rFonts w:hint="eastAsia" w:ascii="宋体" w:hAnsi="宋体" w:eastAsia="宋体" w:cs="宋体"/>
                <w:b/>
                <w:bCs/>
                <w:color w:val="auto"/>
                <w:sz w:val="21"/>
                <w:szCs w:val="21"/>
                <w:highlight w:val="none"/>
              </w:rPr>
              <w:t>因素</w:t>
            </w:r>
          </w:p>
        </w:tc>
        <w:tc>
          <w:tcPr>
            <w:tcW w:w="5451" w:type="dxa"/>
            <w:tcBorders>
              <w:top w:val="single" w:color="auto" w:sz="4" w:space="0"/>
              <w:left w:val="single" w:color="auto" w:sz="4" w:space="0"/>
              <w:bottom w:val="single" w:color="auto" w:sz="4" w:space="0"/>
              <w:right w:val="single" w:color="auto" w:sz="4" w:space="0"/>
            </w:tcBorders>
            <w:vAlign w:val="center"/>
          </w:tcPr>
          <w:p w14:paraId="61398C73">
            <w:pPr>
              <w:pageBreakBefore w:val="0"/>
              <w:kinsoku/>
              <w:overflowPunct/>
              <w:bidi w:val="0"/>
              <w:spacing w:beforeLines="0" w:afterLines="0" w:line="360" w:lineRule="auto"/>
              <w:ind w:left="0" w:leftChars="0" w:right="0"/>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评分标准</w:t>
            </w:r>
          </w:p>
        </w:tc>
      </w:tr>
      <w:tr w14:paraId="7645E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767" w:type="dxa"/>
            <w:vMerge w:val="restart"/>
            <w:tcBorders>
              <w:top w:val="single" w:color="auto" w:sz="4" w:space="0"/>
              <w:right w:val="single" w:color="auto" w:sz="4" w:space="0"/>
            </w:tcBorders>
            <w:vAlign w:val="center"/>
          </w:tcPr>
          <w:p w14:paraId="30A5AEBA">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tc>
        <w:tc>
          <w:tcPr>
            <w:tcW w:w="883" w:type="dxa"/>
            <w:vMerge w:val="restart"/>
            <w:tcBorders>
              <w:top w:val="single" w:color="auto" w:sz="4" w:space="0"/>
              <w:right w:val="single" w:color="auto" w:sz="4" w:space="0"/>
            </w:tcBorders>
            <w:vAlign w:val="center"/>
          </w:tcPr>
          <w:p w14:paraId="4C860AF6">
            <w:pPr>
              <w:pageBreakBefore w:val="0"/>
              <w:kinsoku/>
              <w:overflowPunct/>
              <w:bidi w:val="0"/>
              <w:spacing w:beforeLines="0" w:afterLines="0" w:line="360" w:lineRule="auto"/>
              <w:ind w:left="0" w:leftChars="0" w:right="0"/>
              <w:jc w:val="center"/>
              <w:rPr>
                <w:rFonts w:hint="eastAsia" w:ascii="宋体" w:hAnsi="宋体" w:eastAsia="宋体" w:cs="宋体"/>
                <w:bCs/>
                <w:color w:val="auto"/>
                <w:kern w:val="0"/>
                <w:sz w:val="21"/>
                <w:szCs w:val="21"/>
                <w:highlight w:val="none"/>
                <w:lang w:val="en-US" w:eastAsia="zh-CN"/>
              </w:rPr>
            </w:pPr>
          </w:p>
          <w:p w14:paraId="3348E402">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rPr>
              <w:t>技术标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tc>
        <w:tc>
          <w:tcPr>
            <w:tcW w:w="2182" w:type="dxa"/>
            <w:tcBorders>
              <w:top w:val="single" w:color="auto" w:sz="4" w:space="0"/>
              <w:left w:val="single" w:color="auto" w:sz="4" w:space="0"/>
              <w:bottom w:val="single" w:color="auto" w:sz="4" w:space="0"/>
              <w:right w:val="single" w:color="auto" w:sz="4" w:space="0"/>
            </w:tcBorders>
            <w:vAlign w:val="center"/>
          </w:tcPr>
          <w:p w14:paraId="75F6A852">
            <w:pPr>
              <w:pStyle w:val="2"/>
              <w:pageBreakBefore w:val="0"/>
              <w:kinsoku/>
              <w:overflowPunct/>
              <w:bidi w:val="0"/>
              <w:spacing w:beforeLines="0" w:afterLines="0" w:line="360" w:lineRule="auto"/>
              <w:ind w:left="0" w:leftChars="0" w:right="0" w:firstLine="0" w:firstLineChars="0"/>
              <w:jc w:val="center"/>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color w:val="auto"/>
                <w:sz w:val="21"/>
                <w:szCs w:val="21"/>
                <w:highlight w:val="none"/>
              </w:rPr>
              <w:t>项目的认识和理解（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451" w:type="dxa"/>
            <w:tcBorders>
              <w:top w:val="single" w:color="auto" w:sz="4" w:space="0"/>
              <w:left w:val="single" w:color="auto" w:sz="4" w:space="0"/>
              <w:bottom w:val="single" w:color="auto" w:sz="4" w:space="0"/>
              <w:right w:val="single" w:color="auto" w:sz="4" w:space="0"/>
            </w:tcBorders>
            <w:vAlign w:val="center"/>
          </w:tcPr>
          <w:p w14:paraId="4F39BE00">
            <w:pPr>
              <w:pStyle w:val="2"/>
              <w:pageBreakBefore w:val="0"/>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根据投标人提供的项目的认识和理解内容进行综合评审：</w:t>
            </w:r>
          </w:p>
          <w:p w14:paraId="373DA1E3">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1.优秀的得10分；</w:t>
            </w:r>
          </w:p>
          <w:p w14:paraId="3CE8CAED">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2.良好的得9.5分；</w:t>
            </w:r>
          </w:p>
          <w:p w14:paraId="0FEACB82">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3.一般的得9分；</w:t>
            </w:r>
          </w:p>
          <w:p w14:paraId="27226DA7">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注：不合格或者未提供评审资料的不得分。</w:t>
            </w:r>
          </w:p>
        </w:tc>
      </w:tr>
      <w:tr w14:paraId="6AB90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767" w:type="dxa"/>
            <w:vMerge w:val="continue"/>
            <w:tcBorders>
              <w:right w:val="single" w:color="auto" w:sz="4" w:space="0"/>
            </w:tcBorders>
            <w:vAlign w:val="center"/>
          </w:tcPr>
          <w:p w14:paraId="6CA15F5B">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44AF864D">
            <w:pPr>
              <w:pageBreakBefore w:val="0"/>
              <w:kinsoku/>
              <w:overflowPunct/>
              <w:bidi w:val="0"/>
              <w:spacing w:beforeLines="0" w:afterLines="0" w:line="360" w:lineRule="auto"/>
              <w:ind w:left="0" w:leftChars="0" w:right="0"/>
              <w:jc w:val="center"/>
              <w:rPr>
                <w:rFonts w:hint="eastAsia" w:ascii="宋体" w:hAnsi="宋体" w:eastAsia="宋体" w:cs="宋体"/>
                <w:bCs/>
                <w:color w:val="auto"/>
                <w:kern w:val="0"/>
                <w:sz w:val="21"/>
                <w:szCs w:val="21"/>
                <w:highlight w:val="none"/>
                <w:lang w:val="en-US" w:eastAsia="zh-CN"/>
              </w:rPr>
            </w:pPr>
          </w:p>
        </w:tc>
        <w:tc>
          <w:tcPr>
            <w:tcW w:w="2182" w:type="dxa"/>
            <w:tcBorders>
              <w:top w:val="single" w:color="auto" w:sz="4" w:space="0"/>
              <w:left w:val="single" w:color="auto" w:sz="4" w:space="0"/>
              <w:bottom w:val="single" w:color="auto" w:sz="4" w:space="0"/>
              <w:right w:val="single" w:color="auto" w:sz="4" w:space="0"/>
            </w:tcBorders>
            <w:vAlign w:val="center"/>
          </w:tcPr>
          <w:p w14:paraId="52FE6FF3">
            <w:pPr>
              <w:pStyle w:val="2"/>
              <w:pageBreakBefore w:val="0"/>
              <w:kinsoku/>
              <w:overflowPunct/>
              <w:bidi w:val="0"/>
              <w:spacing w:beforeLines="0" w:afterLines="0" w:line="360" w:lineRule="auto"/>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咨询工作流程、工作内容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5451" w:type="dxa"/>
            <w:tcBorders>
              <w:top w:val="single" w:color="auto" w:sz="4" w:space="0"/>
              <w:left w:val="single" w:color="auto" w:sz="4" w:space="0"/>
              <w:bottom w:val="single" w:color="auto" w:sz="4" w:space="0"/>
              <w:right w:val="single" w:color="auto" w:sz="4" w:space="0"/>
            </w:tcBorders>
            <w:vAlign w:val="center"/>
          </w:tcPr>
          <w:p w14:paraId="6ED34935">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根据投标人提供的</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咨询工作流程、工作内容</w:t>
            </w:r>
            <w:r>
              <w:rPr>
                <w:rFonts w:hint="eastAsia" w:ascii="宋体" w:hAnsi="宋体" w:eastAsia="宋体" w:cs="宋体"/>
                <w:color w:val="auto"/>
                <w:sz w:val="21"/>
                <w:szCs w:val="21"/>
                <w:highlight w:val="none"/>
                <w:lang w:val="en-US" w:eastAsia="zh-CN"/>
              </w:rPr>
              <w:t>进行综合评审：</w:t>
            </w:r>
          </w:p>
          <w:p w14:paraId="2ABDC0FD">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1.优秀的得5分；</w:t>
            </w:r>
          </w:p>
          <w:p w14:paraId="30130784">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2.良好的得4.75分；</w:t>
            </w:r>
          </w:p>
          <w:p w14:paraId="44E51B5A">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3.一般的得4.5分；</w:t>
            </w:r>
          </w:p>
          <w:p w14:paraId="514BEFDE">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注：不合格或者未提供评审资料的不得分。</w:t>
            </w:r>
          </w:p>
        </w:tc>
      </w:tr>
      <w:tr w14:paraId="3BD4F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767" w:type="dxa"/>
            <w:vMerge w:val="continue"/>
            <w:tcBorders>
              <w:right w:val="single" w:color="auto" w:sz="4" w:space="0"/>
            </w:tcBorders>
            <w:vAlign w:val="center"/>
          </w:tcPr>
          <w:p w14:paraId="4C96C48D">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0C390EF4">
            <w:pPr>
              <w:pageBreakBefore w:val="0"/>
              <w:kinsoku/>
              <w:overflowPunct/>
              <w:bidi w:val="0"/>
              <w:spacing w:beforeLines="0" w:afterLines="0" w:line="360" w:lineRule="auto"/>
              <w:ind w:left="0" w:leftChars="0" w:right="0"/>
              <w:jc w:val="center"/>
              <w:rPr>
                <w:rFonts w:hint="eastAsia" w:ascii="宋体" w:hAnsi="宋体" w:eastAsia="宋体" w:cs="宋体"/>
                <w:bCs/>
                <w:color w:val="auto"/>
                <w:kern w:val="0"/>
                <w:sz w:val="21"/>
                <w:szCs w:val="21"/>
                <w:highlight w:val="none"/>
                <w:lang w:val="en-US" w:eastAsia="zh-CN"/>
              </w:rPr>
            </w:pPr>
          </w:p>
        </w:tc>
        <w:tc>
          <w:tcPr>
            <w:tcW w:w="2182" w:type="dxa"/>
            <w:tcBorders>
              <w:top w:val="single" w:color="auto" w:sz="4" w:space="0"/>
              <w:left w:val="single" w:color="auto" w:sz="4" w:space="0"/>
              <w:bottom w:val="single" w:color="auto" w:sz="4" w:space="0"/>
              <w:right w:val="single" w:color="auto" w:sz="4" w:space="0"/>
            </w:tcBorders>
            <w:vAlign w:val="center"/>
          </w:tcPr>
          <w:p w14:paraId="7653AC94">
            <w:pPr>
              <w:pStyle w:val="2"/>
              <w:pageBreakBefore w:val="0"/>
              <w:kinsoku/>
              <w:overflowPunct/>
              <w:bidi w:val="0"/>
              <w:spacing w:beforeLines="0" w:afterLines="0" w:line="360" w:lineRule="auto"/>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成果文件质量控制措施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5451" w:type="dxa"/>
            <w:tcBorders>
              <w:top w:val="single" w:color="auto" w:sz="4" w:space="0"/>
              <w:left w:val="single" w:color="auto" w:sz="4" w:space="0"/>
              <w:bottom w:val="single" w:color="auto" w:sz="4" w:space="0"/>
              <w:right w:val="single" w:color="auto" w:sz="4" w:space="0"/>
            </w:tcBorders>
            <w:vAlign w:val="center"/>
          </w:tcPr>
          <w:p w14:paraId="056E82F1">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根据投标人提供的</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成果文件质量控制措施</w:t>
            </w:r>
            <w:r>
              <w:rPr>
                <w:rFonts w:hint="eastAsia" w:ascii="宋体" w:hAnsi="宋体" w:eastAsia="宋体" w:cs="宋体"/>
                <w:b w:val="0"/>
                <w:bCs w:val="0"/>
                <w:snapToGrid/>
                <w:color w:val="auto"/>
                <w:spacing w:val="0"/>
                <w:sz w:val="21"/>
                <w:szCs w:val="21"/>
                <w:highlight w:val="none"/>
                <w:u w:val="none"/>
                <w:shd w:val="clear" w:color="auto" w:fill="auto"/>
                <w:lang w:val="en-US" w:eastAsia="zh-CN"/>
              </w:rPr>
              <w:t>进行综合评审：</w:t>
            </w:r>
          </w:p>
          <w:p w14:paraId="59998FD5">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1.优秀的得10分；</w:t>
            </w:r>
          </w:p>
          <w:p w14:paraId="265C63E6">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2.良好的得9.5分；</w:t>
            </w:r>
          </w:p>
          <w:p w14:paraId="282EF5B4">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3.一般的得9分；</w:t>
            </w:r>
          </w:p>
          <w:p w14:paraId="136D9B18">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注：不合格或者未提供评审资料的不得分。</w:t>
            </w:r>
          </w:p>
        </w:tc>
      </w:tr>
      <w:tr w14:paraId="3C750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767" w:type="dxa"/>
            <w:vMerge w:val="continue"/>
            <w:tcBorders>
              <w:right w:val="single" w:color="auto" w:sz="4" w:space="0"/>
            </w:tcBorders>
            <w:vAlign w:val="center"/>
          </w:tcPr>
          <w:p w14:paraId="38EA355F">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021EFBA7">
            <w:pPr>
              <w:pageBreakBefore w:val="0"/>
              <w:kinsoku/>
              <w:overflowPunct/>
              <w:bidi w:val="0"/>
              <w:spacing w:beforeLines="0" w:afterLines="0" w:line="360" w:lineRule="auto"/>
              <w:ind w:left="0" w:leftChars="0" w:right="0"/>
              <w:jc w:val="center"/>
              <w:rPr>
                <w:rFonts w:hint="eastAsia" w:ascii="宋体" w:hAnsi="宋体" w:eastAsia="宋体" w:cs="宋体"/>
                <w:bCs/>
                <w:color w:val="auto"/>
                <w:kern w:val="0"/>
                <w:sz w:val="21"/>
                <w:szCs w:val="21"/>
                <w:highlight w:val="none"/>
                <w:lang w:val="en-US" w:eastAsia="zh-CN"/>
              </w:rPr>
            </w:pPr>
          </w:p>
        </w:tc>
        <w:tc>
          <w:tcPr>
            <w:tcW w:w="2182" w:type="dxa"/>
            <w:tcBorders>
              <w:top w:val="single" w:color="auto" w:sz="4" w:space="0"/>
              <w:left w:val="single" w:color="auto" w:sz="4" w:space="0"/>
              <w:bottom w:val="single" w:color="auto" w:sz="4" w:space="0"/>
              <w:right w:val="single" w:color="auto" w:sz="4" w:space="0"/>
            </w:tcBorders>
            <w:vAlign w:val="center"/>
          </w:tcPr>
          <w:p w14:paraId="5CCF3955">
            <w:pPr>
              <w:pStyle w:val="2"/>
              <w:pageBreakBefore w:val="0"/>
              <w:kinsoku/>
              <w:overflowPunct/>
              <w:bidi w:val="0"/>
              <w:spacing w:beforeLines="0" w:afterLines="0" w:line="360" w:lineRule="auto"/>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项目服务进度计划及保证措施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5451" w:type="dxa"/>
            <w:tcBorders>
              <w:top w:val="single" w:color="auto" w:sz="4" w:space="0"/>
              <w:left w:val="single" w:color="auto" w:sz="4" w:space="0"/>
              <w:bottom w:val="single" w:color="auto" w:sz="4" w:space="0"/>
              <w:right w:val="single" w:color="auto" w:sz="4" w:space="0"/>
            </w:tcBorders>
            <w:vAlign w:val="center"/>
          </w:tcPr>
          <w:p w14:paraId="35D35E27">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根据投标人提供</w:t>
            </w:r>
            <w:r>
              <w:rPr>
                <w:rFonts w:hint="eastAsia" w:ascii="宋体" w:hAnsi="宋体" w:eastAsia="宋体" w:cs="宋体"/>
                <w:color w:val="auto"/>
                <w:sz w:val="21"/>
                <w:szCs w:val="21"/>
                <w:highlight w:val="none"/>
              </w:rPr>
              <w:t>项目服务进度计划及保证措施</w:t>
            </w:r>
            <w:r>
              <w:rPr>
                <w:rFonts w:hint="eastAsia" w:ascii="宋体" w:hAnsi="宋体" w:eastAsia="宋体" w:cs="宋体"/>
                <w:b w:val="0"/>
                <w:bCs w:val="0"/>
                <w:snapToGrid/>
                <w:color w:val="auto"/>
                <w:spacing w:val="0"/>
                <w:sz w:val="21"/>
                <w:szCs w:val="21"/>
                <w:highlight w:val="none"/>
                <w:u w:val="none"/>
                <w:shd w:val="clear" w:color="auto" w:fill="auto"/>
                <w:lang w:val="en-US" w:eastAsia="zh-CN"/>
              </w:rPr>
              <w:t>进行综合评审：</w:t>
            </w:r>
          </w:p>
          <w:p w14:paraId="4E1DD537">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1.优秀的得10分；</w:t>
            </w:r>
          </w:p>
          <w:p w14:paraId="46E575C4">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2.良好的得9.5分；</w:t>
            </w:r>
          </w:p>
          <w:p w14:paraId="50F51C05">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3.一般的得9分；</w:t>
            </w:r>
          </w:p>
          <w:p w14:paraId="50F03A06">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注：不合格或者未提供评审资料的不得分。</w:t>
            </w:r>
          </w:p>
        </w:tc>
      </w:tr>
      <w:tr w14:paraId="5904C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767" w:type="dxa"/>
            <w:vMerge w:val="continue"/>
            <w:tcBorders>
              <w:right w:val="single" w:color="auto" w:sz="4" w:space="0"/>
            </w:tcBorders>
            <w:vAlign w:val="center"/>
          </w:tcPr>
          <w:p w14:paraId="7AFCF4F7">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732B98DA">
            <w:pPr>
              <w:pageBreakBefore w:val="0"/>
              <w:kinsoku/>
              <w:overflowPunct/>
              <w:bidi w:val="0"/>
              <w:spacing w:beforeLines="0" w:afterLines="0" w:line="360" w:lineRule="auto"/>
              <w:ind w:left="0" w:leftChars="0" w:right="0"/>
              <w:jc w:val="center"/>
              <w:rPr>
                <w:rFonts w:hint="eastAsia" w:ascii="宋体" w:hAnsi="宋体" w:eastAsia="宋体" w:cs="宋体"/>
                <w:bCs/>
                <w:color w:val="auto"/>
                <w:kern w:val="0"/>
                <w:sz w:val="21"/>
                <w:szCs w:val="21"/>
                <w:highlight w:val="none"/>
                <w:lang w:val="en-US" w:eastAsia="zh-CN"/>
              </w:rPr>
            </w:pPr>
          </w:p>
        </w:tc>
        <w:tc>
          <w:tcPr>
            <w:tcW w:w="2182" w:type="dxa"/>
            <w:tcBorders>
              <w:top w:val="single" w:color="auto" w:sz="4" w:space="0"/>
              <w:left w:val="single" w:color="auto" w:sz="4" w:space="0"/>
              <w:bottom w:val="single" w:color="auto" w:sz="4" w:space="0"/>
              <w:right w:val="single" w:color="auto" w:sz="4" w:space="0"/>
            </w:tcBorders>
            <w:vAlign w:val="center"/>
          </w:tcPr>
          <w:p w14:paraId="63155AB8">
            <w:pPr>
              <w:pStyle w:val="2"/>
              <w:pageBreakBefore w:val="0"/>
              <w:kinsoku/>
              <w:overflowPunct/>
              <w:bidi w:val="0"/>
              <w:spacing w:beforeLines="0" w:afterLines="0" w:line="360" w:lineRule="auto"/>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后续配合、服务及保障措施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5451" w:type="dxa"/>
            <w:tcBorders>
              <w:top w:val="single" w:color="auto" w:sz="4" w:space="0"/>
              <w:left w:val="single" w:color="auto" w:sz="4" w:space="0"/>
              <w:bottom w:val="single" w:color="auto" w:sz="4" w:space="0"/>
              <w:right w:val="single" w:color="auto" w:sz="4" w:space="0"/>
            </w:tcBorders>
            <w:vAlign w:val="center"/>
          </w:tcPr>
          <w:p w14:paraId="28041B09">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根据投标人提供的后续配合、服务及保障措施进行综合评审：</w:t>
            </w:r>
          </w:p>
          <w:p w14:paraId="0C7EC235">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1.优秀的得5分；</w:t>
            </w:r>
          </w:p>
          <w:p w14:paraId="6EFB53FF">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2.良好的得4.75分；</w:t>
            </w:r>
          </w:p>
          <w:p w14:paraId="635230E9">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3.一般的得4.5分；</w:t>
            </w:r>
          </w:p>
          <w:p w14:paraId="7A6E8EE9">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注：不合格或者未提供评审资料的不得分。</w:t>
            </w:r>
          </w:p>
        </w:tc>
      </w:tr>
      <w:tr w14:paraId="7DE78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767" w:type="dxa"/>
            <w:vMerge w:val="continue"/>
            <w:tcBorders>
              <w:right w:val="single" w:color="auto" w:sz="4" w:space="0"/>
            </w:tcBorders>
            <w:vAlign w:val="center"/>
          </w:tcPr>
          <w:p w14:paraId="6E34AB37">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7D0C0E94">
            <w:pPr>
              <w:pageBreakBefore w:val="0"/>
              <w:kinsoku/>
              <w:overflowPunct/>
              <w:bidi w:val="0"/>
              <w:spacing w:beforeLines="0" w:afterLines="0" w:line="360" w:lineRule="auto"/>
              <w:ind w:left="0" w:leftChars="0" w:right="0"/>
              <w:jc w:val="center"/>
              <w:rPr>
                <w:rFonts w:hint="eastAsia" w:ascii="宋体" w:hAnsi="宋体" w:eastAsia="宋体" w:cs="宋体"/>
                <w:bCs/>
                <w:color w:val="auto"/>
                <w:kern w:val="0"/>
                <w:sz w:val="21"/>
                <w:szCs w:val="21"/>
                <w:highlight w:val="none"/>
                <w:lang w:val="en-US" w:eastAsia="zh-CN"/>
              </w:rPr>
            </w:pPr>
          </w:p>
        </w:tc>
        <w:tc>
          <w:tcPr>
            <w:tcW w:w="2182" w:type="dxa"/>
            <w:tcBorders>
              <w:top w:val="single" w:color="auto" w:sz="4" w:space="0"/>
              <w:left w:val="single" w:color="auto" w:sz="4" w:space="0"/>
              <w:bottom w:val="single" w:color="auto" w:sz="4" w:space="0"/>
              <w:right w:val="single" w:color="auto" w:sz="4" w:space="0"/>
            </w:tcBorders>
            <w:vAlign w:val="center"/>
          </w:tcPr>
          <w:p w14:paraId="1A203723">
            <w:pPr>
              <w:keepNext w:val="0"/>
              <w:keepLines w:val="0"/>
              <w:pageBreakBefore w:val="0"/>
              <w:kinsoku/>
              <w:wordWrap/>
              <w:overflowPunct/>
              <w:topLinePunct w:val="0"/>
              <w:autoSpaceDE/>
              <w:autoSpaceDN/>
              <w:bidi w:val="0"/>
              <w:adjustRightInd/>
              <w:snapToGrid/>
              <w:spacing w:beforeLines="0" w:afterLines="0" w:line="360" w:lineRule="auto"/>
              <w:ind w:left="0" w:leftChars="0" w:right="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项目重点难点分析及对策</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451" w:type="dxa"/>
            <w:tcBorders>
              <w:top w:val="single" w:color="auto" w:sz="4" w:space="0"/>
              <w:left w:val="single" w:color="auto" w:sz="4" w:space="0"/>
              <w:bottom w:val="single" w:color="auto" w:sz="4" w:space="0"/>
              <w:right w:val="single" w:color="auto" w:sz="4" w:space="0"/>
            </w:tcBorders>
            <w:vAlign w:val="center"/>
          </w:tcPr>
          <w:p w14:paraId="24FFADD5">
            <w:pPr>
              <w:pageBreakBefore w:val="0"/>
              <w:widowControl/>
              <w:kinsoku/>
              <w:overflowPunct/>
              <w:bidi w:val="0"/>
              <w:spacing w:beforeLines="0" w:afterLines="0" w:line="360" w:lineRule="auto"/>
              <w:ind w:left="0" w:leftChars="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b w:val="0"/>
                <w:bCs w:val="0"/>
                <w:color w:val="auto"/>
                <w:sz w:val="21"/>
                <w:szCs w:val="21"/>
                <w:highlight w:val="none"/>
                <w:lang w:val="en-US" w:eastAsia="zh-CN"/>
              </w:rPr>
              <w:t>项目重点难点分析及对策进行综合评审：</w:t>
            </w:r>
          </w:p>
          <w:p w14:paraId="6B27FD7A">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1.优秀的得10分；</w:t>
            </w:r>
          </w:p>
          <w:p w14:paraId="75A48FED">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2.良好的得9.5分；</w:t>
            </w:r>
          </w:p>
          <w:p w14:paraId="52E9479D">
            <w:pPr>
              <w:pStyle w:val="2"/>
              <w:pageBreakBefore w:val="0"/>
              <w:numPr>
                <w:ilvl w:val="0"/>
                <w:numId w:val="0"/>
              </w:numPr>
              <w:kinsoku/>
              <w:overflowPunct/>
              <w:bidi w:val="0"/>
              <w:spacing w:beforeLines="0" w:afterLines="0" w:line="360" w:lineRule="auto"/>
              <w:ind w:left="0" w:leftChars="0" w:right="0" w:firstLine="0" w:firstLineChars="0"/>
              <w:rPr>
                <w:rFonts w:hint="eastAsia" w:ascii="宋体" w:hAnsi="宋体" w:eastAsia="宋体" w:cs="宋体"/>
                <w:b w:val="0"/>
                <w:bCs w:val="0"/>
                <w:snapToGrid/>
                <w:color w:val="auto"/>
                <w:spacing w:val="0"/>
                <w:sz w:val="21"/>
                <w:szCs w:val="21"/>
                <w:highlight w:val="none"/>
                <w:u w:val="none"/>
                <w:shd w:val="clear" w:color="auto" w:fill="auto"/>
                <w:lang w:val="en-US" w:eastAsia="zh-CN"/>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3.一般的得9分；</w:t>
            </w:r>
          </w:p>
          <w:p w14:paraId="595981C5">
            <w:pPr>
              <w:keepNext w:val="0"/>
              <w:keepLines w:val="0"/>
              <w:pageBreakBefore w:val="0"/>
              <w:kinsoku/>
              <w:wordWrap/>
              <w:overflowPunct/>
              <w:topLinePunct w:val="0"/>
              <w:autoSpaceDE/>
              <w:autoSpaceDN/>
              <w:bidi w:val="0"/>
              <w:adjustRightInd/>
              <w:snapToGrid/>
              <w:spacing w:beforeLines="0" w:afterLines="0" w:line="360" w:lineRule="auto"/>
              <w:ind w:left="0" w:leftChars="0" w:right="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snapToGrid/>
                <w:color w:val="auto"/>
                <w:spacing w:val="0"/>
                <w:sz w:val="21"/>
                <w:szCs w:val="21"/>
                <w:highlight w:val="none"/>
                <w:u w:val="none"/>
                <w:shd w:val="clear" w:color="auto" w:fill="auto"/>
                <w:lang w:val="en-US" w:eastAsia="zh-CN"/>
              </w:rPr>
              <w:t>注：不合格或者未提供评审资料的不得分。</w:t>
            </w:r>
          </w:p>
        </w:tc>
      </w:tr>
      <w:tr w14:paraId="1AE62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74A3AE40">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right w:val="single" w:color="auto" w:sz="4" w:space="0"/>
            </w:tcBorders>
            <w:vAlign w:val="center"/>
          </w:tcPr>
          <w:p w14:paraId="6C8512FD">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7633" w:type="dxa"/>
            <w:gridSpan w:val="2"/>
            <w:tcBorders>
              <w:top w:val="single" w:color="auto" w:sz="4" w:space="0"/>
              <w:left w:val="single" w:color="auto" w:sz="4" w:space="0"/>
              <w:bottom w:val="single" w:color="auto" w:sz="4" w:space="0"/>
              <w:right w:val="single" w:color="auto" w:sz="4" w:space="0"/>
            </w:tcBorders>
            <w:vAlign w:val="center"/>
          </w:tcPr>
          <w:p w14:paraId="0A14D517">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1.各评审因素得分分值的计算按四舍五入法保留两位有效小数。</w:t>
            </w:r>
          </w:p>
          <w:p w14:paraId="1CC1B374">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横向对比是指将各投标人的投标文件评审资料进行横向比较，能最大限度满足本项评审因素的投标人得本项最高分值（若多个投标人均能最大限度满足评审因素要求的可并列第一），其他投标人按对本项评审因素的满足或者响应情况，分别按等差数列方式赋分，分差不超过三档（不包括不得分），每档分差为该评审因素总分值的5%～20%，不按要求提供或者未提供评审资料的不得分</w:t>
            </w:r>
            <w:r>
              <w:rPr>
                <w:rFonts w:hint="eastAsia" w:ascii="宋体" w:hAnsi="宋体" w:eastAsia="宋体" w:cs="宋体"/>
                <w:color w:val="auto"/>
                <w:sz w:val="21"/>
                <w:szCs w:val="21"/>
                <w:highlight w:val="none"/>
                <w:lang w:val="en-US" w:eastAsia="zh-CN"/>
              </w:rPr>
              <w:t>。</w:t>
            </w:r>
          </w:p>
        </w:tc>
      </w:tr>
      <w:tr w14:paraId="25DF8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294D585D">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tcBorders>
              <w:top w:val="single" w:color="auto" w:sz="4" w:space="0"/>
              <w:left w:val="single" w:color="auto" w:sz="4" w:space="0"/>
              <w:right w:val="single" w:color="auto" w:sz="4" w:space="0"/>
            </w:tcBorders>
            <w:vAlign w:val="center"/>
          </w:tcPr>
          <w:p w14:paraId="55C63FAE">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资信标（</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2182" w:type="dxa"/>
            <w:tcBorders>
              <w:top w:val="single" w:color="auto" w:sz="4" w:space="0"/>
              <w:left w:val="single" w:color="auto" w:sz="4" w:space="0"/>
              <w:bottom w:val="single" w:color="auto" w:sz="4" w:space="0"/>
              <w:right w:val="single" w:color="auto" w:sz="4" w:space="0"/>
            </w:tcBorders>
            <w:vAlign w:val="center"/>
          </w:tcPr>
          <w:p w14:paraId="7822294C">
            <w:pPr>
              <w:pageBreakBefore w:val="0"/>
              <w:widowControl/>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类似项目业绩（</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5451" w:type="dxa"/>
            <w:tcBorders>
              <w:top w:val="single" w:color="auto" w:sz="4" w:space="0"/>
              <w:left w:val="single" w:color="auto" w:sz="4" w:space="0"/>
              <w:bottom w:val="single" w:color="auto" w:sz="4" w:space="0"/>
              <w:right w:val="single" w:color="auto" w:sz="4" w:space="0"/>
            </w:tcBorders>
          </w:tcPr>
          <w:p w14:paraId="7D30922E">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投标人近三年内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自本工程招标公告发布之日起往前顺推，以合同签订时间为准</w:t>
            </w:r>
            <w:r>
              <w:rPr>
                <w:rFonts w:hint="eastAsia" w:ascii="宋体" w:hAnsi="宋体" w:eastAsia="宋体" w:cs="宋体"/>
                <w:color w:val="auto"/>
                <w:sz w:val="21"/>
                <w:szCs w:val="21"/>
                <w:highlight w:val="none"/>
                <w:lang w:eastAsia="zh-CN"/>
              </w:rPr>
              <w:t>）</w:t>
            </w:r>
          </w:p>
          <w:p w14:paraId="42085D32">
            <w:pPr>
              <w:pageBreakBefore w:val="0"/>
              <w:numPr>
                <w:ilvl w:val="0"/>
                <w:numId w:val="0"/>
              </w:numPr>
              <w:kinsoku/>
              <w:overflowPunct/>
              <w:bidi w:val="0"/>
              <w:spacing w:beforeLines="0" w:afterLines="0" w:line="360" w:lineRule="auto"/>
              <w:ind w:left="0" w:leftChars="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承担过</w:t>
            </w:r>
            <w:r>
              <w:rPr>
                <w:rFonts w:hint="eastAsia" w:ascii="宋体" w:hAnsi="宋体" w:eastAsia="宋体" w:cs="宋体"/>
                <w:color w:val="auto"/>
                <w:sz w:val="21"/>
                <w:szCs w:val="21"/>
                <w:highlight w:val="none"/>
                <w:u w:val="single"/>
              </w:rPr>
              <w:t>总长度</w:t>
            </w:r>
            <w:r>
              <w:rPr>
                <w:rFonts w:hint="eastAsia" w:ascii="宋体" w:hAnsi="宋体" w:eastAsia="宋体" w:cs="宋体"/>
                <w:color w:val="auto"/>
                <w:sz w:val="21"/>
                <w:szCs w:val="21"/>
                <w:highlight w:val="none"/>
                <w:u w:val="single"/>
                <w:lang w:val="en-US" w:eastAsia="zh-CN"/>
              </w:rPr>
              <w:t>3.7</w:t>
            </w:r>
            <w:r>
              <w:rPr>
                <w:rFonts w:hint="eastAsia" w:ascii="宋体" w:hAnsi="宋体" w:eastAsia="宋体" w:cs="宋体"/>
                <w:color w:val="auto"/>
                <w:sz w:val="21"/>
                <w:szCs w:val="21"/>
                <w:highlight w:val="none"/>
                <w:u w:val="single"/>
              </w:rPr>
              <w:t>公里或以上</w:t>
            </w:r>
            <w:r>
              <w:rPr>
                <w:rFonts w:hint="eastAsia" w:ascii="宋体" w:hAnsi="宋体" w:eastAsia="宋体" w:cs="宋体"/>
                <w:color w:val="auto"/>
                <w:sz w:val="21"/>
                <w:szCs w:val="21"/>
                <w:highlight w:val="none"/>
                <w:u w:val="single"/>
                <w:lang w:val="en-US" w:eastAsia="zh-CN"/>
              </w:rPr>
              <w:t>的综合管廓或电力管廊或电力隧道</w:t>
            </w:r>
            <w:r>
              <w:rPr>
                <w:rFonts w:hint="eastAsia" w:ascii="宋体" w:hAnsi="宋体" w:eastAsia="宋体" w:cs="宋体"/>
                <w:color w:val="auto"/>
                <w:sz w:val="21"/>
                <w:szCs w:val="21"/>
                <w:highlight w:val="none"/>
                <w:u w:val="single"/>
              </w:rPr>
              <w:t>工程</w:t>
            </w:r>
            <w:r>
              <w:rPr>
                <w:rFonts w:hint="eastAsia" w:ascii="宋体" w:hAnsi="宋体" w:eastAsia="宋体" w:cs="宋体"/>
                <w:color w:val="auto"/>
                <w:sz w:val="21"/>
                <w:szCs w:val="21"/>
                <w:highlight w:val="none"/>
              </w:rPr>
              <w:t>的造价咨询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预算或结算或全过程造价咨询）</w:t>
            </w:r>
            <w:r>
              <w:rPr>
                <w:rFonts w:hint="eastAsia" w:ascii="宋体" w:hAnsi="宋体" w:eastAsia="宋体" w:cs="宋体"/>
                <w:color w:val="auto"/>
                <w:sz w:val="21"/>
                <w:szCs w:val="21"/>
                <w:highlight w:val="none"/>
              </w:rPr>
              <w:t>业绩的，每绩项得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280820C">
            <w:pPr>
              <w:pageBreakBefore w:val="0"/>
              <w:widowControl/>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注：（1）须提供</w:t>
            </w:r>
            <w:r>
              <w:rPr>
                <w:rFonts w:hint="eastAsia" w:ascii="宋体" w:hAnsi="宋体" w:eastAsia="宋体" w:cs="宋体"/>
                <w:color w:val="auto"/>
                <w:sz w:val="21"/>
                <w:szCs w:val="21"/>
                <w:highlight w:val="none"/>
                <w:u w:val="none"/>
                <w:lang w:val="en-US" w:eastAsia="zh-CN"/>
              </w:rPr>
              <w:t>合同协议书证明材料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如前述证明材料不能清晰反映有关特征和必要信息的，还需提供该项目的业主证明材料并须附有业主方的联系人及联系电话</w:t>
            </w:r>
            <w:r>
              <w:rPr>
                <w:rFonts w:hint="eastAsia" w:ascii="宋体" w:hAnsi="宋体" w:eastAsia="宋体" w:cs="宋体"/>
                <w:color w:val="auto"/>
                <w:sz w:val="21"/>
                <w:szCs w:val="21"/>
                <w:highlight w:val="none"/>
                <w:lang w:eastAsia="zh-CN"/>
              </w:rPr>
              <w:t>。</w:t>
            </w:r>
          </w:p>
          <w:p w14:paraId="5E734B3A">
            <w:pPr>
              <w:pageBreakBefore w:val="0"/>
              <w:widowControl/>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若投标人提供的类似项目业绩为联合体形式的，应当提供该业绩的联合体协议，且协议中能够体现投标人单独承接（或完成）的工作量满足本招标项目业绩要求。</w:t>
            </w:r>
          </w:p>
        </w:tc>
      </w:tr>
      <w:tr w14:paraId="6D8C0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7DD8887E">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p>
        </w:tc>
        <w:tc>
          <w:tcPr>
            <w:tcW w:w="883" w:type="dxa"/>
            <w:vMerge w:val="continue"/>
            <w:tcBorders>
              <w:left w:val="single" w:color="auto" w:sz="4" w:space="0"/>
              <w:right w:val="single" w:color="auto" w:sz="4" w:space="0"/>
            </w:tcBorders>
            <w:vAlign w:val="center"/>
          </w:tcPr>
          <w:p w14:paraId="66AEA91A">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6208196">
            <w:pPr>
              <w:pageBreakBefore w:val="0"/>
              <w:widowControl/>
              <w:kinsoku/>
              <w:overflowPunct/>
              <w:bidi w:val="0"/>
              <w:spacing w:beforeLines="0" w:afterLines="0" w:line="360" w:lineRule="auto"/>
              <w:ind w:left="0" w:leftChars="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诚信状况（</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5451" w:type="dxa"/>
            <w:tcBorders>
              <w:top w:val="single" w:color="auto" w:sz="4" w:space="0"/>
              <w:left w:val="single" w:color="auto" w:sz="4" w:space="0"/>
              <w:bottom w:val="single" w:color="auto" w:sz="4" w:space="0"/>
              <w:right w:val="single" w:color="auto" w:sz="4" w:space="0"/>
            </w:tcBorders>
          </w:tcPr>
          <w:p w14:paraId="7FA5FD2B">
            <w:pPr>
              <w:pageBreakBefore w:val="0"/>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rPr>
              <w:t>采用动态信用得分评审：按招标项目进入资信标评审区间有效投标人的动态信用得分高低先进行排名，再按排名名次划分档次（动态信用得分相同的排名名次相同，并占用后续不同得分的排名名次）。动态信用得分排名名次前25%（含25%）的投标人为第一档，25%～50%（含50%）的为第二档，50%～75%（含75%）的为第三档，75%～100%的为第四档，计算结果四舍五入取整，每档分差为 3 分。</w:t>
            </w:r>
          </w:p>
          <w:p w14:paraId="4CD5B145">
            <w:pPr>
              <w:pageBreakBefore w:val="0"/>
              <w:kinsoku/>
              <w:overflowPunct/>
              <w:bidi w:val="0"/>
              <w:spacing w:beforeLines="0" w:afterLines="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注：以开标当天在佛山市建筑诚信评价体系管理平台的诚信动态分(企业类别:工程造价咨询企业)动态信用得分为准。</w:t>
            </w:r>
          </w:p>
        </w:tc>
      </w:tr>
      <w:tr w14:paraId="37281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6E51EF80">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p>
        </w:tc>
        <w:tc>
          <w:tcPr>
            <w:tcW w:w="883" w:type="dxa"/>
            <w:vMerge w:val="continue"/>
            <w:tcBorders>
              <w:left w:val="single" w:color="auto" w:sz="4" w:space="0"/>
              <w:right w:val="single" w:color="auto" w:sz="4" w:space="0"/>
            </w:tcBorders>
            <w:vAlign w:val="center"/>
          </w:tcPr>
          <w:p w14:paraId="02A38E62">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1DBE045">
            <w:pPr>
              <w:pageBreakBefore w:val="0"/>
              <w:widowControl/>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售后服务能力（2分）</w:t>
            </w:r>
          </w:p>
        </w:tc>
        <w:tc>
          <w:tcPr>
            <w:tcW w:w="5451" w:type="dxa"/>
            <w:tcBorders>
              <w:top w:val="single" w:color="auto" w:sz="4" w:space="0"/>
              <w:left w:val="single" w:color="auto" w:sz="4" w:space="0"/>
              <w:bottom w:val="single" w:color="auto" w:sz="4" w:space="0"/>
              <w:right w:val="single" w:color="auto" w:sz="4" w:space="0"/>
            </w:tcBorders>
          </w:tcPr>
          <w:p w14:paraId="0DD76DCE">
            <w:pPr>
              <w:pageBreakBefore w:val="0"/>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考察投标文件对服务响应时间的承诺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以承诺</w:t>
            </w:r>
            <w:r>
              <w:rPr>
                <w:rFonts w:hint="eastAsia" w:ascii="宋体" w:hAnsi="宋体" w:eastAsia="宋体" w:cs="宋体"/>
                <w:color w:val="auto"/>
                <w:sz w:val="21"/>
                <w:szCs w:val="21"/>
                <w:highlight w:val="none"/>
                <w:lang w:val="en-US" w:eastAsia="zh-CN"/>
              </w:rPr>
              <w:t>函</w:t>
            </w:r>
            <w:r>
              <w:rPr>
                <w:rFonts w:hint="eastAsia" w:ascii="宋体" w:hAnsi="宋体" w:eastAsia="宋体" w:cs="宋体"/>
                <w:color w:val="auto"/>
                <w:sz w:val="21"/>
                <w:szCs w:val="21"/>
                <w:highlight w:val="none"/>
              </w:rPr>
              <w:t>的方式提交</w:t>
            </w:r>
            <w:r>
              <w:rPr>
                <w:rFonts w:hint="eastAsia" w:ascii="宋体" w:hAnsi="宋体" w:eastAsia="宋体" w:cs="宋体"/>
                <w:color w:val="auto"/>
                <w:sz w:val="21"/>
                <w:szCs w:val="21"/>
                <w:highlight w:val="none"/>
                <w:lang w:eastAsia="zh-CN"/>
              </w:rPr>
              <w:t>。</w:t>
            </w:r>
          </w:p>
          <w:p w14:paraId="28AC478B">
            <w:pPr>
              <w:pageBreakBefore w:val="0"/>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1.服务响应时间≤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小时的，得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34DA8FB">
            <w:pPr>
              <w:pageBreakBefore w:val="0"/>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小时＜服务响应时间≤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小时的，得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3C553DAC">
            <w:pPr>
              <w:pageBreakBefore w:val="0"/>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小时＜服务响应时间≤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E6CF39F">
            <w:pPr>
              <w:pageBreakBefore w:val="0"/>
              <w:kinsoku/>
              <w:overflowPunct/>
              <w:bidi w:val="0"/>
              <w:spacing w:beforeLines="0" w:afterLines="0" w:line="360" w:lineRule="auto"/>
              <w:ind w:left="0" w:leftChars="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须提供加盖投标人公章服务响应时间</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承诺，格式自拟。</w:t>
            </w:r>
          </w:p>
        </w:tc>
      </w:tr>
      <w:tr w14:paraId="55BC1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08A260AD">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left w:val="single" w:color="auto" w:sz="4" w:space="0"/>
              <w:right w:val="single" w:color="auto" w:sz="4" w:space="0"/>
            </w:tcBorders>
            <w:vAlign w:val="center"/>
          </w:tcPr>
          <w:p w14:paraId="0A6C2CBD">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59FB26D">
            <w:pPr>
              <w:pageBreakBefore w:val="0"/>
              <w:widowControl/>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项目管理团队配备情况（</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tc>
        <w:tc>
          <w:tcPr>
            <w:tcW w:w="5451" w:type="dxa"/>
            <w:tcBorders>
              <w:top w:val="single" w:color="auto" w:sz="4" w:space="0"/>
              <w:left w:val="single" w:color="auto" w:sz="4" w:space="0"/>
              <w:bottom w:val="single" w:color="auto" w:sz="4" w:space="0"/>
              <w:right w:val="single" w:color="auto" w:sz="4" w:space="0"/>
            </w:tcBorders>
          </w:tcPr>
          <w:p w14:paraId="1F9FDFD6">
            <w:pPr>
              <w:pageBreakBefore w:val="0"/>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1.投标人拟派项目负责人（4分）：</w:t>
            </w:r>
          </w:p>
          <w:p w14:paraId="7E87BAE2">
            <w:pPr>
              <w:pageBreakBefore w:val="0"/>
              <w:kinsoku/>
              <w:overflowPunct/>
              <w:bidi w:val="0"/>
              <w:spacing w:beforeLines="0" w:afterLines="0" w:line="360" w:lineRule="auto"/>
              <w:ind w:left="0" w:leftChars="0" w:right="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kern w:val="2"/>
                <w:sz w:val="21"/>
                <w:szCs w:val="21"/>
                <w:highlight w:val="none"/>
                <w:u w:val="none"/>
                <w:lang w:val="en-US" w:eastAsia="zh-CN"/>
              </w:rPr>
              <w:t>1</w:t>
            </w:r>
            <w:r>
              <w:rPr>
                <w:rFonts w:hint="eastAsia" w:ascii="宋体" w:hAnsi="宋体" w:eastAsia="宋体" w:cs="宋体"/>
                <w:b w:val="0"/>
                <w:bCs w:val="0"/>
                <w:color w:val="auto"/>
                <w:kern w:val="2"/>
                <w:sz w:val="21"/>
                <w:szCs w:val="21"/>
                <w:highlight w:val="none"/>
                <w:u w:val="none"/>
                <w:lang w:eastAsia="zh-CN"/>
              </w:rPr>
              <w:t>）☑</w:t>
            </w:r>
            <w:r>
              <w:rPr>
                <w:rFonts w:hint="eastAsia" w:ascii="宋体" w:hAnsi="宋体" w:eastAsia="宋体" w:cs="宋体"/>
                <w:b w:val="0"/>
                <w:bCs w:val="0"/>
                <w:color w:val="auto"/>
                <w:sz w:val="21"/>
                <w:szCs w:val="21"/>
                <w:highlight w:val="none"/>
                <w:u w:val="none"/>
              </w:rPr>
              <w:t>类似项目业绩</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shd w:val="clear" w:color="auto" w:fill="auto"/>
                <w:lang w:val="en-US" w:eastAsia="zh-CN"/>
              </w:rPr>
              <w:t>2</w:t>
            </w:r>
            <w:r>
              <w:rPr>
                <w:rFonts w:hint="eastAsia" w:ascii="宋体" w:hAnsi="宋体" w:eastAsia="宋体" w:cs="宋体"/>
                <w:b w:val="0"/>
                <w:bCs w:val="0"/>
                <w:color w:val="auto"/>
                <w:sz w:val="21"/>
                <w:szCs w:val="21"/>
                <w:highlight w:val="none"/>
                <w:u w:val="none"/>
              </w:rPr>
              <w:t>分</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rPr>
              <w:t>：</w:t>
            </w:r>
          </w:p>
          <w:p w14:paraId="7413AEA2">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投标人近三年内(自本工程招标公告发布之日起往前顺推，以合同签订时间为准)作为项目负责人或造价咨询专业负责人承担过总长度3.7公里或以上综合管廓或电力管廊或电力隧道工程的造价咨询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预算或结算或全过程造价咨询）</w:t>
            </w:r>
            <w:r>
              <w:rPr>
                <w:rFonts w:hint="eastAsia" w:ascii="宋体" w:hAnsi="宋体" w:eastAsia="宋体" w:cs="宋体"/>
                <w:color w:val="auto"/>
                <w:sz w:val="21"/>
                <w:szCs w:val="21"/>
                <w:highlight w:val="none"/>
                <w:u w:val="none"/>
                <w:lang w:val="en-US" w:eastAsia="zh-CN"/>
              </w:rPr>
              <w:t>业绩的，每项得2分，最高得2分。</w:t>
            </w:r>
          </w:p>
          <w:p w14:paraId="4C56E7E3">
            <w:pPr>
              <w:pageBreakBefore w:val="0"/>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u w:val="none"/>
                <w:lang w:eastAsia="zh-CN"/>
              </w:rPr>
              <w:t>（</w:t>
            </w:r>
            <w:r>
              <w:rPr>
                <w:rFonts w:hint="eastAsia" w:ascii="宋体" w:hAnsi="宋体" w:eastAsia="宋体" w:cs="宋体"/>
                <w:color w:val="auto"/>
                <w:kern w:val="2"/>
                <w:sz w:val="21"/>
                <w:szCs w:val="21"/>
                <w:highlight w:val="none"/>
                <w:u w:val="none"/>
                <w:lang w:val="en-US" w:eastAsia="zh-CN"/>
              </w:rPr>
              <w:t>2</w:t>
            </w:r>
            <w:r>
              <w:rPr>
                <w:rFonts w:hint="eastAsia" w:ascii="宋体" w:hAnsi="宋体" w:eastAsia="宋体" w:cs="宋体"/>
                <w:color w:val="auto"/>
                <w:kern w:val="2"/>
                <w:sz w:val="21"/>
                <w:szCs w:val="21"/>
                <w:highlight w:val="none"/>
                <w:u w:val="none"/>
                <w:lang w:eastAsia="zh-CN"/>
              </w:rPr>
              <w:t>）☑</w:t>
            </w:r>
            <w:r>
              <w:rPr>
                <w:rFonts w:hint="eastAsia" w:ascii="宋体" w:hAnsi="宋体" w:eastAsia="宋体" w:cs="宋体"/>
                <w:color w:val="auto"/>
                <w:sz w:val="21"/>
                <w:szCs w:val="21"/>
                <w:highlight w:val="none"/>
                <w:u w:val="none"/>
              </w:rPr>
              <w:t>技术职称</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shd w:val="clear" w:color="auto" w:fill="auto"/>
                <w:lang w:val="en-US" w:eastAsia="zh-CN"/>
              </w:rPr>
              <w:t>2</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：具有</w:t>
            </w:r>
            <w:r>
              <w:rPr>
                <w:rFonts w:hint="eastAsia" w:ascii="宋体" w:hAnsi="宋体" w:eastAsia="宋体" w:cs="宋体"/>
                <w:color w:val="auto"/>
                <w:sz w:val="21"/>
                <w:szCs w:val="21"/>
                <w:highlight w:val="none"/>
                <w:u w:val="none"/>
                <w:lang w:val="en-US" w:eastAsia="zh-CN"/>
              </w:rPr>
              <w:t>工程类或工程经济类工程师</w:t>
            </w:r>
            <w:r>
              <w:rPr>
                <w:rFonts w:hint="eastAsia" w:ascii="宋体" w:hAnsi="宋体" w:eastAsia="宋体" w:cs="宋体"/>
                <w:color w:val="auto"/>
                <w:sz w:val="21"/>
                <w:szCs w:val="21"/>
                <w:highlight w:val="none"/>
                <w:u w:val="none"/>
              </w:rPr>
              <w:t>职称得</w:t>
            </w:r>
            <w:r>
              <w:rPr>
                <w:rFonts w:hint="eastAsia" w:ascii="宋体" w:hAnsi="宋体" w:eastAsia="宋体" w:cs="宋体"/>
                <w:color w:val="auto"/>
                <w:sz w:val="21"/>
                <w:szCs w:val="21"/>
                <w:highlight w:val="none"/>
                <w:u w:val="none"/>
                <w:shd w:val="clear" w:color="auto" w:fill="auto"/>
                <w:lang w:val="en-US" w:eastAsia="zh-CN"/>
              </w:rPr>
              <w:t>1</w:t>
            </w:r>
            <w:r>
              <w:rPr>
                <w:rFonts w:hint="eastAsia" w:ascii="宋体" w:hAnsi="宋体" w:eastAsia="宋体" w:cs="宋体"/>
                <w:color w:val="auto"/>
                <w:sz w:val="21"/>
                <w:szCs w:val="21"/>
                <w:highlight w:val="none"/>
                <w:u w:val="none"/>
              </w:rPr>
              <w:t>分，具有</w:t>
            </w:r>
            <w:r>
              <w:rPr>
                <w:rFonts w:hint="eastAsia" w:ascii="宋体" w:hAnsi="宋体" w:eastAsia="宋体" w:cs="宋体"/>
                <w:color w:val="auto"/>
                <w:sz w:val="21"/>
                <w:szCs w:val="21"/>
                <w:highlight w:val="none"/>
                <w:u w:val="none"/>
                <w:lang w:val="en-US" w:eastAsia="zh-CN"/>
              </w:rPr>
              <w:t>工程类或工程经济类</w:t>
            </w:r>
            <w:r>
              <w:rPr>
                <w:rFonts w:hint="eastAsia" w:ascii="宋体" w:hAnsi="宋体" w:eastAsia="宋体" w:cs="宋体"/>
                <w:color w:val="auto"/>
                <w:sz w:val="21"/>
                <w:szCs w:val="21"/>
                <w:highlight w:val="none"/>
                <w:u w:val="none"/>
              </w:rPr>
              <w:t>高级（或以上）</w:t>
            </w:r>
            <w:r>
              <w:rPr>
                <w:rFonts w:hint="eastAsia" w:ascii="宋体" w:hAnsi="宋体" w:eastAsia="宋体" w:cs="宋体"/>
                <w:color w:val="auto"/>
                <w:sz w:val="21"/>
                <w:szCs w:val="21"/>
                <w:highlight w:val="none"/>
                <w:u w:val="none"/>
                <w:lang w:val="en-US" w:eastAsia="zh-CN"/>
              </w:rPr>
              <w:t>工程师</w:t>
            </w:r>
            <w:r>
              <w:rPr>
                <w:rFonts w:hint="eastAsia" w:ascii="宋体" w:hAnsi="宋体" w:eastAsia="宋体" w:cs="宋体"/>
                <w:color w:val="auto"/>
                <w:sz w:val="21"/>
                <w:szCs w:val="21"/>
                <w:highlight w:val="none"/>
                <w:u w:val="none"/>
              </w:rPr>
              <w:t>职称得</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eastAsia="zh-CN"/>
              </w:rPr>
              <w:t>。</w:t>
            </w:r>
          </w:p>
          <w:p w14:paraId="76B84C34">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2.其他管理人员</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shd w:val="clear" w:color="auto" w:fill="auto"/>
                <w:lang w:val="en-US" w:eastAsia="zh-CN"/>
              </w:rPr>
              <w:t>9</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w:t>
            </w:r>
          </w:p>
          <w:p w14:paraId="7DE52102">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人员类型：</w:t>
            </w:r>
            <w:r>
              <w:rPr>
                <w:rFonts w:hint="eastAsia" w:ascii="宋体" w:hAnsi="宋体" w:eastAsia="宋体" w:cs="宋体"/>
                <w:color w:val="auto"/>
                <w:sz w:val="21"/>
                <w:szCs w:val="21"/>
                <w:highlight w:val="none"/>
                <w:u w:val="none"/>
                <w:shd w:val="clear" w:color="auto" w:fill="auto"/>
                <w:lang w:val="en-US" w:eastAsia="zh-CN"/>
              </w:rPr>
              <w:t>技术负责人（1名，2分）</w:t>
            </w:r>
          </w:p>
          <w:p w14:paraId="0503BCBE">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kern w:val="2"/>
                <w:sz w:val="21"/>
                <w:szCs w:val="21"/>
                <w:highlight w:val="none"/>
                <w:u w:val="none"/>
                <w:lang w:eastAsia="zh-CN"/>
              </w:rPr>
              <w:t>☑</w:t>
            </w:r>
            <w:r>
              <w:rPr>
                <w:rFonts w:hint="eastAsia" w:ascii="宋体" w:hAnsi="宋体" w:eastAsia="宋体" w:cs="宋体"/>
                <w:color w:val="auto"/>
                <w:sz w:val="21"/>
                <w:szCs w:val="21"/>
                <w:highlight w:val="none"/>
                <w:u w:val="none"/>
              </w:rPr>
              <w:t>技术职称</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具有工程类或工程经济类工程师职称得0.5</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具有</w:t>
            </w:r>
            <w:r>
              <w:rPr>
                <w:rFonts w:hint="eastAsia" w:ascii="宋体" w:hAnsi="宋体" w:eastAsia="宋体" w:cs="宋体"/>
                <w:color w:val="auto"/>
                <w:sz w:val="21"/>
                <w:szCs w:val="21"/>
                <w:highlight w:val="none"/>
                <w:u w:val="none"/>
                <w:lang w:val="en-US" w:eastAsia="zh-CN"/>
              </w:rPr>
              <w:t>工程类或工程经济类</w:t>
            </w:r>
            <w:r>
              <w:rPr>
                <w:rFonts w:hint="eastAsia" w:ascii="宋体" w:hAnsi="宋体" w:eastAsia="宋体" w:cs="宋体"/>
                <w:color w:val="auto"/>
                <w:sz w:val="21"/>
                <w:szCs w:val="21"/>
                <w:highlight w:val="none"/>
                <w:u w:val="none"/>
              </w:rPr>
              <w:t>高级（或以上）</w:t>
            </w:r>
            <w:r>
              <w:rPr>
                <w:rFonts w:hint="eastAsia" w:ascii="宋体" w:hAnsi="宋体" w:eastAsia="宋体" w:cs="宋体"/>
                <w:color w:val="auto"/>
                <w:sz w:val="21"/>
                <w:szCs w:val="21"/>
                <w:highlight w:val="none"/>
                <w:u w:val="none"/>
                <w:lang w:val="en-US" w:eastAsia="zh-CN"/>
              </w:rPr>
              <w:t>工程师</w:t>
            </w:r>
            <w:r>
              <w:rPr>
                <w:rFonts w:hint="eastAsia" w:ascii="宋体" w:hAnsi="宋体" w:eastAsia="宋体" w:cs="宋体"/>
                <w:color w:val="auto"/>
                <w:sz w:val="21"/>
                <w:szCs w:val="21"/>
                <w:highlight w:val="none"/>
                <w:u w:val="none"/>
              </w:rPr>
              <w:t>职称得</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eastAsia="zh-CN"/>
              </w:rPr>
              <w:t>。</w:t>
            </w:r>
          </w:p>
          <w:p w14:paraId="00475FBB">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u w:val="none"/>
                <w:shd w:val="clear" w:color="auto" w:fill="auto"/>
                <w:lang w:val="en-US" w:eastAsia="zh-CN"/>
              </w:rPr>
            </w:pPr>
            <w:r>
              <w:rPr>
                <w:rFonts w:hint="eastAsia" w:ascii="宋体" w:hAnsi="宋体" w:eastAsia="宋体" w:cs="宋体"/>
                <w:color w:val="auto"/>
                <w:kern w:val="2"/>
                <w:sz w:val="21"/>
                <w:szCs w:val="21"/>
                <w:highlight w:val="none"/>
                <w:u w:val="none"/>
                <w:lang w:eastAsia="zh-CN"/>
              </w:rPr>
              <w:t>☑</w:t>
            </w:r>
            <w:r>
              <w:rPr>
                <w:rFonts w:hint="eastAsia" w:ascii="宋体" w:hAnsi="宋体" w:eastAsia="宋体" w:cs="宋体"/>
                <w:color w:val="auto"/>
                <w:sz w:val="21"/>
                <w:szCs w:val="21"/>
                <w:highlight w:val="none"/>
                <w:u w:val="none"/>
              </w:rPr>
              <w:t>执业资格</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：具备</w:t>
            </w:r>
            <w:r>
              <w:rPr>
                <w:rFonts w:hint="eastAsia" w:ascii="宋体" w:hAnsi="宋体" w:eastAsia="宋体" w:cs="宋体"/>
                <w:color w:val="auto"/>
                <w:sz w:val="21"/>
                <w:szCs w:val="21"/>
                <w:highlight w:val="none"/>
                <w:u w:val="none"/>
                <w:lang w:val="en-US" w:eastAsia="zh-CN"/>
              </w:rPr>
              <w:t>建设主管部门颁发的</w:t>
            </w:r>
            <w:r>
              <w:rPr>
                <w:rFonts w:hint="eastAsia" w:ascii="宋体" w:hAnsi="宋体" w:eastAsia="宋体" w:cs="宋体"/>
                <w:color w:val="auto"/>
                <w:sz w:val="21"/>
                <w:szCs w:val="21"/>
                <w:highlight w:val="none"/>
                <w:u w:val="none"/>
              </w:rPr>
              <w:t>注册于投标人本单位的</w:t>
            </w:r>
            <w:r>
              <w:rPr>
                <w:rFonts w:hint="eastAsia" w:ascii="宋体" w:hAnsi="宋体" w:eastAsia="宋体" w:cs="宋体"/>
                <w:b w:val="0"/>
                <w:bCs w:val="0"/>
                <w:color w:val="auto"/>
                <w:sz w:val="21"/>
                <w:szCs w:val="21"/>
                <w:highlight w:val="none"/>
                <w:u w:val="none"/>
              </w:rPr>
              <w:t>注册造价工程师注册证</w:t>
            </w:r>
            <w:r>
              <w:rPr>
                <w:rFonts w:hint="eastAsia" w:ascii="宋体" w:hAnsi="宋体" w:eastAsia="宋体" w:cs="宋体"/>
                <w:b w:val="0"/>
                <w:bCs w:val="0"/>
                <w:color w:val="auto"/>
                <w:sz w:val="21"/>
                <w:szCs w:val="21"/>
                <w:highlight w:val="none"/>
                <w:u w:val="none"/>
                <w:lang w:val="en-US" w:eastAsia="zh-CN"/>
              </w:rPr>
              <w:t>或</w:t>
            </w:r>
            <w:r>
              <w:rPr>
                <w:rFonts w:hint="eastAsia" w:ascii="宋体" w:hAnsi="宋体" w:eastAsia="宋体" w:cs="宋体"/>
                <w:b w:val="0"/>
                <w:bCs w:val="0"/>
                <w:color w:val="auto"/>
                <w:sz w:val="21"/>
                <w:szCs w:val="21"/>
                <w:highlight w:val="none"/>
                <w:u w:val="none"/>
              </w:rPr>
              <w:t>一级造价工程师注册证</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专业：</w:t>
            </w:r>
            <w:r>
              <w:rPr>
                <w:rFonts w:hint="eastAsia" w:ascii="宋体" w:hAnsi="宋体" w:eastAsia="宋体" w:cs="宋体"/>
                <w:b w:val="0"/>
                <w:bCs w:val="0"/>
                <w:color w:val="auto"/>
                <w:sz w:val="21"/>
                <w:szCs w:val="21"/>
                <w:highlight w:val="none"/>
                <w:u w:val="none"/>
                <w:lang w:eastAsia="zh-CN"/>
              </w:rPr>
              <w:t>土木建筑工程</w:t>
            </w:r>
            <w:r>
              <w:rPr>
                <w:rFonts w:hint="eastAsia" w:ascii="宋体" w:hAnsi="宋体" w:eastAsia="宋体" w:cs="宋体"/>
                <w:b w:val="0"/>
                <w:bCs w:val="0"/>
                <w:color w:val="auto"/>
                <w:sz w:val="21"/>
                <w:szCs w:val="21"/>
                <w:highlight w:val="none"/>
                <w:u w:val="none"/>
                <w:lang w:val="en-US" w:eastAsia="zh-CN"/>
              </w:rPr>
              <w:t>或安装工程</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得1分</w:t>
            </w:r>
            <w:r>
              <w:rPr>
                <w:rFonts w:hint="eastAsia" w:ascii="宋体" w:hAnsi="宋体" w:eastAsia="宋体" w:cs="宋体"/>
                <w:color w:val="auto"/>
                <w:sz w:val="21"/>
                <w:szCs w:val="21"/>
                <w:highlight w:val="none"/>
                <w:u w:val="none"/>
                <w:lang w:eastAsia="zh-CN"/>
              </w:rPr>
              <w:t>。</w:t>
            </w:r>
          </w:p>
          <w:p w14:paraId="2AA9FD07">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人员类型：</w:t>
            </w:r>
            <w:r>
              <w:rPr>
                <w:rFonts w:hint="eastAsia" w:ascii="宋体" w:hAnsi="宋体" w:eastAsia="宋体" w:cs="宋体"/>
                <w:color w:val="auto"/>
                <w:sz w:val="21"/>
                <w:szCs w:val="21"/>
                <w:highlight w:val="none"/>
                <w:u w:val="none"/>
                <w:shd w:val="clear" w:color="auto" w:fill="auto"/>
                <w:lang w:val="en-US" w:eastAsia="zh-CN"/>
              </w:rPr>
              <w:t>土建专业造价负责人（1名，2分）</w:t>
            </w:r>
          </w:p>
          <w:p w14:paraId="02F9EE6E">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u w:val="none"/>
              </w:rPr>
            </w:pPr>
            <w:r>
              <w:rPr>
                <w:rFonts w:hint="eastAsia" w:ascii="宋体" w:hAnsi="宋体" w:eastAsia="宋体" w:cs="宋体"/>
                <w:color w:val="auto"/>
                <w:kern w:val="2"/>
                <w:sz w:val="21"/>
                <w:szCs w:val="21"/>
                <w:highlight w:val="none"/>
                <w:u w:val="none"/>
                <w:lang w:eastAsia="zh-CN"/>
              </w:rPr>
              <w:t>☑</w:t>
            </w:r>
            <w:r>
              <w:rPr>
                <w:rFonts w:hint="eastAsia" w:ascii="宋体" w:hAnsi="宋体" w:eastAsia="宋体" w:cs="宋体"/>
                <w:color w:val="auto"/>
                <w:sz w:val="21"/>
                <w:szCs w:val="21"/>
                <w:highlight w:val="none"/>
                <w:u w:val="none"/>
              </w:rPr>
              <w:t>技术职称</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：具有工程类</w:t>
            </w:r>
            <w:r>
              <w:rPr>
                <w:rFonts w:hint="eastAsia" w:ascii="宋体" w:hAnsi="宋体" w:eastAsia="宋体" w:cs="宋体"/>
                <w:color w:val="auto"/>
                <w:sz w:val="21"/>
                <w:szCs w:val="21"/>
                <w:highlight w:val="none"/>
                <w:u w:val="none"/>
                <w:lang w:val="en-US" w:eastAsia="zh-CN"/>
              </w:rPr>
              <w:t>或工程经济类</w:t>
            </w:r>
            <w:r>
              <w:rPr>
                <w:rFonts w:hint="eastAsia" w:ascii="宋体" w:hAnsi="宋体" w:eastAsia="宋体" w:cs="宋体"/>
                <w:color w:val="auto"/>
                <w:sz w:val="21"/>
                <w:szCs w:val="21"/>
                <w:highlight w:val="none"/>
                <w:u w:val="none"/>
              </w:rPr>
              <w:t>工程师</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或以上</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职称得</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eastAsia="zh-CN"/>
              </w:rPr>
              <w:t>。</w:t>
            </w:r>
          </w:p>
          <w:p w14:paraId="4E909ECD">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u w:val="none"/>
              </w:rPr>
            </w:pPr>
            <w:r>
              <w:rPr>
                <w:rFonts w:hint="eastAsia" w:ascii="宋体" w:hAnsi="宋体" w:eastAsia="宋体" w:cs="宋体"/>
                <w:color w:val="auto"/>
                <w:kern w:val="2"/>
                <w:sz w:val="21"/>
                <w:szCs w:val="21"/>
                <w:highlight w:val="none"/>
                <w:u w:val="none"/>
                <w:lang w:eastAsia="zh-CN"/>
              </w:rPr>
              <w:t>☑</w:t>
            </w:r>
            <w:r>
              <w:rPr>
                <w:rFonts w:hint="eastAsia" w:ascii="宋体" w:hAnsi="宋体" w:eastAsia="宋体" w:cs="宋体"/>
                <w:color w:val="auto"/>
                <w:sz w:val="21"/>
                <w:szCs w:val="21"/>
                <w:highlight w:val="none"/>
                <w:u w:val="none"/>
              </w:rPr>
              <w:t>执业资格</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：具备注册于投标人本单位的注册造价工程师注册证或一级造价工程师注册证（专业：土木建筑工程）</w:t>
            </w:r>
            <w:r>
              <w:rPr>
                <w:rFonts w:hint="eastAsia" w:ascii="宋体" w:hAnsi="宋体" w:eastAsia="宋体" w:cs="宋体"/>
                <w:color w:val="auto"/>
                <w:sz w:val="21"/>
                <w:szCs w:val="21"/>
                <w:highlight w:val="none"/>
                <w:u w:val="none"/>
                <w:lang w:val="en-US" w:eastAsia="zh-CN"/>
              </w:rPr>
              <w:t>得1分</w:t>
            </w:r>
            <w:r>
              <w:rPr>
                <w:rFonts w:hint="eastAsia" w:ascii="宋体" w:hAnsi="宋体" w:eastAsia="宋体" w:cs="宋体"/>
                <w:color w:val="auto"/>
                <w:sz w:val="21"/>
                <w:szCs w:val="21"/>
                <w:highlight w:val="none"/>
                <w:u w:val="none"/>
                <w:lang w:eastAsia="zh-CN"/>
              </w:rPr>
              <w:t>。</w:t>
            </w:r>
          </w:p>
          <w:p w14:paraId="11D50522">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人员类型：</w:t>
            </w:r>
            <w:r>
              <w:rPr>
                <w:rFonts w:hint="eastAsia" w:ascii="宋体" w:hAnsi="宋体" w:eastAsia="宋体" w:cs="宋体"/>
                <w:color w:val="auto"/>
                <w:sz w:val="21"/>
                <w:szCs w:val="21"/>
                <w:highlight w:val="none"/>
                <w:u w:val="none"/>
                <w:shd w:val="clear" w:color="auto" w:fill="auto"/>
                <w:lang w:val="en-US" w:eastAsia="zh-CN"/>
              </w:rPr>
              <w:t>安装专业造价负责人（1名，2分）</w:t>
            </w:r>
          </w:p>
          <w:p w14:paraId="14C5C613">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u w:val="none"/>
              </w:rPr>
            </w:pPr>
            <w:r>
              <w:rPr>
                <w:rFonts w:hint="eastAsia" w:ascii="宋体" w:hAnsi="宋体" w:eastAsia="宋体" w:cs="宋体"/>
                <w:color w:val="auto"/>
                <w:kern w:val="2"/>
                <w:sz w:val="21"/>
                <w:szCs w:val="21"/>
                <w:highlight w:val="none"/>
                <w:u w:val="none"/>
                <w:lang w:eastAsia="zh-CN"/>
              </w:rPr>
              <w:t>☑</w:t>
            </w:r>
            <w:r>
              <w:rPr>
                <w:rFonts w:hint="eastAsia" w:ascii="宋体" w:hAnsi="宋体" w:eastAsia="宋体" w:cs="宋体"/>
                <w:color w:val="auto"/>
                <w:sz w:val="21"/>
                <w:szCs w:val="21"/>
                <w:highlight w:val="none"/>
                <w:u w:val="none"/>
              </w:rPr>
              <w:t>技术职称</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：具有工程类</w:t>
            </w:r>
            <w:r>
              <w:rPr>
                <w:rFonts w:hint="eastAsia" w:ascii="宋体" w:hAnsi="宋体" w:eastAsia="宋体" w:cs="宋体"/>
                <w:color w:val="auto"/>
                <w:sz w:val="21"/>
                <w:szCs w:val="21"/>
                <w:highlight w:val="none"/>
                <w:u w:val="none"/>
                <w:lang w:val="en-US" w:eastAsia="zh-CN"/>
              </w:rPr>
              <w:t>或工程经济类</w:t>
            </w:r>
            <w:r>
              <w:rPr>
                <w:rFonts w:hint="eastAsia" w:ascii="宋体" w:hAnsi="宋体" w:eastAsia="宋体" w:cs="宋体"/>
                <w:color w:val="auto"/>
                <w:sz w:val="21"/>
                <w:szCs w:val="21"/>
                <w:highlight w:val="none"/>
                <w:u w:val="none"/>
              </w:rPr>
              <w:t>工程师</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或以上</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职称得</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eastAsia="zh-CN"/>
              </w:rPr>
              <w:t>。</w:t>
            </w:r>
          </w:p>
          <w:p w14:paraId="6C9421C9">
            <w:pPr>
              <w:pageBreakBefore w:val="0"/>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u w:val="none"/>
              </w:rPr>
            </w:pPr>
            <w:r>
              <w:rPr>
                <w:rFonts w:hint="eastAsia" w:ascii="宋体" w:hAnsi="宋体" w:eastAsia="宋体" w:cs="宋体"/>
                <w:color w:val="auto"/>
                <w:kern w:val="2"/>
                <w:sz w:val="21"/>
                <w:szCs w:val="21"/>
                <w:highlight w:val="none"/>
                <w:u w:val="none"/>
                <w:lang w:eastAsia="zh-CN"/>
              </w:rPr>
              <w:t>☑</w:t>
            </w:r>
            <w:r>
              <w:rPr>
                <w:rFonts w:hint="eastAsia" w:ascii="宋体" w:hAnsi="宋体" w:eastAsia="宋体" w:cs="宋体"/>
                <w:color w:val="auto"/>
                <w:sz w:val="21"/>
                <w:szCs w:val="21"/>
                <w:highlight w:val="none"/>
                <w:u w:val="none"/>
              </w:rPr>
              <w:t>执业资格</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：具备注册于投标人本单位的注册造价工程师注册证或一级造价工程师注册证（专业：</w:t>
            </w:r>
            <w:r>
              <w:rPr>
                <w:rFonts w:hint="eastAsia" w:ascii="宋体" w:hAnsi="宋体" w:eastAsia="宋体" w:cs="宋体"/>
                <w:color w:val="auto"/>
                <w:sz w:val="21"/>
                <w:szCs w:val="21"/>
                <w:highlight w:val="none"/>
                <w:u w:val="none"/>
                <w:lang w:val="en-US" w:eastAsia="zh-CN"/>
              </w:rPr>
              <w:t>安装</w:t>
            </w:r>
            <w:r>
              <w:rPr>
                <w:rFonts w:hint="eastAsia" w:ascii="宋体" w:hAnsi="宋体" w:eastAsia="宋体" w:cs="宋体"/>
                <w:color w:val="auto"/>
                <w:sz w:val="21"/>
                <w:szCs w:val="21"/>
                <w:highlight w:val="none"/>
                <w:u w:val="none"/>
              </w:rPr>
              <w:t>工程）</w:t>
            </w:r>
            <w:r>
              <w:rPr>
                <w:rFonts w:hint="eastAsia" w:ascii="宋体" w:hAnsi="宋体" w:eastAsia="宋体" w:cs="宋体"/>
                <w:color w:val="auto"/>
                <w:sz w:val="21"/>
                <w:szCs w:val="21"/>
                <w:highlight w:val="none"/>
                <w:u w:val="none"/>
                <w:lang w:val="en-US" w:eastAsia="zh-CN"/>
              </w:rPr>
              <w:t>得1分</w:t>
            </w:r>
            <w:r>
              <w:rPr>
                <w:rFonts w:hint="eastAsia" w:ascii="宋体" w:hAnsi="宋体" w:eastAsia="宋体" w:cs="宋体"/>
                <w:color w:val="auto"/>
                <w:sz w:val="21"/>
                <w:szCs w:val="21"/>
                <w:highlight w:val="none"/>
                <w:u w:val="none"/>
                <w:lang w:eastAsia="zh-CN"/>
              </w:rPr>
              <w:t>。</w:t>
            </w:r>
          </w:p>
          <w:p w14:paraId="718DD2D0">
            <w:pPr>
              <w:pageBreakBefore w:val="0"/>
              <w:numPr>
                <w:ilvl w:val="0"/>
                <w:numId w:val="0"/>
              </w:numPr>
              <w:kinsoku/>
              <w:overflowPunct/>
              <w:bidi w:val="0"/>
              <w:spacing w:beforeLines="0" w:afterLines="0" w:line="360" w:lineRule="auto"/>
              <w:ind w:left="0" w:leftChars="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（4）土建专业造价人员(2名，2分):</w:t>
            </w:r>
          </w:p>
          <w:p w14:paraId="7EC4467F">
            <w:pPr>
              <w:pageBreakBefore w:val="0"/>
              <w:numPr>
                <w:ilvl w:val="0"/>
                <w:numId w:val="0"/>
              </w:numPr>
              <w:kinsoku/>
              <w:overflowPunct/>
              <w:bidi w:val="0"/>
              <w:spacing w:beforeLines="0" w:afterLines="0" w:line="360" w:lineRule="auto"/>
              <w:ind w:left="0" w:leftChars="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u w:val="none"/>
                <w:lang w:eastAsia="zh-CN"/>
              </w:rPr>
              <w:t>☑</w:t>
            </w:r>
            <w:r>
              <w:rPr>
                <w:rFonts w:hint="eastAsia" w:ascii="宋体" w:hAnsi="宋体" w:eastAsia="宋体" w:cs="宋体"/>
                <w:color w:val="auto"/>
                <w:sz w:val="21"/>
                <w:szCs w:val="21"/>
                <w:highlight w:val="none"/>
                <w:u w:val="none"/>
              </w:rPr>
              <w:t>执业资格</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kern w:val="2"/>
                <w:sz w:val="21"/>
                <w:szCs w:val="21"/>
                <w:highlight w:val="none"/>
                <w:shd w:val="clear" w:color="auto" w:fill="auto"/>
                <w:lang w:val="en-US" w:eastAsia="zh-CN" w:bidi="ar-SA"/>
              </w:rPr>
              <w:t>具备建设主管部门颁发的注册于投标人本单位的有效的二级注册造价工程师(土木建筑工程)专业的每人得0.5分，一级注册造价工程师（土木建筑工程）专业的每人得1分；最高得2分。</w:t>
            </w:r>
          </w:p>
          <w:p w14:paraId="18DDE119">
            <w:pPr>
              <w:pageBreakBefore w:val="0"/>
              <w:numPr>
                <w:ilvl w:val="0"/>
                <w:numId w:val="0"/>
              </w:numPr>
              <w:kinsoku/>
              <w:overflowPunct/>
              <w:bidi w:val="0"/>
              <w:spacing w:beforeLines="0" w:afterLines="0" w:line="360" w:lineRule="auto"/>
              <w:ind w:left="0" w:leftChars="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（5）安装专业造价人员(1名，1分):</w:t>
            </w:r>
          </w:p>
          <w:p w14:paraId="7A68A90A">
            <w:pPr>
              <w:pageBreakBefore w:val="0"/>
              <w:numPr>
                <w:ilvl w:val="0"/>
                <w:numId w:val="0"/>
              </w:numPr>
              <w:kinsoku/>
              <w:overflowPunct/>
              <w:bidi w:val="0"/>
              <w:spacing w:beforeLines="0" w:afterLines="0" w:line="360" w:lineRule="auto"/>
              <w:ind w:left="0" w:leftChars="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u w:val="none"/>
                <w:lang w:eastAsia="zh-CN"/>
              </w:rPr>
              <w:t>☑</w:t>
            </w:r>
            <w:r>
              <w:rPr>
                <w:rFonts w:hint="eastAsia" w:ascii="宋体" w:hAnsi="宋体" w:eastAsia="宋体" w:cs="宋体"/>
                <w:color w:val="auto"/>
                <w:sz w:val="21"/>
                <w:szCs w:val="21"/>
                <w:highlight w:val="none"/>
                <w:u w:val="none"/>
              </w:rPr>
              <w:t>执业资格</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kern w:val="2"/>
                <w:sz w:val="21"/>
                <w:szCs w:val="21"/>
                <w:highlight w:val="none"/>
                <w:shd w:val="clear" w:color="auto" w:fill="auto"/>
                <w:lang w:val="en-US" w:eastAsia="zh-CN" w:bidi="ar-SA"/>
              </w:rPr>
              <w:t>具备建设主管部门颁发的注册于投标人本单位的有效的二级注册造价工程师(安装工程)专业得0.5分，一级注册造价工程师（安装工程）专业得1分；最高得1分。</w:t>
            </w:r>
          </w:p>
          <w:p w14:paraId="6B1A0F62">
            <w:pPr>
              <w:pageBreakBefore w:val="0"/>
              <w:kinsoku/>
              <w:overflowPunct/>
              <w:bidi w:val="0"/>
              <w:spacing w:beforeLines="0" w:afterLines="0" w:line="360" w:lineRule="auto"/>
              <w:ind w:left="0" w:leftChars="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注：①以上岗位人员（包括项目负责人）均不得相互兼任。</w:t>
            </w:r>
          </w:p>
          <w:p w14:paraId="27160659">
            <w:pPr>
              <w:pageBreakBefore w:val="0"/>
              <w:kinsoku/>
              <w:overflowPunct/>
              <w:bidi w:val="0"/>
              <w:spacing w:beforeLines="0" w:afterLines="0" w:line="360" w:lineRule="auto"/>
              <w:ind w:left="0" w:leftChars="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②须</w:t>
            </w:r>
            <w:r>
              <w:rPr>
                <w:rFonts w:hint="eastAsia" w:ascii="宋体" w:hAnsi="宋体" w:eastAsia="宋体" w:cs="宋体"/>
                <w:color w:val="auto"/>
                <w:sz w:val="21"/>
                <w:szCs w:val="21"/>
                <w:highlight w:val="none"/>
                <w:shd w:val="clear" w:color="auto" w:fill="auto"/>
              </w:rPr>
              <w:t>提供</w:t>
            </w:r>
            <w:r>
              <w:rPr>
                <w:rFonts w:hint="eastAsia" w:ascii="宋体" w:hAnsi="宋体" w:eastAsia="宋体" w:cs="宋体"/>
                <w:color w:val="auto"/>
                <w:sz w:val="21"/>
                <w:szCs w:val="21"/>
                <w:highlight w:val="none"/>
                <w:shd w:val="clear" w:color="auto" w:fill="auto"/>
                <w:lang w:val="en-US" w:eastAsia="zh-CN"/>
              </w:rPr>
              <w:t>上述人员</w:t>
            </w:r>
            <w:r>
              <w:rPr>
                <w:rFonts w:hint="eastAsia" w:ascii="宋体" w:hAnsi="宋体" w:eastAsia="宋体" w:cs="宋体"/>
                <w:color w:val="auto"/>
                <w:sz w:val="21"/>
                <w:szCs w:val="21"/>
                <w:highlight w:val="none"/>
                <w:shd w:val="clear" w:color="auto" w:fill="auto"/>
              </w:rPr>
              <w:t>相关</w:t>
            </w:r>
            <w:r>
              <w:rPr>
                <w:rFonts w:hint="eastAsia" w:ascii="宋体" w:hAnsi="宋体" w:eastAsia="宋体" w:cs="宋体"/>
                <w:color w:val="auto"/>
                <w:sz w:val="21"/>
                <w:szCs w:val="21"/>
                <w:highlight w:val="none"/>
                <w:shd w:val="clear" w:color="auto" w:fill="auto"/>
                <w:lang w:val="en-US" w:eastAsia="zh-CN"/>
              </w:rPr>
              <w:t>职称证书、</w:t>
            </w:r>
            <w:r>
              <w:rPr>
                <w:rFonts w:hint="eastAsia" w:ascii="宋体" w:hAnsi="宋体" w:eastAsia="宋体" w:cs="宋体"/>
                <w:color w:val="auto"/>
                <w:sz w:val="21"/>
                <w:szCs w:val="21"/>
                <w:highlight w:val="none"/>
                <w:shd w:val="clear" w:color="auto" w:fill="auto"/>
              </w:rPr>
              <w:t>相关</w:t>
            </w:r>
            <w:r>
              <w:rPr>
                <w:rFonts w:hint="eastAsia" w:ascii="宋体" w:hAnsi="宋体" w:eastAsia="宋体" w:cs="宋体"/>
                <w:color w:val="auto"/>
                <w:sz w:val="21"/>
                <w:szCs w:val="21"/>
                <w:highlight w:val="none"/>
                <w:u w:val="none"/>
                <w:shd w:val="clear" w:color="auto" w:fill="auto"/>
              </w:rPr>
              <w:t>注册造价工程师或一级造价工程师</w:t>
            </w:r>
            <w:r>
              <w:rPr>
                <w:rFonts w:hint="eastAsia" w:ascii="宋体" w:hAnsi="宋体" w:eastAsia="宋体" w:cs="宋体"/>
                <w:color w:val="auto"/>
                <w:sz w:val="21"/>
                <w:szCs w:val="21"/>
                <w:highlight w:val="none"/>
                <w:shd w:val="clear" w:color="auto" w:fill="auto"/>
              </w:rPr>
              <w:t>注册证书</w:t>
            </w:r>
            <w:r>
              <w:rPr>
                <w:rFonts w:hint="eastAsia" w:ascii="宋体" w:hAnsi="宋体" w:eastAsia="宋体" w:cs="宋体"/>
                <w:color w:val="auto"/>
                <w:sz w:val="21"/>
                <w:szCs w:val="21"/>
                <w:highlight w:val="none"/>
                <w:shd w:val="clear" w:color="auto" w:fill="auto"/>
                <w:lang w:val="en-US" w:eastAsia="zh-CN"/>
              </w:rPr>
              <w:t>证明材料</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并加盖投标人公章</w:t>
            </w:r>
            <w:r>
              <w:rPr>
                <w:rFonts w:hint="eastAsia" w:ascii="宋体" w:hAnsi="宋体" w:eastAsia="宋体" w:cs="宋体"/>
                <w:color w:val="auto"/>
                <w:sz w:val="21"/>
                <w:szCs w:val="21"/>
                <w:highlight w:val="none"/>
                <w:shd w:val="clear" w:color="auto" w:fill="auto"/>
                <w:lang w:eastAsia="zh-CN"/>
              </w:rPr>
              <w:t>。</w:t>
            </w:r>
          </w:p>
          <w:p w14:paraId="5DBCBE81">
            <w:pPr>
              <w:pageBreakBefore w:val="0"/>
              <w:kinsoku/>
              <w:overflowPunct/>
              <w:bidi w:val="0"/>
              <w:spacing w:beforeLines="0" w:afterLines="0" w:line="360" w:lineRule="auto"/>
              <w:ind w:left="0" w:leftChars="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③项目负责人业绩须提供合同协议书作为证明材料，如前述证明材料不能清晰反映有关特征和必要信息的，还需提供该项目的业主证明材料并须附有业主方的联系人及联系电话。</w:t>
            </w:r>
          </w:p>
          <w:p w14:paraId="77909AC9">
            <w:pPr>
              <w:pageBreakBefore w:val="0"/>
              <w:kinsoku/>
              <w:overflowPunct/>
              <w:bidi w:val="0"/>
              <w:spacing w:beforeLines="0" w:afterLines="0" w:line="360" w:lineRule="auto"/>
              <w:ind w:left="0" w:leftChars="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④须提供投标人近期（扣除招标公告发布当月往前顺推6个月）为以上人员缴纳社保资金的有效的社保证明材料。以投标人（或其分支机构）所属当地社保管理部门出具的证明材料为准，并加盖投标人公章。</w:t>
            </w:r>
          </w:p>
          <w:p w14:paraId="44A39D1E">
            <w:pPr>
              <w:pageBreakBefore w:val="0"/>
              <w:kinsoku/>
              <w:overflowPunct/>
              <w:bidi w:val="0"/>
              <w:spacing w:beforeLines="0" w:afterLines="0" w:line="360" w:lineRule="auto"/>
              <w:ind w:left="0" w:leftChars="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⑤《职称评审管理暂行规定》正式实施之后颁发的职称证书应符合《职称评审管理暂行规定》的要求，《职称评审管理暂行规定》正式实施之前颁发的职称证书符合职称评审管理部门的相关规定即可。</w:t>
            </w:r>
          </w:p>
        </w:tc>
      </w:tr>
      <w:tr w14:paraId="58AEE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016076DF">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left w:val="single" w:color="auto" w:sz="4" w:space="0"/>
              <w:bottom w:val="single" w:color="auto" w:sz="4" w:space="0"/>
              <w:right w:val="single" w:color="auto" w:sz="4" w:space="0"/>
            </w:tcBorders>
            <w:vAlign w:val="center"/>
          </w:tcPr>
          <w:p w14:paraId="3EE22279">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7633" w:type="dxa"/>
            <w:gridSpan w:val="2"/>
            <w:tcBorders>
              <w:top w:val="single" w:color="auto" w:sz="4" w:space="0"/>
              <w:left w:val="single" w:color="auto" w:sz="4" w:space="0"/>
              <w:bottom w:val="single" w:color="auto" w:sz="4" w:space="0"/>
              <w:right w:val="single" w:color="auto" w:sz="4" w:space="0"/>
            </w:tcBorders>
            <w:vAlign w:val="center"/>
          </w:tcPr>
          <w:p w14:paraId="6A84655A">
            <w:pPr>
              <w:pageBreakBefore w:val="0"/>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注：1.各评审因素得分分值的计算按四舍五入法保留两位有效小数。</w:t>
            </w:r>
          </w:p>
          <w:p w14:paraId="34895DE6">
            <w:pPr>
              <w:pageBreakBefore w:val="0"/>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2.若资信标评审因素出现评分不一致的情形，由评标委员会全体成员按照少数服从多数的原则，以记名投票方式表决，并记录在案。</w:t>
            </w:r>
          </w:p>
        </w:tc>
      </w:tr>
      <w:tr w14:paraId="5A3D5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right w:val="single" w:color="auto" w:sz="4" w:space="0"/>
            </w:tcBorders>
            <w:vAlign w:val="center"/>
          </w:tcPr>
          <w:p w14:paraId="0F3A8CD9">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restart"/>
            <w:tcBorders>
              <w:top w:val="single" w:color="auto" w:sz="4" w:space="0"/>
              <w:left w:val="single" w:color="auto" w:sz="4" w:space="0"/>
              <w:right w:val="single" w:color="auto" w:sz="4" w:space="0"/>
            </w:tcBorders>
            <w:vAlign w:val="center"/>
          </w:tcPr>
          <w:p w14:paraId="24435E88">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经济标（</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2182" w:type="dxa"/>
            <w:tcBorders>
              <w:top w:val="single" w:color="auto" w:sz="4" w:space="0"/>
              <w:left w:val="single" w:color="auto" w:sz="4" w:space="0"/>
              <w:bottom w:val="single" w:color="auto" w:sz="4" w:space="0"/>
              <w:right w:val="single" w:color="auto" w:sz="4" w:space="0"/>
            </w:tcBorders>
            <w:vAlign w:val="center"/>
          </w:tcPr>
          <w:p w14:paraId="3E136A68">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评审规则</w:t>
            </w:r>
          </w:p>
        </w:tc>
        <w:tc>
          <w:tcPr>
            <w:tcW w:w="5451" w:type="dxa"/>
            <w:tcBorders>
              <w:top w:val="single" w:color="auto" w:sz="4" w:space="0"/>
              <w:left w:val="single" w:color="auto" w:sz="4" w:space="0"/>
              <w:bottom w:val="single" w:color="auto" w:sz="4" w:space="0"/>
              <w:right w:val="single" w:color="auto" w:sz="4" w:space="0"/>
            </w:tcBorders>
          </w:tcPr>
          <w:p w14:paraId="375357F3">
            <w:pPr>
              <w:pageBreakBefore w:val="0"/>
              <w:widowControl/>
              <w:numPr>
                <w:ilvl w:val="0"/>
                <w:numId w:val="0"/>
              </w:numPr>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lang w:val="en-US" w:eastAsia="zh-CN"/>
              </w:rPr>
              <w:t>在开标时通过</w:t>
            </w:r>
            <w:r>
              <w:rPr>
                <w:rFonts w:hint="eastAsia" w:ascii="宋体" w:hAnsi="宋体" w:eastAsia="宋体" w:cs="宋体"/>
                <w:color w:val="auto"/>
                <w:sz w:val="21"/>
                <w:szCs w:val="21"/>
                <w:highlight w:val="none"/>
                <w:lang w:eastAsia="zh-CN"/>
              </w:rPr>
              <w:t>电脑随机</w:t>
            </w:r>
            <w:r>
              <w:rPr>
                <w:rFonts w:hint="eastAsia" w:ascii="宋体" w:hAnsi="宋体" w:eastAsia="宋体" w:cs="宋体"/>
                <w:color w:val="auto"/>
                <w:sz w:val="21"/>
                <w:szCs w:val="21"/>
                <w:highlight w:val="none"/>
                <w:lang w:val="en-US" w:eastAsia="zh-CN"/>
              </w:rPr>
              <w:t>等方式从合理平均值、综合平均值中随机抽取一种评标基准价计算办法，将进入经济标评审环节的所有投标人的有效投标报价作为依据计算出评标基准价（四舍五入保留两位有效小数），最后依据评标基准价确定投标人的经济标得分。</w:t>
            </w:r>
          </w:p>
          <w:p w14:paraId="763584A5">
            <w:pPr>
              <w:pageBreakBefore w:val="0"/>
              <w:widowControl/>
              <w:numPr>
                <w:ilvl w:val="0"/>
                <w:numId w:val="0"/>
              </w:numPr>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2.下浮率K：以0.2%为一档等差增序排号，开标时通过电脑随机抽取3个不同数值，3个数值的平均值即为下浮率k，k四舍五入精确到0.01%。</w:t>
            </w:r>
          </w:p>
          <w:p w14:paraId="73EF021B">
            <w:pPr>
              <w:pageBreakBefore w:val="0"/>
              <w:widowControl/>
              <w:numPr>
                <w:ilvl w:val="0"/>
                <w:numId w:val="0"/>
              </w:numPr>
              <w:kinsoku/>
              <w:overflowPunct/>
              <w:bidi w:val="0"/>
              <w:spacing w:beforeLines="0" w:afterLines="0" w:line="360" w:lineRule="auto"/>
              <w:ind w:left="0" w:leftChars="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3.F1值：由招标人在开标时通过电脑随机等方式，从【0.4、0.45、0.5、0.55、0.6、0.65、0.7、0.75、0.8】9个数字中抽取产生。</w:t>
            </w:r>
          </w:p>
          <w:p w14:paraId="76A929D3">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投标报价等于基准价的，得满分；</w:t>
            </w:r>
            <w:r>
              <w:rPr>
                <w:rFonts w:hint="eastAsia" w:ascii="宋体" w:hAnsi="宋体" w:eastAsia="宋体" w:cs="宋体"/>
                <w:color w:val="auto"/>
                <w:sz w:val="21"/>
                <w:szCs w:val="21"/>
                <w:highlight w:val="none"/>
                <w:lang w:val="en-US" w:eastAsia="zh-CN"/>
              </w:rPr>
              <w:t>报价偏离评标基准价时应当扣除相应单位分值F值：</w:t>
            </w:r>
            <w:r>
              <w:rPr>
                <w:rFonts w:hint="eastAsia" w:ascii="宋体" w:hAnsi="宋体" w:eastAsia="宋体" w:cs="宋体"/>
                <w:color w:val="auto"/>
                <w:sz w:val="21"/>
                <w:szCs w:val="21"/>
                <w:highlight w:val="none"/>
                <w:lang w:eastAsia="zh-CN"/>
              </w:rPr>
              <w:t>投标报价低于该基准价的，每低于</w:t>
            </w:r>
            <w:r>
              <w:rPr>
                <w:rFonts w:hint="eastAsia" w:ascii="宋体" w:hAnsi="宋体" w:eastAsia="宋体" w:cs="宋体"/>
                <w:color w:val="auto"/>
                <w:sz w:val="21"/>
                <w:szCs w:val="21"/>
                <w:highlight w:val="none"/>
                <w:lang w:val="en-US" w:eastAsia="zh-CN"/>
              </w:rPr>
              <w:t>1%扣一定的分值（F1</w:t>
            </w:r>
            <w:r>
              <w:rPr>
                <w:rFonts w:hint="eastAsia" w:ascii="宋体" w:hAnsi="宋体" w:eastAsia="宋体" w:cs="宋体"/>
                <w:color w:val="auto"/>
                <w:sz w:val="21"/>
                <w:szCs w:val="21"/>
                <w:highlight w:val="none"/>
                <w:lang w:eastAsia="zh-CN"/>
              </w:rPr>
              <w:t>），投标价格高于该基准价的，每高出1%扣一定的分值（</w:t>
            </w:r>
            <w:r>
              <w:rPr>
                <w:rFonts w:hint="eastAsia" w:ascii="宋体" w:hAnsi="宋体" w:eastAsia="宋体" w:cs="宋体"/>
                <w:color w:val="auto"/>
                <w:sz w:val="21"/>
                <w:szCs w:val="21"/>
                <w:highlight w:val="none"/>
                <w:lang w:val="en-US" w:eastAsia="zh-CN"/>
              </w:rPr>
              <w:t>F2</w:t>
            </w:r>
            <w:r>
              <w:rPr>
                <w:rFonts w:hint="eastAsia" w:ascii="宋体" w:hAnsi="宋体" w:eastAsia="宋体" w:cs="宋体"/>
                <w:color w:val="auto"/>
                <w:sz w:val="21"/>
                <w:szCs w:val="21"/>
                <w:highlight w:val="none"/>
                <w:lang w:eastAsia="zh-CN"/>
              </w:rPr>
              <w:t>），其余采用直线插入法计算</w:t>
            </w:r>
            <w:r>
              <w:rPr>
                <w:rFonts w:hint="eastAsia" w:ascii="宋体" w:hAnsi="宋体" w:eastAsia="宋体" w:cs="宋体"/>
                <w:color w:val="auto"/>
                <w:sz w:val="21"/>
                <w:szCs w:val="21"/>
                <w:highlight w:val="none"/>
                <w:lang w:val="en-US" w:eastAsia="zh-CN"/>
              </w:rPr>
              <w:t>。</w:t>
            </w:r>
          </w:p>
          <w:p w14:paraId="77DC3D54">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5.根据第三章“投标人须知前附表”第10.8款规定实施经济标评审优惠政策。（如有）</w:t>
            </w:r>
          </w:p>
        </w:tc>
      </w:tr>
      <w:tr w14:paraId="285A7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7" w:type="dxa"/>
            <w:vMerge w:val="continue"/>
            <w:tcBorders>
              <w:bottom w:val="single" w:color="auto" w:sz="4" w:space="0"/>
              <w:right w:val="single" w:color="auto" w:sz="4" w:space="0"/>
            </w:tcBorders>
            <w:vAlign w:val="center"/>
          </w:tcPr>
          <w:p w14:paraId="1B4B293E">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883" w:type="dxa"/>
            <w:vMerge w:val="continue"/>
            <w:tcBorders>
              <w:left w:val="single" w:color="auto" w:sz="4" w:space="0"/>
              <w:bottom w:val="single" w:color="auto" w:sz="4" w:space="0"/>
              <w:right w:val="single" w:color="auto" w:sz="4" w:space="0"/>
            </w:tcBorders>
            <w:vAlign w:val="center"/>
          </w:tcPr>
          <w:p w14:paraId="495AA935">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6F882BC">
            <w:pPr>
              <w:pageBreakBefore w:val="0"/>
              <w:kinsoku/>
              <w:overflowPunct/>
              <w:bidi w:val="0"/>
              <w:spacing w:beforeLines="0" w:afterLines="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报价得分计算公式</w:t>
            </w:r>
          </w:p>
        </w:tc>
        <w:tc>
          <w:tcPr>
            <w:tcW w:w="5451" w:type="dxa"/>
            <w:tcBorders>
              <w:top w:val="single" w:color="auto" w:sz="4" w:space="0"/>
              <w:left w:val="single" w:color="auto" w:sz="4" w:space="0"/>
              <w:bottom w:val="single" w:color="auto" w:sz="4" w:space="0"/>
              <w:right w:val="single" w:color="auto" w:sz="4" w:space="0"/>
            </w:tcBorders>
          </w:tcPr>
          <w:p w14:paraId="49DA3BE1">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报价得分：M＝N-100×</w:t>
            </w:r>
            <w:r>
              <w:rPr>
                <w:rFonts w:hint="eastAsia" w:ascii="宋体" w:hAnsi="宋体" w:eastAsia="宋体" w:cs="宋体"/>
                <w:color w:val="auto"/>
                <w:position w:val="-30"/>
                <w:sz w:val="21"/>
                <w:szCs w:val="21"/>
                <w:highlight w:val="none"/>
              </w:rPr>
              <w:object>
                <v:shape id="_x0000_i1025" o:spt="75" type="#_x0000_t75" style="height:32.6pt;width:45.95pt;" o:ole="t" filled="f" stroked="f" coordsize="21600,21600">
                  <v:path/>
                  <v:fill on="f" focussize="0,0"/>
                  <v:stroke on="f"/>
                  <v:imagedata r:id="rId12" embosscolor="#FFFFFF" o:title=""/>
                  <o:lock v:ext="edit" aspectratio="t"/>
                  <w10:wrap type="none"/>
                  <w10:anchorlock/>
                </v:shape>
                <o:OLEObject Type="Embed" ProgID="Equation.3" ShapeID="_x0000_i1025" DrawAspect="Content" ObjectID="_1468075725" r:id="rId11">
                  <o:LockedField>false</o:LockedField>
                </o:OLEObject>
              </w:object>
            </w:r>
            <w:r>
              <w:rPr>
                <w:rFonts w:hint="eastAsia" w:ascii="宋体" w:hAnsi="宋体" w:eastAsia="宋体" w:cs="宋体"/>
                <w:color w:val="auto"/>
                <w:sz w:val="21"/>
                <w:szCs w:val="21"/>
                <w:highlight w:val="none"/>
              </w:rPr>
              <w:t>×F</w:t>
            </w:r>
          </w:p>
          <w:p w14:paraId="554041E8">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 N（分）：投标报价权重分值，为</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rPr>
              <w:t>；</w:t>
            </w:r>
          </w:p>
          <w:p w14:paraId="04FDAE4B">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P（元）：投标文件通过初步评审的有效投标报价；</w:t>
            </w:r>
          </w:p>
          <w:p w14:paraId="411BE2F2">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Q（元）：评标基准价；</w:t>
            </w:r>
          </w:p>
          <w:p w14:paraId="0646DCC8">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F：偏离扣分分值，F2＝</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F1（F2≥2F1）。</w:t>
            </w:r>
          </w:p>
          <w:p w14:paraId="52E0AA15">
            <w:pPr>
              <w:pageBreakBefore w:val="0"/>
              <w:kinsoku/>
              <w:overflowPunct/>
              <w:bidi w:val="0"/>
              <w:spacing w:beforeLines="0" w:afterLines="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F1值由招标人在开标时通过电脑随机或者摇珠随机的方式，从0.4至0.8（以0.05递增）中随机抽取产生。</w:t>
            </w:r>
          </w:p>
          <w:p w14:paraId="441109BA">
            <w:pPr>
              <w:pageBreakBefore w:val="0"/>
              <w:kinsoku/>
              <w:overflowPunct/>
              <w:bidi w:val="0"/>
              <w:spacing w:beforeLines="0" w:afterLines="0" w:line="360" w:lineRule="auto"/>
              <w:ind w:left="0" w:leftChars="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注：计算值按四舍五入法保留两位有效小数，本项最低得分为0分。</w:t>
            </w:r>
          </w:p>
        </w:tc>
      </w:tr>
    </w:tbl>
    <w:p w14:paraId="6F4E0B82">
      <w:pPr>
        <w:pageBreakBefore w:val="0"/>
        <w:kinsoku/>
        <w:overflowPunct/>
        <w:bidi w:val="0"/>
        <w:spacing w:beforeLines="0" w:afterLines="0" w:line="360" w:lineRule="auto"/>
        <w:ind w:left="0" w:leftChars="0" w:right="0"/>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br w:type="page"/>
      </w:r>
    </w:p>
    <w:bookmarkEnd w:id="86"/>
    <w:bookmarkEnd w:id="87"/>
    <w:bookmarkEnd w:id="88"/>
    <w:bookmarkEnd w:id="89"/>
    <w:bookmarkEnd w:id="90"/>
    <w:bookmarkEnd w:id="91"/>
    <w:bookmarkEnd w:id="92"/>
    <w:bookmarkEnd w:id="93"/>
    <w:bookmarkEnd w:id="94"/>
    <w:bookmarkEnd w:id="95"/>
    <w:p w14:paraId="4953BF31">
      <w:pPr>
        <w:spacing w:before="78" w:line="212" w:lineRule="auto"/>
        <w:ind w:left="0"/>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附表</w:t>
      </w:r>
      <w:r>
        <w:rPr>
          <w:rFonts w:hint="eastAsia" w:ascii="宋体" w:hAnsi="宋体" w:eastAsia="宋体" w:cs="宋体"/>
          <w:color w:val="auto"/>
          <w:spacing w:val="-51"/>
          <w:sz w:val="24"/>
          <w:szCs w:val="24"/>
          <w:highlight w:val="none"/>
          <w:lang w:val="en-US" w:eastAsia="zh-CN"/>
        </w:rPr>
        <w:t>1</w:t>
      </w:r>
      <w:r>
        <w:rPr>
          <w:rFonts w:hint="eastAsia" w:ascii="宋体" w:hAnsi="宋体" w:eastAsia="宋体" w:cs="宋体"/>
          <w:b/>
          <w:bCs/>
          <w:color w:val="auto"/>
          <w:spacing w:val="-11"/>
          <w:sz w:val="24"/>
          <w:szCs w:val="24"/>
          <w:highlight w:val="none"/>
        </w:rPr>
        <w:t>：评标基准价（Q</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11"/>
          <w:sz w:val="24"/>
          <w:szCs w:val="24"/>
          <w:highlight w:val="none"/>
        </w:rPr>
        <w:t>值）计算方法</w:t>
      </w:r>
    </w:p>
    <w:tbl>
      <w:tblPr>
        <w:tblStyle w:val="226"/>
        <w:tblW w:w="935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117"/>
        <w:gridCol w:w="3117"/>
        <w:gridCol w:w="3120"/>
      </w:tblGrid>
      <w:tr w14:paraId="42AAE5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117" w:type="dxa"/>
            <w:tcBorders>
              <w:tl2br w:val="nil"/>
              <w:tr2bl w:val="nil"/>
            </w:tcBorders>
            <w:vAlign w:val="center"/>
          </w:tcPr>
          <w:p w14:paraId="49F30313">
            <w:pPr>
              <w:pStyle w:val="225"/>
              <w:spacing w:before="76" w:line="221" w:lineRule="auto"/>
              <w:ind w:left="0"/>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8"/>
                <w:sz w:val="24"/>
                <w:szCs w:val="24"/>
                <w:highlight w:val="none"/>
              </w:rPr>
              <w:t>球号</w:t>
            </w:r>
          </w:p>
        </w:tc>
        <w:tc>
          <w:tcPr>
            <w:tcW w:w="3117" w:type="dxa"/>
            <w:tcBorders>
              <w:tl2br w:val="nil"/>
              <w:tr2bl w:val="nil"/>
            </w:tcBorders>
            <w:vAlign w:val="center"/>
          </w:tcPr>
          <w:p w14:paraId="75B2E2FC">
            <w:pPr>
              <w:pStyle w:val="225"/>
              <w:spacing w:before="113" w:line="184"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7"/>
                <w:sz w:val="24"/>
                <w:szCs w:val="24"/>
                <w:highlight w:val="none"/>
              </w:rPr>
              <w:t>1</w:t>
            </w:r>
          </w:p>
        </w:tc>
        <w:tc>
          <w:tcPr>
            <w:tcW w:w="3120" w:type="dxa"/>
            <w:tcBorders>
              <w:tl2br w:val="nil"/>
              <w:tr2bl w:val="nil"/>
            </w:tcBorders>
            <w:vAlign w:val="center"/>
          </w:tcPr>
          <w:p w14:paraId="69A69992">
            <w:pPr>
              <w:pStyle w:val="225"/>
              <w:spacing w:before="114" w:line="183"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7"/>
                <w:sz w:val="24"/>
                <w:szCs w:val="24"/>
                <w:highlight w:val="none"/>
              </w:rPr>
              <w:t>2</w:t>
            </w:r>
          </w:p>
        </w:tc>
      </w:tr>
      <w:tr w14:paraId="769FE7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117" w:type="dxa"/>
            <w:tcBorders>
              <w:tl2br w:val="nil"/>
              <w:tr2bl w:val="nil"/>
            </w:tcBorders>
            <w:vAlign w:val="center"/>
          </w:tcPr>
          <w:p w14:paraId="40FEFC8B">
            <w:pPr>
              <w:pStyle w:val="225"/>
              <w:spacing w:before="78" w:line="218" w:lineRule="auto"/>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4"/>
                <w:sz w:val="24"/>
                <w:szCs w:val="24"/>
                <w:highlight w:val="none"/>
              </w:rPr>
              <w:t>评标基准价计算办法</w:t>
            </w:r>
          </w:p>
        </w:tc>
        <w:tc>
          <w:tcPr>
            <w:tcW w:w="3117" w:type="dxa"/>
            <w:tcBorders>
              <w:tl2br w:val="nil"/>
              <w:tr2bl w:val="nil"/>
            </w:tcBorders>
            <w:vAlign w:val="center"/>
          </w:tcPr>
          <w:p w14:paraId="76BC35D3">
            <w:pPr>
              <w:pStyle w:val="225"/>
              <w:spacing w:before="78"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合理平均值法</w:t>
            </w:r>
          </w:p>
        </w:tc>
        <w:tc>
          <w:tcPr>
            <w:tcW w:w="3120" w:type="dxa"/>
            <w:tcBorders>
              <w:tl2br w:val="nil"/>
              <w:tr2bl w:val="nil"/>
            </w:tcBorders>
            <w:vAlign w:val="center"/>
          </w:tcPr>
          <w:p w14:paraId="1B274D97">
            <w:pPr>
              <w:pStyle w:val="225"/>
              <w:spacing w:before="78"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综合平均值法</w:t>
            </w:r>
          </w:p>
        </w:tc>
      </w:tr>
    </w:tbl>
    <w:p w14:paraId="0741A763">
      <w:pPr>
        <w:pStyle w:val="2"/>
        <w:ind w:firstLine="1470" w:firstLineChars="700"/>
        <w:jc w:val="center"/>
        <w:rPr>
          <w:rFonts w:hint="eastAsia"/>
          <w:color w:val="auto"/>
          <w:highlight w:val="none"/>
        </w:rPr>
      </w:pPr>
    </w:p>
    <w:p w14:paraId="5EED6C2E">
      <w:pPr>
        <w:pStyle w:val="2"/>
        <w:ind w:firstLine="1533" w:firstLineChars="700"/>
        <w:jc w:val="center"/>
        <w:rPr>
          <w:rFonts w:hint="eastAsia" w:ascii="宋体" w:hAnsi="宋体" w:eastAsia="宋体" w:cs="宋体"/>
          <w:b/>
          <w:bCs/>
          <w:color w:val="auto"/>
          <w:spacing w:val="-11"/>
          <w:sz w:val="24"/>
          <w:szCs w:val="24"/>
          <w:highlight w:val="none"/>
        </w:rPr>
      </w:pPr>
    </w:p>
    <w:p w14:paraId="4FA452F0">
      <w:pPr>
        <w:pStyle w:val="2"/>
        <w:ind w:firstLine="0" w:firstLineChars="0"/>
        <w:jc w:val="left"/>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rPr>
        <w:t>附表</w:t>
      </w:r>
      <w:r>
        <w:rPr>
          <w:rFonts w:hint="eastAsia" w:ascii="宋体" w:hAnsi="宋体" w:cs="宋体"/>
          <w:color w:val="auto"/>
          <w:spacing w:val="-33"/>
          <w:sz w:val="24"/>
          <w:szCs w:val="24"/>
          <w:highlight w:val="none"/>
          <w:lang w:val="en-US" w:eastAsia="zh-CN"/>
        </w:rPr>
        <w:t>2</w:t>
      </w:r>
      <w:r>
        <w:rPr>
          <w:rFonts w:hint="eastAsia" w:ascii="宋体" w:hAnsi="宋体" w:eastAsia="宋体" w:cs="宋体"/>
          <w:b/>
          <w:bCs/>
          <w:color w:val="auto"/>
          <w:spacing w:val="-11"/>
          <w:sz w:val="24"/>
          <w:szCs w:val="24"/>
          <w:highlight w:val="none"/>
        </w:rPr>
        <w:t>：下浮率</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k</w:t>
      </w:r>
      <w:r>
        <w:rPr>
          <w:rFonts w:hint="eastAsia" w:ascii="宋体" w:hAnsi="宋体" w:eastAsia="宋体" w:cs="宋体"/>
          <w:color w:val="auto"/>
          <w:spacing w:val="-11"/>
          <w:sz w:val="24"/>
          <w:szCs w:val="24"/>
          <w:highlight w:val="none"/>
        </w:rPr>
        <w:t xml:space="preserve"> </w:t>
      </w:r>
      <w:r>
        <w:rPr>
          <w:rFonts w:hint="eastAsia" w:ascii="宋体" w:hAnsi="宋体" w:eastAsia="宋体" w:cs="宋体"/>
          <w:b/>
          <w:bCs/>
          <w:color w:val="auto"/>
          <w:spacing w:val="-11"/>
          <w:sz w:val="24"/>
          <w:szCs w:val="24"/>
          <w:highlight w:val="none"/>
        </w:rPr>
        <w:t>取值范围</w:t>
      </w:r>
    </w:p>
    <w:tbl>
      <w:tblPr>
        <w:tblStyle w:val="226"/>
        <w:tblW w:w="934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68"/>
        <w:gridCol w:w="1168"/>
        <w:gridCol w:w="1168"/>
        <w:gridCol w:w="1168"/>
        <w:gridCol w:w="1168"/>
        <w:gridCol w:w="1168"/>
        <w:gridCol w:w="1168"/>
        <w:gridCol w:w="1172"/>
      </w:tblGrid>
      <w:tr w14:paraId="2AF5F2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8" w:type="dxa"/>
            <w:tcBorders>
              <w:tl2br w:val="nil"/>
              <w:tr2bl w:val="nil"/>
            </w:tcBorders>
            <w:vAlign w:val="center"/>
          </w:tcPr>
          <w:p w14:paraId="18131DD5">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球</w:t>
            </w:r>
            <w:r>
              <w:rPr>
                <w:rFonts w:hint="eastAsia" w:ascii="宋体" w:hAnsi="宋体" w:eastAsia="宋体" w:cs="宋体"/>
                <w:color w:val="auto"/>
                <w:spacing w:val="0"/>
                <w:sz w:val="24"/>
                <w:szCs w:val="24"/>
                <w:highlight w:val="none"/>
              </w:rPr>
              <w:t>号</w:t>
            </w:r>
          </w:p>
        </w:tc>
        <w:tc>
          <w:tcPr>
            <w:tcW w:w="1168" w:type="dxa"/>
            <w:tcBorders>
              <w:tl2br w:val="nil"/>
              <w:tr2bl w:val="nil"/>
            </w:tcBorders>
            <w:vAlign w:val="center"/>
          </w:tcPr>
          <w:p w14:paraId="16AB4612">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68" w:type="dxa"/>
            <w:tcBorders>
              <w:tl2br w:val="nil"/>
              <w:tr2bl w:val="nil"/>
            </w:tcBorders>
            <w:vAlign w:val="center"/>
          </w:tcPr>
          <w:p w14:paraId="7143BDD8">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68" w:type="dxa"/>
            <w:tcBorders>
              <w:tl2br w:val="nil"/>
              <w:tr2bl w:val="nil"/>
            </w:tcBorders>
            <w:vAlign w:val="center"/>
          </w:tcPr>
          <w:p w14:paraId="454204FB">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68" w:type="dxa"/>
            <w:tcBorders>
              <w:tl2br w:val="nil"/>
              <w:tr2bl w:val="nil"/>
            </w:tcBorders>
            <w:vAlign w:val="center"/>
          </w:tcPr>
          <w:p w14:paraId="7462CBC5">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68" w:type="dxa"/>
            <w:tcBorders>
              <w:tl2br w:val="nil"/>
              <w:tr2bl w:val="nil"/>
            </w:tcBorders>
            <w:vAlign w:val="center"/>
          </w:tcPr>
          <w:p w14:paraId="4241563E">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68" w:type="dxa"/>
            <w:tcBorders>
              <w:tl2br w:val="nil"/>
              <w:tr2bl w:val="nil"/>
            </w:tcBorders>
            <w:vAlign w:val="center"/>
          </w:tcPr>
          <w:p w14:paraId="3B6AF788">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172" w:type="dxa"/>
            <w:tcBorders>
              <w:tl2br w:val="nil"/>
              <w:tr2bl w:val="nil"/>
            </w:tcBorders>
            <w:vAlign w:val="center"/>
          </w:tcPr>
          <w:p w14:paraId="5F66D8F2">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3D44BE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8" w:type="dxa"/>
            <w:tcBorders>
              <w:tl2br w:val="nil"/>
              <w:tr2bl w:val="nil"/>
            </w:tcBorders>
            <w:vAlign w:val="center"/>
          </w:tcPr>
          <w:p w14:paraId="60AD653F">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代表值</w:t>
            </w:r>
          </w:p>
        </w:tc>
        <w:tc>
          <w:tcPr>
            <w:tcW w:w="1168" w:type="dxa"/>
            <w:tcBorders>
              <w:tl2br w:val="nil"/>
              <w:tr2bl w:val="nil"/>
            </w:tcBorders>
            <w:vAlign w:val="center"/>
          </w:tcPr>
          <w:p w14:paraId="64B60D16">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10.00</w:t>
            </w:r>
            <w:r>
              <w:rPr>
                <w:rFonts w:hint="eastAsia" w:ascii="宋体" w:hAnsi="宋体" w:eastAsia="宋体" w:cs="宋体"/>
                <w:color w:val="auto"/>
                <w:spacing w:val="0"/>
                <w:sz w:val="24"/>
                <w:szCs w:val="24"/>
                <w:highlight w:val="none"/>
              </w:rPr>
              <w:t>%</w:t>
            </w:r>
          </w:p>
        </w:tc>
        <w:tc>
          <w:tcPr>
            <w:tcW w:w="1168" w:type="dxa"/>
            <w:tcBorders>
              <w:tl2br w:val="nil"/>
              <w:tr2bl w:val="nil"/>
            </w:tcBorders>
            <w:vAlign w:val="center"/>
          </w:tcPr>
          <w:p w14:paraId="421FE4DC">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68" w:type="dxa"/>
            <w:tcBorders>
              <w:tl2br w:val="nil"/>
              <w:tr2bl w:val="nil"/>
            </w:tcBorders>
            <w:vAlign w:val="center"/>
          </w:tcPr>
          <w:p w14:paraId="6742C90C">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rPr>
              <w:t>.4</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68" w:type="dxa"/>
            <w:tcBorders>
              <w:tl2br w:val="nil"/>
              <w:tr2bl w:val="nil"/>
            </w:tcBorders>
            <w:vAlign w:val="center"/>
          </w:tcPr>
          <w:p w14:paraId="7BAD80D3">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rPr>
              <w:t>.6</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68" w:type="dxa"/>
            <w:tcBorders>
              <w:tl2br w:val="nil"/>
              <w:tr2bl w:val="nil"/>
            </w:tcBorders>
            <w:vAlign w:val="center"/>
          </w:tcPr>
          <w:p w14:paraId="222DE1EA">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rPr>
              <w:t>.8</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68" w:type="dxa"/>
            <w:tcBorders>
              <w:tl2br w:val="nil"/>
              <w:tr2bl w:val="nil"/>
            </w:tcBorders>
            <w:vAlign w:val="center"/>
          </w:tcPr>
          <w:p w14:paraId="2F537B0A">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11</w:t>
            </w:r>
            <w:r>
              <w:rPr>
                <w:rFonts w:hint="eastAsia" w:ascii="宋体" w:hAnsi="宋体" w:eastAsia="宋体" w:cs="宋体"/>
                <w:color w:val="auto"/>
                <w:spacing w:val="0"/>
                <w:sz w:val="24"/>
                <w:szCs w:val="24"/>
                <w:highlight w:val="none"/>
              </w:rPr>
              <w:t>.0</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72" w:type="dxa"/>
            <w:tcBorders>
              <w:tl2br w:val="nil"/>
              <w:tr2bl w:val="nil"/>
            </w:tcBorders>
            <w:vAlign w:val="center"/>
          </w:tcPr>
          <w:p w14:paraId="00EC8B28">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11</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r>
      <w:tr w14:paraId="06CC3A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8" w:type="dxa"/>
            <w:tcBorders>
              <w:tl2br w:val="nil"/>
              <w:tr2bl w:val="nil"/>
            </w:tcBorders>
            <w:vAlign w:val="center"/>
          </w:tcPr>
          <w:p w14:paraId="2D754168">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球</w:t>
            </w:r>
            <w:r>
              <w:rPr>
                <w:rFonts w:hint="eastAsia" w:ascii="宋体" w:hAnsi="宋体" w:eastAsia="宋体" w:cs="宋体"/>
                <w:color w:val="auto"/>
                <w:spacing w:val="0"/>
                <w:sz w:val="24"/>
                <w:szCs w:val="24"/>
                <w:highlight w:val="none"/>
              </w:rPr>
              <w:t>号</w:t>
            </w:r>
          </w:p>
        </w:tc>
        <w:tc>
          <w:tcPr>
            <w:tcW w:w="1168" w:type="dxa"/>
            <w:tcBorders>
              <w:tl2br w:val="nil"/>
              <w:tr2bl w:val="nil"/>
            </w:tcBorders>
            <w:vAlign w:val="center"/>
          </w:tcPr>
          <w:p w14:paraId="49CED11D">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68" w:type="dxa"/>
            <w:tcBorders>
              <w:tl2br w:val="nil"/>
              <w:tr2bl w:val="nil"/>
            </w:tcBorders>
            <w:vAlign w:val="center"/>
          </w:tcPr>
          <w:p w14:paraId="2F6B2681">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168" w:type="dxa"/>
            <w:tcBorders>
              <w:tl2br w:val="nil"/>
              <w:tr2bl w:val="nil"/>
            </w:tcBorders>
            <w:vAlign w:val="center"/>
          </w:tcPr>
          <w:p w14:paraId="04F0194E">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10</w:t>
            </w:r>
          </w:p>
        </w:tc>
        <w:tc>
          <w:tcPr>
            <w:tcW w:w="1168" w:type="dxa"/>
            <w:tcBorders>
              <w:tl2br w:val="nil"/>
              <w:tr2bl w:val="nil"/>
            </w:tcBorders>
            <w:vAlign w:val="center"/>
          </w:tcPr>
          <w:p w14:paraId="700B6489">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11</w:t>
            </w:r>
          </w:p>
        </w:tc>
        <w:tc>
          <w:tcPr>
            <w:tcW w:w="1168" w:type="dxa"/>
            <w:tcBorders>
              <w:tl2br w:val="nil"/>
              <w:tr2bl w:val="nil"/>
            </w:tcBorders>
            <w:vAlign w:val="center"/>
          </w:tcPr>
          <w:p w14:paraId="309A69A8">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12</w:t>
            </w:r>
          </w:p>
        </w:tc>
        <w:tc>
          <w:tcPr>
            <w:tcW w:w="1168" w:type="dxa"/>
            <w:tcBorders>
              <w:tl2br w:val="nil"/>
              <w:tr2bl w:val="nil"/>
            </w:tcBorders>
            <w:vAlign w:val="center"/>
          </w:tcPr>
          <w:p w14:paraId="244C4E86">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13</w:t>
            </w:r>
          </w:p>
        </w:tc>
        <w:tc>
          <w:tcPr>
            <w:tcW w:w="1172" w:type="dxa"/>
            <w:tcBorders>
              <w:tl2br w:val="nil"/>
              <w:tr2bl w:val="nil"/>
            </w:tcBorders>
            <w:vAlign w:val="center"/>
          </w:tcPr>
          <w:p w14:paraId="29B48CF8">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14</w:t>
            </w:r>
          </w:p>
        </w:tc>
      </w:tr>
      <w:tr w14:paraId="1B9EB6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8" w:type="dxa"/>
            <w:tcBorders>
              <w:tl2br w:val="nil"/>
              <w:tr2bl w:val="nil"/>
            </w:tcBorders>
            <w:vAlign w:val="center"/>
          </w:tcPr>
          <w:p w14:paraId="41E2C7B0">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代表值</w:t>
            </w:r>
          </w:p>
        </w:tc>
        <w:tc>
          <w:tcPr>
            <w:tcW w:w="1168" w:type="dxa"/>
            <w:tcBorders>
              <w:tl2br w:val="nil"/>
              <w:tr2bl w:val="nil"/>
            </w:tcBorders>
            <w:vAlign w:val="center"/>
          </w:tcPr>
          <w:p w14:paraId="1CB89125">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11</w:t>
            </w:r>
            <w:r>
              <w:rPr>
                <w:rFonts w:hint="eastAsia" w:ascii="宋体" w:hAnsi="宋体" w:eastAsia="宋体" w:cs="宋体"/>
                <w:color w:val="auto"/>
                <w:spacing w:val="0"/>
                <w:sz w:val="24"/>
                <w:szCs w:val="24"/>
                <w:highlight w:val="none"/>
              </w:rPr>
              <w:t>.4</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68" w:type="dxa"/>
            <w:tcBorders>
              <w:tl2br w:val="nil"/>
              <w:tr2bl w:val="nil"/>
            </w:tcBorders>
            <w:vAlign w:val="center"/>
          </w:tcPr>
          <w:p w14:paraId="7226E446">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11</w:t>
            </w:r>
            <w:r>
              <w:rPr>
                <w:rFonts w:hint="eastAsia" w:ascii="宋体" w:hAnsi="宋体" w:eastAsia="宋体" w:cs="宋体"/>
                <w:color w:val="auto"/>
                <w:spacing w:val="0"/>
                <w:sz w:val="24"/>
                <w:szCs w:val="24"/>
                <w:highlight w:val="none"/>
              </w:rPr>
              <w:t>.6</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68" w:type="dxa"/>
            <w:tcBorders>
              <w:tl2br w:val="nil"/>
              <w:tr2bl w:val="nil"/>
            </w:tcBorders>
            <w:vAlign w:val="center"/>
          </w:tcPr>
          <w:p w14:paraId="7A8E97A6">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11</w:t>
            </w:r>
            <w:r>
              <w:rPr>
                <w:rFonts w:hint="eastAsia" w:ascii="宋体" w:hAnsi="宋体" w:eastAsia="宋体" w:cs="宋体"/>
                <w:color w:val="auto"/>
                <w:spacing w:val="0"/>
                <w:sz w:val="24"/>
                <w:szCs w:val="24"/>
                <w:highlight w:val="none"/>
              </w:rPr>
              <w:t>.8</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68" w:type="dxa"/>
            <w:tcBorders>
              <w:tl2br w:val="nil"/>
              <w:tr2bl w:val="nil"/>
            </w:tcBorders>
            <w:vAlign w:val="center"/>
          </w:tcPr>
          <w:p w14:paraId="720E83DA">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12</w:t>
            </w:r>
            <w:r>
              <w:rPr>
                <w:rFonts w:hint="eastAsia" w:ascii="宋体" w:hAnsi="宋体" w:eastAsia="宋体" w:cs="宋体"/>
                <w:color w:val="auto"/>
                <w:spacing w:val="0"/>
                <w:sz w:val="24"/>
                <w:szCs w:val="24"/>
                <w:highlight w:val="none"/>
              </w:rPr>
              <w:t>.0</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68" w:type="dxa"/>
            <w:tcBorders>
              <w:tl2br w:val="nil"/>
              <w:tr2bl w:val="nil"/>
            </w:tcBorders>
            <w:vAlign w:val="center"/>
          </w:tcPr>
          <w:p w14:paraId="0FDB3240">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12</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68" w:type="dxa"/>
            <w:tcBorders>
              <w:tl2br w:val="nil"/>
              <w:tr2bl w:val="nil"/>
            </w:tcBorders>
            <w:vAlign w:val="center"/>
          </w:tcPr>
          <w:p w14:paraId="6F6A4553">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12</w:t>
            </w:r>
            <w:r>
              <w:rPr>
                <w:rFonts w:hint="eastAsia" w:ascii="宋体" w:hAnsi="宋体" w:eastAsia="宋体" w:cs="宋体"/>
                <w:color w:val="auto"/>
                <w:spacing w:val="0"/>
                <w:sz w:val="24"/>
                <w:szCs w:val="24"/>
                <w:highlight w:val="none"/>
              </w:rPr>
              <w:t>.4</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72" w:type="dxa"/>
            <w:tcBorders>
              <w:tl2br w:val="nil"/>
              <w:tr2bl w:val="nil"/>
            </w:tcBorders>
            <w:vAlign w:val="center"/>
          </w:tcPr>
          <w:p w14:paraId="6857FA18">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12</w:t>
            </w:r>
            <w:r>
              <w:rPr>
                <w:rFonts w:hint="eastAsia" w:ascii="宋体" w:hAnsi="宋体" w:eastAsia="宋体" w:cs="宋体"/>
                <w:color w:val="auto"/>
                <w:spacing w:val="0"/>
                <w:sz w:val="24"/>
                <w:szCs w:val="24"/>
                <w:highlight w:val="none"/>
              </w:rPr>
              <w:t>.6</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r>
      <w:tr w14:paraId="0F49F7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8" w:type="dxa"/>
            <w:tcBorders>
              <w:tl2br w:val="nil"/>
              <w:tr2bl w:val="nil"/>
            </w:tcBorders>
            <w:vAlign w:val="center"/>
          </w:tcPr>
          <w:p w14:paraId="0C613CAE">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球</w:t>
            </w:r>
            <w:r>
              <w:rPr>
                <w:rFonts w:hint="eastAsia" w:ascii="宋体" w:hAnsi="宋体" w:eastAsia="宋体" w:cs="宋体"/>
                <w:color w:val="auto"/>
                <w:spacing w:val="0"/>
                <w:sz w:val="24"/>
                <w:szCs w:val="24"/>
                <w:highlight w:val="none"/>
              </w:rPr>
              <w:t>号</w:t>
            </w:r>
          </w:p>
        </w:tc>
        <w:tc>
          <w:tcPr>
            <w:tcW w:w="1168" w:type="dxa"/>
            <w:tcBorders>
              <w:tl2br w:val="nil"/>
              <w:tr2bl w:val="nil"/>
            </w:tcBorders>
            <w:vAlign w:val="center"/>
          </w:tcPr>
          <w:p w14:paraId="24B35030">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15</w:t>
            </w:r>
          </w:p>
        </w:tc>
        <w:tc>
          <w:tcPr>
            <w:tcW w:w="1168" w:type="dxa"/>
            <w:tcBorders>
              <w:tl2br w:val="nil"/>
              <w:tr2bl w:val="nil"/>
            </w:tcBorders>
            <w:vAlign w:val="center"/>
          </w:tcPr>
          <w:p w14:paraId="6EA64F0C">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16</w:t>
            </w:r>
          </w:p>
        </w:tc>
        <w:tc>
          <w:tcPr>
            <w:tcW w:w="1168" w:type="dxa"/>
            <w:tcBorders>
              <w:tl2br w:val="nil"/>
              <w:tr2bl w:val="nil"/>
            </w:tcBorders>
            <w:vAlign w:val="center"/>
          </w:tcPr>
          <w:p w14:paraId="63F8F76A">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17</w:t>
            </w:r>
          </w:p>
        </w:tc>
        <w:tc>
          <w:tcPr>
            <w:tcW w:w="1168" w:type="dxa"/>
            <w:tcBorders>
              <w:tl2br w:val="nil"/>
              <w:tr2bl w:val="nil"/>
            </w:tcBorders>
            <w:vAlign w:val="center"/>
          </w:tcPr>
          <w:p w14:paraId="0766B50F">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18</w:t>
            </w:r>
          </w:p>
        </w:tc>
        <w:tc>
          <w:tcPr>
            <w:tcW w:w="1168" w:type="dxa"/>
            <w:tcBorders>
              <w:tl2br w:val="nil"/>
              <w:tr2bl w:val="nil"/>
            </w:tcBorders>
            <w:vAlign w:val="center"/>
          </w:tcPr>
          <w:p w14:paraId="521B7824">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19</w:t>
            </w:r>
          </w:p>
        </w:tc>
        <w:tc>
          <w:tcPr>
            <w:tcW w:w="1168" w:type="dxa"/>
            <w:tcBorders>
              <w:tl2br w:val="nil"/>
              <w:tr2bl w:val="nil"/>
            </w:tcBorders>
            <w:vAlign w:val="center"/>
          </w:tcPr>
          <w:p w14:paraId="025588D1">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20</w:t>
            </w:r>
          </w:p>
        </w:tc>
        <w:tc>
          <w:tcPr>
            <w:tcW w:w="1172" w:type="dxa"/>
            <w:tcBorders>
              <w:tl2br w:val="nil"/>
              <w:tr2bl w:val="nil"/>
            </w:tcBorders>
            <w:vAlign w:val="center"/>
          </w:tcPr>
          <w:p w14:paraId="43B5DB60">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21</w:t>
            </w:r>
          </w:p>
        </w:tc>
      </w:tr>
      <w:tr w14:paraId="345EC5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8" w:type="dxa"/>
            <w:tcBorders>
              <w:tl2br w:val="nil"/>
              <w:tr2bl w:val="nil"/>
            </w:tcBorders>
            <w:vAlign w:val="center"/>
          </w:tcPr>
          <w:p w14:paraId="60A9BB4C">
            <w:pPr>
              <w:pStyle w:val="225"/>
              <w:spacing w:before="159"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代表值</w:t>
            </w:r>
          </w:p>
        </w:tc>
        <w:tc>
          <w:tcPr>
            <w:tcW w:w="1168" w:type="dxa"/>
            <w:tcBorders>
              <w:tl2br w:val="nil"/>
              <w:tr2bl w:val="nil"/>
            </w:tcBorders>
            <w:vAlign w:val="center"/>
          </w:tcPr>
          <w:p w14:paraId="6E5785D0">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12</w:t>
            </w:r>
            <w:r>
              <w:rPr>
                <w:rFonts w:hint="eastAsia" w:ascii="宋体" w:hAnsi="宋体" w:eastAsia="宋体" w:cs="宋体"/>
                <w:color w:val="auto"/>
                <w:spacing w:val="0"/>
                <w:sz w:val="24"/>
                <w:szCs w:val="24"/>
                <w:highlight w:val="none"/>
              </w:rPr>
              <w:t>.8</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68" w:type="dxa"/>
            <w:tcBorders>
              <w:tl2br w:val="nil"/>
              <w:tr2bl w:val="nil"/>
            </w:tcBorders>
            <w:vAlign w:val="center"/>
          </w:tcPr>
          <w:p w14:paraId="47382F76">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13</w:t>
            </w:r>
            <w:r>
              <w:rPr>
                <w:rFonts w:hint="eastAsia" w:ascii="宋体" w:hAnsi="宋体" w:eastAsia="宋体" w:cs="宋体"/>
                <w:color w:val="auto"/>
                <w:spacing w:val="0"/>
                <w:sz w:val="24"/>
                <w:szCs w:val="24"/>
                <w:highlight w:val="none"/>
              </w:rPr>
              <w:t>.0</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68" w:type="dxa"/>
            <w:tcBorders>
              <w:tl2br w:val="nil"/>
              <w:tr2bl w:val="nil"/>
            </w:tcBorders>
            <w:vAlign w:val="center"/>
          </w:tcPr>
          <w:p w14:paraId="239C12D6">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13</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68" w:type="dxa"/>
            <w:tcBorders>
              <w:tl2br w:val="nil"/>
              <w:tr2bl w:val="nil"/>
            </w:tcBorders>
            <w:vAlign w:val="center"/>
          </w:tcPr>
          <w:p w14:paraId="0819461D">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13</w:t>
            </w:r>
            <w:r>
              <w:rPr>
                <w:rFonts w:hint="eastAsia" w:ascii="宋体" w:hAnsi="宋体" w:eastAsia="宋体" w:cs="宋体"/>
                <w:color w:val="auto"/>
                <w:spacing w:val="0"/>
                <w:sz w:val="24"/>
                <w:szCs w:val="24"/>
                <w:highlight w:val="none"/>
              </w:rPr>
              <w:t>.4</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68" w:type="dxa"/>
            <w:tcBorders>
              <w:tl2br w:val="nil"/>
              <w:tr2bl w:val="nil"/>
            </w:tcBorders>
            <w:vAlign w:val="center"/>
          </w:tcPr>
          <w:p w14:paraId="710ABE44">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13</w:t>
            </w:r>
            <w:r>
              <w:rPr>
                <w:rFonts w:hint="eastAsia" w:ascii="宋体" w:hAnsi="宋体" w:eastAsia="宋体" w:cs="宋体"/>
                <w:color w:val="auto"/>
                <w:spacing w:val="0"/>
                <w:sz w:val="24"/>
                <w:szCs w:val="24"/>
                <w:highlight w:val="none"/>
              </w:rPr>
              <w:t>.6</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68" w:type="dxa"/>
            <w:tcBorders>
              <w:tl2br w:val="nil"/>
              <w:tr2bl w:val="nil"/>
            </w:tcBorders>
            <w:vAlign w:val="center"/>
          </w:tcPr>
          <w:p w14:paraId="26F25D33">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13</w:t>
            </w:r>
            <w:r>
              <w:rPr>
                <w:rFonts w:hint="eastAsia" w:ascii="宋体" w:hAnsi="宋体" w:eastAsia="宋体" w:cs="宋体"/>
                <w:color w:val="auto"/>
                <w:spacing w:val="0"/>
                <w:sz w:val="24"/>
                <w:szCs w:val="24"/>
                <w:highlight w:val="none"/>
              </w:rPr>
              <w:t>.8</w:t>
            </w:r>
            <w:r>
              <w:rPr>
                <w:rFonts w:hint="eastAsia" w:ascii="宋体" w:hAnsi="宋体" w:eastAsia="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rPr>
              <w:t>%</w:t>
            </w:r>
          </w:p>
        </w:tc>
        <w:tc>
          <w:tcPr>
            <w:tcW w:w="1172" w:type="dxa"/>
            <w:tcBorders>
              <w:tl2br w:val="nil"/>
              <w:tr2bl w:val="nil"/>
            </w:tcBorders>
            <w:vAlign w:val="center"/>
          </w:tcPr>
          <w:p w14:paraId="33EE77A7">
            <w:pPr>
              <w:pStyle w:val="225"/>
              <w:spacing w:before="159" w:line="219" w:lineRule="auto"/>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r>
      <w:tr w14:paraId="25076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8" w:type="dxa"/>
            <w:tcBorders>
              <w:tl2br w:val="nil"/>
              <w:tr2bl w:val="nil"/>
            </w:tcBorders>
            <w:vAlign w:val="center"/>
          </w:tcPr>
          <w:p w14:paraId="3F10A115">
            <w:pPr>
              <w:pStyle w:val="225"/>
              <w:spacing w:before="159" w:line="219" w:lineRule="auto"/>
              <w:ind w:left="0"/>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球</w:t>
            </w:r>
            <w:r>
              <w:rPr>
                <w:rFonts w:hint="eastAsia" w:ascii="宋体" w:hAnsi="宋体" w:eastAsia="宋体" w:cs="宋体"/>
                <w:color w:val="auto"/>
                <w:spacing w:val="0"/>
                <w:sz w:val="24"/>
                <w:szCs w:val="24"/>
                <w:highlight w:val="none"/>
              </w:rPr>
              <w:t>号</w:t>
            </w:r>
          </w:p>
        </w:tc>
        <w:tc>
          <w:tcPr>
            <w:tcW w:w="1168" w:type="dxa"/>
            <w:tcBorders>
              <w:tl2br w:val="nil"/>
              <w:tr2bl w:val="nil"/>
            </w:tcBorders>
            <w:vAlign w:val="center"/>
          </w:tcPr>
          <w:p w14:paraId="6DD57A49">
            <w:pPr>
              <w:pStyle w:val="225"/>
              <w:spacing w:before="159" w:line="219" w:lineRule="auto"/>
              <w:ind w:left="0"/>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22</w:t>
            </w:r>
          </w:p>
        </w:tc>
        <w:tc>
          <w:tcPr>
            <w:tcW w:w="1168" w:type="dxa"/>
            <w:tcBorders>
              <w:tl2br w:val="nil"/>
              <w:tr2bl w:val="nil"/>
            </w:tcBorders>
            <w:vAlign w:val="center"/>
          </w:tcPr>
          <w:p w14:paraId="02B9302E">
            <w:pPr>
              <w:pStyle w:val="225"/>
              <w:spacing w:before="159" w:line="219" w:lineRule="auto"/>
              <w:ind w:left="0"/>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23</w:t>
            </w:r>
          </w:p>
        </w:tc>
        <w:tc>
          <w:tcPr>
            <w:tcW w:w="1168" w:type="dxa"/>
            <w:tcBorders>
              <w:tl2br w:val="nil"/>
              <w:tr2bl w:val="nil"/>
            </w:tcBorders>
            <w:vAlign w:val="center"/>
          </w:tcPr>
          <w:p w14:paraId="51A2C305">
            <w:pPr>
              <w:pStyle w:val="225"/>
              <w:spacing w:before="159" w:line="219" w:lineRule="auto"/>
              <w:ind w:left="0"/>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24</w:t>
            </w:r>
          </w:p>
        </w:tc>
        <w:tc>
          <w:tcPr>
            <w:tcW w:w="1168" w:type="dxa"/>
            <w:tcBorders>
              <w:tl2br w:val="nil"/>
              <w:tr2bl w:val="nil"/>
            </w:tcBorders>
            <w:vAlign w:val="center"/>
          </w:tcPr>
          <w:p w14:paraId="24ED9A84">
            <w:pPr>
              <w:pStyle w:val="225"/>
              <w:spacing w:before="159" w:line="219" w:lineRule="auto"/>
              <w:ind w:left="0"/>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25</w:t>
            </w:r>
          </w:p>
        </w:tc>
        <w:tc>
          <w:tcPr>
            <w:tcW w:w="1168" w:type="dxa"/>
            <w:tcBorders>
              <w:tl2br w:val="nil"/>
              <w:tr2bl w:val="nil"/>
            </w:tcBorders>
            <w:vAlign w:val="center"/>
          </w:tcPr>
          <w:p w14:paraId="7451BBAD">
            <w:pPr>
              <w:pStyle w:val="225"/>
              <w:spacing w:before="159" w:line="219" w:lineRule="auto"/>
              <w:ind w:left="0"/>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26</w:t>
            </w:r>
          </w:p>
        </w:tc>
        <w:tc>
          <w:tcPr>
            <w:tcW w:w="1168" w:type="dxa"/>
            <w:tcBorders>
              <w:tl2br w:val="nil"/>
              <w:tr2bl w:val="nil"/>
            </w:tcBorders>
            <w:vAlign w:val="center"/>
          </w:tcPr>
          <w:p w14:paraId="2226D030">
            <w:pPr>
              <w:pStyle w:val="225"/>
              <w:spacing w:before="159" w:line="219" w:lineRule="auto"/>
              <w:ind w:left="0"/>
              <w:jc w:val="center"/>
              <w:rPr>
                <w:rFonts w:hint="eastAsia" w:ascii="宋体" w:hAnsi="宋体" w:eastAsia="宋体" w:cs="宋体"/>
                <w:color w:val="auto"/>
                <w:spacing w:val="0"/>
                <w:sz w:val="24"/>
                <w:szCs w:val="24"/>
                <w:highlight w:val="none"/>
                <w:lang w:val="en-US" w:eastAsia="zh-CN"/>
              </w:rPr>
            </w:pPr>
          </w:p>
        </w:tc>
        <w:tc>
          <w:tcPr>
            <w:tcW w:w="1172" w:type="dxa"/>
            <w:tcBorders>
              <w:tl2br w:val="nil"/>
              <w:tr2bl w:val="nil"/>
            </w:tcBorders>
            <w:vAlign w:val="center"/>
          </w:tcPr>
          <w:p w14:paraId="720D12A8">
            <w:pPr>
              <w:pStyle w:val="225"/>
              <w:spacing w:before="159" w:line="219" w:lineRule="auto"/>
              <w:ind w:left="0"/>
              <w:jc w:val="center"/>
              <w:rPr>
                <w:rFonts w:hint="eastAsia" w:ascii="宋体" w:hAnsi="宋体" w:eastAsia="宋体" w:cs="宋体"/>
                <w:color w:val="auto"/>
                <w:sz w:val="24"/>
                <w:szCs w:val="24"/>
                <w:highlight w:val="none"/>
                <w:lang w:val="en-US" w:eastAsia="zh-CN"/>
              </w:rPr>
            </w:pPr>
          </w:p>
        </w:tc>
      </w:tr>
      <w:tr w14:paraId="7989D2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68" w:type="dxa"/>
            <w:tcBorders>
              <w:tl2br w:val="nil"/>
              <w:tr2bl w:val="nil"/>
            </w:tcBorders>
            <w:vAlign w:val="center"/>
          </w:tcPr>
          <w:p w14:paraId="4EBC4D55">
            <w:pPr>
              <w:pStyle w:val="225"/>
              <w:spacing w:before="159" w:line="219" w:lineRule="auto"/>
              <w:ind w:left="0"/>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代表值</w:t>
            </w:r>
          </w:p>
        </w:tc>
        <w:tc>
          <w:tcPr>
            <w:tcW w:w="1168" w:type="dxa"/>
            <w:tcBorders>
              <w:tl2br w:val="nil"/>
              <w:tr2bl w:val="nil"/>
            </w:tcBorders>
            <w:vAlign w:val="center"/>
          </w:tcPr>
          <w:p w14:paraId="1384806E">
            <w:pPr>
              <w:pStyle w:val="225"/>
              <w:spacing w:before="159" w:line="219" w:lineRule="auto"/>
              <w:ind w:left="0" w:leftChars="0"/>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14.20</w:t>
            </w:r>
            <w:r>
              <w:rPr>
                <w:rFonts w:hint="eastAsia" w:ascii="宋体" w:hAnsi="宋体" w:eastAsia="宋体" w:cs="宋体"/>
                <w:color w:val="auto"/>
                <w:sz w:val="24"/>
                <w:szCs w:val="24"/>
                <w:highlight w:val="none"/>
              </w:rPr>
              <w:t>%</w:t>
            </w:r>
          </w:p>
        </w:tc>
        <w:tc>
          <w:tcPr>
            <w:tcW w:w="1168" w:type="dxa"/>
            <w:tcBorders>
              <w:tl2br w:val="nil"/>
              <w:tr2bl w:val="nil"/>
            </w:tcBorders>
            <w:vAlign w:val="center"/>
          </w:tcPr>
          <w:p w14:paraId="0F8BE30A">
            <w:pPr>
              <w:pStyle w:val="225"/>
              <w:spacing w:before="159" w:line="219" w:lineRule="auto"/>
              <w:ind w:left="0" w:leftChars="0"/>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14.40</w:t>
            </w:r>
            <w:r>
              <w:rPr>
                <w:rFonts w:hint="eastAsia" w:ascii="宋体" w:hAnsi="宋体" w:eastAsia="宋体" w:cs="宋体"/>
                <w:color w:val="auto"/>
                <w:sz w:val="24"/>
                <w:szCs w:val="24"/>
                <w:highlight w:val="none"/>
              </w:rPr>
              <w:t>%</w:t>
            </w:r>
          </w:p>
        </w:tc>
        <w:tc>
          <w:tcPr>
            <w:tcW w:w="1168" w:type="dxa"/>
            <w:tcBorders>
              <w:tl2br w:val="nil"/>
              <w:tr2bl w:val="nil"/>
            </w:tcBorders>
            <w:vAlign w:val="center"/>
          </w:tcPr>
          <w:p w14:paraId="50236564">
            <w:pPr>
              <w:pStyle w:val="225"/>
              <w:spacing w:before="159" w:line="219" w:lineRule="auto"/>
              <w:ind w:left="0" w:leftChars="0"/>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14.60</w:t>
            </w:r>
            <w:r>
              <w:rPr>
                <w:rFonts w:hint="eastAsia" w:ascii="宋体" w:hAnsi="宋体" w:eastAsia="宋体" w:cs="宋体"/>
                <w:color w:val="auto"/>
                <w:sz w:val="24"/>
                <w:szCs w:val="24"/>
                <w:highlight w:val="none"/>
              </w:rPr>
              <w:t>%</w:t>
            </w:r>
          </w:p>
        </w:tc>
        <w:tc>
          <w:tcPr>
            <w:tcW w:w="1168" w:type="dxa"/>
            <w:tcBorders>
              <w:tl2br w:val="nil"/>
              <w:tr2bl w:val="nil"/>
            </w:tcBorders>
            <w:vAlign w:val="center"/>
          </w:tcPr>
          <w:p w14:paraId="2AAA9402">
            <w:pPr>
              <w:pStyle w:val="225"/>
              <w:spacing w:before="159" w:line="219" w:lineRule="auto"/>
              <w:ind w:left="0" w:leftChars="0"/>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14.80</w:t>
            </w:r>
            <w:r>
              <w:rPr>
                <w:rFonts w:hint="eastAsia" w:ascii="宋体" w:hAnsi="宋体" w:eastAsia="宋体" w:cs="宋体"/>
                <w:color w:val="auto"/>
                <w:sz w:val="24"/>
                <w:szCs w:val="24"/>
                <w:highlight w:val="none"/>
              </w:rPr>
              <w:t>%</w:t>
            </w:r>
          </w:p>
        </w:tc>
        <w:tc>
          <w:tcPr>
            <w:tcW w:w="1168" w:type="dxa"/>
            <w:tcBorders>
              <w:tl2br w:val="nil"/>
              <w:tr2bl w:val="nil"/>
            </w:tcBorders>
            <w:vAlign w:val="center"/>
          </w:tcPr>
          <w:p w14:paraId="05F753A6">
            <w:pPr>
              <w:pStyle w:val="225"/>
              <w:spacing w:before="159" w:line="219" w:lineRule="auto"/>
              <w:ind w:left="0" w:leftChars="0"/>
              <w:jc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15.00</w:t>
            </w:r>
            <w:r>
              <w:rPr>
                <w:rFonts w:hint="eastAsia" w:ascii="宋体" w:hAnsi="宋体" w:eastAsia="宋体" w:cs="宋体"/>
                <w:color w:val="auto"/>
                <w:sz w:val="24"/>
                <w:szCs w:val="24"/>
                <w:highlight w:val="none"/>
              </w:rPr>
              <w:t>%</w:t>
            </w:r>
          </w:p>
        </w:tc>
        <w:tc>
          <w:tcPr>
            <w:tcW w:w="1168" w:type="dxa"/>
            <w:tcBorders>
              <w:tl2br w:val="nil"/>
              <w:tr2bl w:val="nil"/>
            </w:tcBorders>
            <w:vAlign w:val="center"/>
          </w:tcPr>
          <w:p w14:paraId="2A7B66FC">
            <w:pPr>
              <w:pStyle w:val="225"/>
              <w:spacing w:before="159" w:line="219" w:lineRule="auto"/>
              <w:ind w:left="0"/>
              <w:jc w:val="center"/>
              <w:rPr>
                <w:rFonts w:hint="eastAsia" w:ascii="宋体" w:hAnsi="宋体" w:eastAsia="宋体" w:cs="宋体"/>
                <w:color w:val="auto"/>
                <w:spacing w:val="0"/>
                <w:sz w:val="24"/>
                <w:szCs w:val="24"/>
                <w:highlight w:val="none"/>
                <w:lang w:val="en-US" w:eastAsia="zh-CN"/>
              </w:rPr>
            </w:pPr>
          </w:p>
        </w:tc>
        <w:tc>
          <w:tcPr>
            <w:tcW w:w="1172" w:type="dxa"/>
            <w:tcBorders>
              <w:tl2br w:val="nil"/>
              <w:tr2bl w:val="nil"/>
            </w:tcBorders>
            <w:vAlign w:val="center"/>
          </w:tcPr>
          <w:p w14:paraId="4F760450">
            <w:pPr>
              <w:pStyle w:val="225"/>
              <w:spacing w:before="159" w:line="219" w:lineRule="auto"/>
              <w:ind w:left="0"/>
              <w:jc w:val="center"/>
              <w:rPr>
                <w:rFonts w:hint="eastAsia" w:ascii="宋体" w:hAnsi="宋体" w:eastAsia="宋体" w:cs="宋体"/>
                <w:color w:val="auto"/>
                <w:sz w:val="24"/>
                <w:szCs w:val="24"/>
                <w:highlight w:val="none"/>
                <w:lang w:val="en-US" w:eastAsia="zh-CN"/>
              </w:rPr>
            </w:pPr>
          </w:p>
        </w:tc>
      </w:tr>
    </w:tbl>
    <w:p w14:paraId="756B2ADE">
      <w:pPr>
        <w:pStyle w:val="2"/>
        <w:ind w:firstLine="1533" w:firstLineChars="700"/>
        <w:jc w:val="center"/>
        <w:rPr>
          <w:rFonts w:hint="eastAsia" w:ascii="宋体" w:hAnsi="宋体" w:eastAsia="宋体" w:cs="宋体"/>
          <w:b/>
          <w:bCs/>
          <w:color w:val="auto"/>
          <w:spacing w:val="-11"/>
          <w:sz w:val="24"/>
          <w:szCs w:val="24"/>
          <w:highlight w:val="none"/>
        </w:rPr>
      </w:pPr>
    </w:p>
    <w:p w14:paraId="7E64834D">
      <w:pPr>
        <w:pStyle w:val="2"/>
        <w:ind w:firstLine="0" w:firstLineChars="0"/>
        <w:jc w:val="both"/>
        <w:rPr>
          <w:rFonts w:hint="eastAsia" w:ascii="宋体" w:hAnsi="宋体" w:eastAsia="宋体" w:cs="宋体"/>
          <w:b/>
          <w:bCs/>
          <w:color w:val="auto"/>
          <w:spacing w:val="-11"/>
          <w:sz w:val="24"/>
          <w:szCs w:val="24"/>
          <w:highlight w:val="none"/>
        </w:rPr>
      </w:pPr>
    </w:p>
    <w:p w14:paraId="3DC06DE6">
      <w:pPr>
        <w:spacing w:before="78" w:line="212" w:lineRule="auto"/>
        <w:ind w:left="0"/>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附表</w:t>
      </w:r>
      <w:r>
        <w:rPr>
          <w:rFonts w:hint="eastAsia" w:ascii="宋体" w:hAnsi="宋体" w:cs="宋体"/>
          <w:b/>
          <w:bCs/>
          <w:color w:val="auto"/>
          <w:spacing w:val="-11"/>
          <w:sz w:val="24"/>
          <w:szCs w:val="24"/>
          <w:highlight w:val="none"/>
          <w:lang w:val="en-US" w:eastAsia="zh-CN"/>
        </w:rPr>
        <w:t>3</w:t>
      </w:r>
      <w:r>
        <w:rPr>
          <w:rFonts w:hint="eastAsia" w:ascii="宋体" w:hAnsi="宋体" w:eastAsia="宋体" w:cs="宋体"/>
          <w:b/>
          <w:bCs/>
          <w:color w:val="auto"/>
          <w:spacing w:val="-11"/>
          <w:sz w:val="24"/>
          <w:szCs w:val="24"/>
          <w:highlight w:val="none"/>
        </w:rPr>
        <w:t>：F1 取值范围</w:t>
      </w:r>
    </w:p>
    <w:tbl>
      <w:tblPr>
        <w:tblStyle w:val="226"/>
        <w:tblW w:w="935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35"/>
        <w:gridCol w:w="935"/>
        <w:gridCol w:w="935"/>
        <w:gridCol w:w="935"/>
        <w:gridCol w:w="935"/>
        <w:gridCol w:w="935"/>
        <w:gridCol w:w="935"/>
        <w:gridCol w:w="935"/>
        <w:gridCol w:w="940"/>
      </w:tblGrid>
      <w:tr w14:paraId="575BE9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34" w:type="dxa"/>
            <w:tcBorders>
              <w:tl2br w:val="nil"/>
              <w:tr2bl w:val="nil"/>
            </w:tcBorders>
            <w:vAlign w:val="center"/>
          </w:tcPr>
          <w:p w14:paraId="51DA1CF0">
            <w:pPr>
              <w:pStyle w:val="225"/>
              <w:spacing w:before="183"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球号</w:t>
            </w:r>
          </w:p>
        </w:tc>
        <w:tc>
          <w:tcPr>
            <w:tcW w:w="935" w:type="dxa"/>
            <w:tcBorders>
              <w:tl2br w:val="nil"/>
              <w:tr2bl w:val="nil"/>
            </w:tcBorders>
            <w:vAlign w:val="center"/>
          </w:tcPr>
          <w:p w14:paraId="6CFA0C3A">
            <w:pPr>
              <w:pStyle w:val="225"/>
              <w:spacing w:before="183"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35" w:type="dxa"/>
            <w:tcBorders>
              <w:tl2br w:val="nil"/>
              <w:tr2bl w:val="nil"/>
            </w:tcBorders>
            <w:vAlign w:val="center"/>
          </w:tcPr>
          <w:p w14:paraId="0E4AEB45">
            <w:pPr>
              <w:pStyle w:val="225"/>
              <w:spacing w:before="183"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35" w:type="dxa"/>
            <w:tcBorders>
              <w:tl2br w:val="nil"/>
              <w:tr2bl w:val="nil"/>
            </w:tcBorders>
            <w:vAlign w:val="center"/>
          </w:tcPr>
          <w:p w14:paraId="0E12D413">
            <w:pPr>
              <w:pStyle w:val="225"/>
              <w:spacing w:before="183"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35" w:type="dxa"/>
            <w:tcBorders>
              <w:tl2br w:val="nil"/>
              <w:tr2bl w:val="nil"/>
            </w:tcBorders>
            <w:vAlign w:val="center"/>
          </w:tcPr>
          <w:p w14:paraId="13BD8C4C">
            <w:pPr>
              <w:pStyle w:val="225"/>
              <w:spacing w:before="183"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35" w:type="dxa"/>
            <w:tcBorders>
              <w:tl2br w:val="nil"/>
              <w:tr2bl w:val="nil"/>
            </w:tcBorders>
            <w:vAlign w:val="center"/>
          </w:tcPr>
          <w:p w14:paraId="5DEB0887">
            <w:pPr>
              <w:pStyle w:val="225"/>
              <w:spacing w:before="183"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35" w:type="dxa"/>
            <w:tcBorders>
              <w:tl2br w:val="nil"/>
              <w:tr2bl w:val="nil"/>
            </w:tcBorders>
            <w:vAlign w:val="center"/>
          </w:tcPr>
          <w:p w14:paraId="5E82897B">
            <w:pPr>
              <w:pStyle w:val="225"/>
              <w:spacing w:before="183"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35" w:type="dxa"/>
            <w:tcBorders>
              <w:tl2br w:val="nil"/>
              <w:tr2bl w:val="nil"/>
            </w:tcBorders>
            <w:vAlign w:val="center"/>
          </w:tcPr>
          <w:p w14:paraId="3C14DBF8">
            <w:pPr>
              <w:pStyle w:val="225"/>
              <w:spacing w:before="183"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35" w:type="dxa"/>
            <w:tcBorders>
              <w:tl2br w:val="nil"/>
              <w:tr2bl w:val="nil"/>
            </w:tcBorders>
            <w:vAlign w:val="center"/>
          </w:tcPr>
          <w:p w14:paraId="34311E29">
            <w:pPr>
              <w:pStyle w:val="225"/>
              <w:spacing w:before="183"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40" w:type="dxa"/>
            <w:tcBorders>
              <w:tl2br w:val="nil"/>
              <w:tr2bl w:val="nil"/>
            </w:tcBorders>
            <w:vAlign w:val="center"/>
          </w:tcPr>
          <w:p w14:paraId="17A714F7">
            <w:pPr>
              <w:pStyle w:val="225"/>
              <w:spacing w:before="183" w:line="219"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r>
      <w:tr w14:paraId="4FAD74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34" w:type="dxa"/>
            <w:tcBorders>
              <w:tl2br w:val="nil"/>
              <w:tr2bl w:val="nil"/>
            </w:tcBorders>
            <w:vAlign w:val="center"/>
          </w:tcPr>
          <w:p w14:paraId="325DBDA2">
            <w:pPr>
              <w:pStyle w:val="225"/>
              <w:spacing w:before="183"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代表值</w:t>
            </w:r>
          </w:p>
        </w:tc>
        <w:tc>
          <w:tcPr>
            <w:tcW w:w="935" w:type="dxa"/>
            <w:tcBorders>
              <w:tl2br w:val="nil"/>
              <w:tr2bl w:val="nil"/>
            </w:tcBorders>
            <w:vAlign w:val="center"/>
          </w:tcPr>
          <w:p w14:paraId="5211798E">
            <w:pPr>
              <w:pStyle w:val="225"/>
              <w:spacing w:before="183"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0.40</w:t>
            </w:r>
          </w:p>
        </w:tc>
        <w:tc>
          <w:tcPr>
            <w:tcW w:w="935" w:type="dxa"/>
            <w:tcBorders>
              <w:tl2br w:val="nil"/>
              <w:tr2bl w:val="nil"/>
            </w:tcBorders>
            <w:vAlign w:val="center"/>
          </w:tcPr>
          <w:p w14:paraId="05DC405D">
            <w:pPr>
              <w:pStyle w:val="225"/>
              <w:spacing w:before="183"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0.45</w:t>
            </w:r>
          </w:p>
        </w:tc>
        <w:tc>
          <w:tcPr>
            <w:tcW w:w="935" w:type="dxa"/>
            <w:tcBorders>
              <w:tl2br w:val="nil"/>
              <w:tr2bl w:val="nil"/>
            </w:tcBorders>
            <w:vAlign w:val="center"/>
          </w:tcPr>
          <w:p w14:paraId="2A8FDCD8">
            <w:pPr>
              <w:pStyle w:val="225"/>
              <w:spacing w:before="183"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0.50</w:t>
            </w:r>
          </w:p>
        </w:tc>
        <w:tc>
          <w:tcPr>
            <w:tcW w:w="935" w:type="dxa"/>
            <w:tcBorders>
              <w:tl2br w:val="nil"/>
              <w:tr2bl w:val="nil"/>
            </w:tcBorders>
            <w:vAlign w:val="center"/>
          </w:tcPr>
          <w:p w14:paraId="6F91CA4F">
            <w:pPr>
              <w:pStyle w:val="225"/>
              <w:spacing w:before="183"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0.55</w:t>
            </w:r>
          </w:p>
        </w:tc>
        <w:tc>
          <w:tcPr>
            <w:tcW w:w="935" w:type="dxa"/>
            <w:tcBorders>
              <w:tl2br w:val="nil"/>
              <w:tr2bl w:val="nil"/>
            </w:tcBorders>
            <w:vAlign w:val="center"/>
          </w:tcPr>
          <w:p w14:paraId="0B5C50FF">
            <w:pPr>
              <w:pStyle w:val="225"/>
              <w:spacing w:before="183"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0.60</w:t>
            </w:r>
          </w:p>
        </w:tc>
        <w:tc>
          <w:tcPr>
            <w:tcW w:w="935" w:type="dxa"/>
            <w:tcBorders>
              <w:tl2br w:val="nil"/>
              <w:tr2bl w:val="nil"/>
            </w:tcBorders>
            <w:vAlign w:val="center"/>
          </w:tcPr>
          <w:p w14:paraId="519BC170">
            <w:pPr>
              <w:pStyle w:val="225"/>
              <w:spacing w:before="183"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0.65</w:t>
            </w:r>
          </w:p>
        </w:tc>
        <w:tc>
          <w:tcPr>
            <w:tcW w:w="935" w:type="dxa"/>
            <w:tcBorders>
              <w:tl2br w:val="nil"/>
              <w:tr2bl w:val="nil"/>
            </w:tcBorders>
            <w:vAlign w:val="center"/>
          </w:tcPr>
          <w:p w14:paraId="4644F70A">
            <w:pPr>
              <w:pStyle w:val="225"/>
              <w:spacing w:before="183"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0.70</w:t>
            </w:r>
          </w:p>
        </w:tc>
        <w:tc>
          <w:tcPr>
            <w:tcW w:w="935" w:type="dxa"/>
            <w:tcBorders>
              <w:tl2br w:val="nil"/>
              <w:tr2bl w:val="nil"/>
            </w:tcBorders>
            <w:vAlign w:val="center"/>
          </w:tcPr>
          <w:p w14:paraId="2EF703E3">
            <w:pPr>
              <w:pStyle w:val="225"/>
              <w:spacing w:before="183"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0.75</w:t>
            </w:r>
          </w:p>
        </w:tc>
        <w:tc>
          <w:tcPr>
            <w:tcW w:w="940" w:type="dxa"/>
            <w:tcBorders>
              <w:tl2br w:val="nil"/>
              <w:tr2bl w:val="nil"/>
            </w:tcBorders>
            <w:vAlign w:val="center"/>
          </w:tcPr>
          <w:p w14:paraId="7AD34FB4">
            <w:pPr>
              <w:pStyle w:val="225"/>
              <w:spacing w:before="183" w:line="219"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0.80</w:t>
            </w:r>
          </w:p>
        </w:tc>
      </w:tr>
    </w:tbl>
    <w:p w14:paraId="4CA34393">
      <w:pPr>
        <w:rPr>
          <w:rFonts w:hint="eastAsia"/>
          <w:color w:val="auto"/>
          <w:highlight w:val="none"/>
        </w:rPr>
        <w:sectPr>
          <w:pgSz w:w="11906" w:h="16838"/>
          <w:pgMar w:top="1440" w:right="1293" w:bottom="1440" w:left="1293" w:header="851" w:footer="992" w:gutter="0"/>
          <w:pgNumType w:fmt="decimal"/>
          <w:cols w:space="720" w:num="1"/>
          <w:docGrid w:type="lines" w:linePitch="312" w:charSpace="0"/>
        </w:sectPr>
      </w:pPr>
    </w:p>
    <w:p w14:paraId="3CA144B0">
      <w:pPr>
        <w:pStyle w:val="24"/>
        <w:pageBreakBefore w:val="0"/>
        <w:kinsoku/>
        <w:overflowPunct/>
        <w:bidi w:val="0"/>
        <w:spacing w:beforeLines="0" w:afterLines="0" w:line="360" w:lineRule="auto"/>
        <w:ind w:left="0" w:leftChars="0" w:right="0"/>
        <w:jc w:val="center"/>
        <w:rPr>
          <w:rFonts w:hint="eastAsia" w:ascii="宋体" w:hAnsi="宋体" w:eastAsia="宋体" w:cs="宋体"/>
          <w:color w:val="auto"/>
          <w:highlight w:val="none"/>
        </w:rPr>
      </w:pPr>
      <w:r>
        <w:rPr>
          <w:rFonts w:hint="eastAsia" w:ascii="宋体" w:hAnsi="宋体" w:eastAsia="宋体" w:cs="宋体"/>
          <w:color w:val="auto"/>
          <w:highlight w:val="none"/>
        </w:rPr>
        <w:t>评标办法正文部分</w:t>
      </w:r>
    </w:p>
    <w:p w14:paraId="59894EB3">
      <w:pPr>
        <w:pageBreakBefore w:val="0"/>
        <w:kinsoku/>
        <w:overflowPunct/>
        <w:bidi w:val="0"/>
        <w:spacing w:beforeLines="0" w:afterLines="0" w:line="360" w:lineRule="auto"/>
        <w:ind w:left="0" w:leftChars="0" w:right="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1.评标方法</w:t>
      </w:r>
    </w:p>
    <w:p w14:paraId="5AF67B96">
      <w:pPr>
        <w:pStyle w:val="2"/>
        <w:pageBreakBefore w:val="0"/>
        <w:kinsoku/>
        <w:overflowPunct/>
        <w:bidi w:val="0"/>
        <w:spacing w:beforeLines="0" w:afterLines="0" w:line="360" w:lineRule="auto"/>
        <w:ind w:left="0" w:leftChars="0" w:right="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次评标采用综合评估法。评标委员会根据招标文件规定的评审因素和评审标准对投标文件进行综合评估，综合评估分两阶段进行，按照投标人综合评估得分由高到低的顺序推荐中标候选人。当出现多个投标人得分相同，导致推荐中标候选人数量超过招标文件规定时，推荐资信标得分高的；资信标得分相同的，推荐投标报价低的；投标报价相同的，推荐诚信等级高的；诚信等级相同的，推荐诚信分数高的。</w:t>
      </w:r>
      <w:r>
        <w:rPr>
          <w:rFonts w:hint="eastAsia" w:ascii="宋体" w:hAnsi="宋体" w:cs="宋体"/>
          <w:color w:val="auto"/>
          <w:szCs w:val="21"/>
          <w:highlight w:val="none"/>
        </w:rPr>
        <w:t>诚信分数相同的，由评标委员会投票决定。</w:t>
      </w:r>
    </w:p>
    <w:p w14:paraId="236570D0">
      <w:pPr>
        <w:pageBreakBefore w:val="0"/>
        <w:kinsoku/>
        <w:overflowPunct/>
        <w:bidi w:val="0"/>
        <w:spacing w:beforeLines="0" w:afterLines="0" w:line="360" w:lineRule="auto"/>
        <w:ind w:left="0" w:leftChars="0" w:right="0" w:firstLine="560" w:firstLineChars="200"/>
        <w:rPr>
          <w:rFonts w:hint="eastAsia" w:ascii="宋体" w:hAnsi="宋体" w:eastAsia="宋体" w:cs="宋体"/>
          <w:color w:val="auto"/>
          <w:sz w:val="28"/>
          <w:szCs w:val="28"/>
          <w:highlight w:val="none"/>
        </w:rPr>
      </w:pPr>
    </w:p>
    <w:p w14:paraId="257F83C0">
      <w:pPr>
        <w:pageBreakBefore w:val="0"/>
        <w:kinsoku/>
        <w:overflowPunct/>
        <w:bidi w:val="0"/>
        <w:spacing w:beforeLines="0" w:afterLines="0" w:line="360" w:lineRule="auto"/>
        <w:ind w:left="0" w:leftChars="0" w:right="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2.评审标准</w:t>
      </w:r>
    </w:p>
    <w:p w14:paraId="4CC1D32B">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16"/>
          <w:highlight w:val="none"/>
        </w:rPr>
      </w:pPr>
      <w:r>
        <w:rPr>
          <w:rFonts w:hint="eastAsia" w:ascii="宋体" w:hAnsi="宋体" w:eastAsia="宋体" w:cs="宋体"/>
          <w:b/>
          <w:color w:val="auto"/>
          <w:szCs w:val="16"/>
          <w:highlight w:val="none"/>
        </w:rPr>
        <w:t>2.1初步评审标准</w:t>
      </w:r>
    </w:p>
    <w:p w14:paraId="0C4CBEC9">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2.1.1形式评审标准：见评标办法前附表。</w:t>
      </w:r>
    </w:p>
    <w:p w14:paraId="75C72BC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2.1.2资格评审标准：见评标办法前附表。</w:t>
      </w:r>
    </w:p>
    <w:p w14:paraId="4CFA0155">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2.1.3响应性评审标准：见评标办法前附表。</w:t>
      </w:r>
    </w:p>
    <w:p w14:paraId="41F0A8FD">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16"/>
          <w:highlight w:val="none"/>
        </w:rPr>
      </w:pPr>
    </w:p>
    <w:p w14:paraId="6D2F0EA6">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16"/>
          <w:highlight w:val="none"/>
        </w:rPr>
      </w:pPr>
      <w:r>
        <w:rPr>
          <w:rFonts w:hint="eastAsia" w:ascii="宋体" w:hAnsi="宋体" w:eastAsia="宋体" w:cs="宋体"/>
          <w:b/>
          <w:color w:val="auto"/>
          <w:szCs w:val="16"/>
          <w:highlight w:val="none"/>
        </w:rPr>
        <w:t>2.2详细评审标准</w:t>
      </w:r>
      <w:r>
        <w:rPr>
          <w:rFonts w:hint="eastAsia" w:ascii="宋体" w:hAnsi="宋体" w:eastAsia="宋体" w:cs="宋体"/>
          <w:b/>
          <w:color w:val="auto"/>
          <w:szCs w:val="21"/>
          <w:highlight w:val="none"/>
        </w:rPr>
        <w:t>（适用于综合评估法和评标定标分离法（定量评审））</w:t>
      </w:r>
    </w:p>
    <w:p w14:paraId="6FF06F6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2.2.1分值构成</w:t>
      </w:r>
    </w:p>
    <w:p w14:paraId="245E1E6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（1）技术标：见评标办法前附表；</w:t>
      </w:r>
    </w:p>
    <w:p w14:paraId="352A0942">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（2）资信标：见评标办法前附表；</w:t>
      </w:r>
    </w:p>
    <w:p w14:paraId="68D5F42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（3）经济标：见评标办法前附表。</w:t>
      </w:r>
    </w:p>
    <w:p w14:paraId="04E9A326">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2.2.2评标基准价计算</w:t>
      </w:r>
    </w:p>
    <w:p w14:paraId="4821C2A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评标基准价计算方法：见评标办法前附表。</w:t>
      </w:r>
    </w:p>
    <w:p w14:paraId="73DCB59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2.2.3投标报价的偏差率计算</w:t>
      </w:r>
    </w:p>
    <w:p w14:paraId="76548FB9">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投标报价的偏差率计算公式：见评标办法前附表。</w:t>
      </w:r>
    </w:p>
    <w:p w14:paraId="08777935">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2.2.4评分标准</w:t>
      </w:r>
    </w:p>
    <w:p w14:paraId="79BCEBE1">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（1）技术标评分标准：见评标办法前附表；</w:t>
      </w:r>
    </w:p>
    <w:p w14:paraId="74BF9334">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（2）资信标评分标准：见评标办法前附表；</w:t>
      </w:r>
    </w:p>
    <w:p w14:paraId="6A85F37B">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（3）经济标评分标准：见评标办法前附表。</w:t>
      </w:r>
    </w:p>
    <w:p w14:paraId="2FD4C23B">
      <w:pPr>
        <w:pStyle w:val="62"/>
        <w:pageBreakBefore w:val="0"/>
        <w:kinsoku/>
        <w:overflowPunct/>
        <w:bidi w:val="0"/>
        <w:spacing w:beforeLines="0" w:after="0" w:afterLines="0" w:line="360" w:lineRule="auto"/>
        <w:ind w:left="0" w:leftChars="0" w:right="0" w:firstLine="360" w:firstLineChars="200"/>
        <w:rPr>
          <w:rFonts w:hint="eastAsia" w:ascii="宋体" w:hAnsi="宋体" w:eastAsia="宋体" w:cs="宋体"/>
          <w:color w:val="auto"/>
          <w:sz w:val="18"/>
          <w:szCs w:val="21"/>
          <w:highlight w:val="none"/>
        </w:rPr>
      </w:pPr>
    </w:p>
    <w:p w14:paraId="1C468033">
      <w:pPr>
        <w:pageBreakBefore w:val="0"/>
        <w:kinsoku/>
        <w:overflowPunct/>
        <w:bidi w:val="0"/>
        <w:spacing w:beforeLines="0" w:afterLines="0" w:line="360" w:lineRule="auto"/>
        <w:ind w:left="0" w:leftChars="0" w:right="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3.评标程序</w:t>
      </w:r>
    </w:p>
    <w:p w14:paraId="38A7AB62">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16"/>
          <w:highlight w:val="none"/>
        </w:rPr>
      </w:pPr>
      <w:r>
        <w:rPr>
          <w:rFonts w:hint="eastAsia" w:ascii="宋体" w:hAnsi="宋体" w:eastAsia="宋体" w:cs="宋体"/>
          <w:b/>
          <w:color w:val="auto"/>
          <w:szCs w:val="16"/>
          <w:highlight w:val="none"/>
        </w:rPr>
        <w:t>3.1基本程序</w:t>
      </w:r>
    </w:p>
    <w:p w14:paraId="0B88FFE4">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评标活动将按以下五个步骤进行：</w:t>
      </w:r>
    </w:p>
    <w:p w14:paraId="11FC2513">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（1）评标准备；</w:t>
      </w:r>
    </w:p>
    <w:p w14:paraId="48D2FF69">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（2）初步评审；</w:t>
      </w:r>
    </w:p>
    <w:p w14:paraId="7BDA6E7F">
      <w:pPr>
        <w:pageBreakBefore w:val="0"/>
        <w:kinsoku/>
        <w:overflowPunct/>
        <w:bidi w:val="0"/>
        <w:spacing w:beforeLines="0" w:afterLines="0" w:line="360" w:lineRule="auto"/>
        <w:ind w:left="0" w:leftChars="0" w:right="0"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（3）详细评审；</w:t>
      </w:r>
      <w:r>
        <w:rPr>
          <w:rFonts w:hint="eastAsia" w:ascii="宋体" w:hAnsi="宋体" w:eastAsia="宋体" w:cs="宋体"/>
          <w:bCs/>
          <w:color w:val="auto"/>
          <w:szCs w:val="21"/>
          <w:highlight w:val="none"/>
        </w:rPr>
        <w:t>（评标定标分离法（定性评审）除外）</w:t>
      </w:r>
    </w:p>
    <w:p w14:paraId="024DEABE">
      <w:pPr>
        <w:pageBreakBefore w:val="0"/>
        <w:kinsoku/>
        <w:overflowPunct/>
        <w:bidi w:val="0"/>
        <w:spacing w:beforeLines="0" w:afterLines="0" w:line="360" w:lineRule="auto"/>
        <w:ind w:left="0" w:leftChars="0" w:righ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（4）澄清、说明或补正；</w:t>
      </w:r>
    </w:p>
    <w:p w14:paraId="5294C43B">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（5）推荐中标候选人/定标候选人，提交评标报告。</w:t>
      </w:r>
    </w:p>
    <w:p w14:paraId="02ABAB99">
      <w:pPr>
        <w:pStyle w:val="2"/>
        <w:pageBreakBefore w:val="0"/>
        <w:kinsoku/>
        <w:overflowPunct/>
        <w:bidi w:val="0"/>
        <w:spacing w:beforeLines="0" w:afterLines="0" w:line="360" w:lineRule="auto"/>
        <w:ind w:left="0" w:leftChars="0" w:right="0" w:firstLine="360"/>
        <w:rPr>
          <w:rFonts w:hint="eastAsia" w:ascii="宋体" w:hAnsi="宋体" w:eastAsia="宋体" w:cs="宋体"/>
          <w:color w:val="auto"/>
          <w:sz w:val="18"/>
          <w:szCs w:val="21"/>
          <w:highlight w:val="none"/>
        </w:rPr>
      </w:pPr>
    </w:p>
    <w:p w14:paraId="39C77E59">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16"/>
          <w:highlight w:val="none"/>
        </w:rPr>
      </w:pPr>
      <w:r>
        <w:rPr>
          <w:rFonts w:hint="eastAsia" w:ascii="宋体" w:hAnsi="宋体" w:eastAsia="宋体" w:cs="宋体"/>
          <w:b/>
          <w:color w:val="auto"/>
          <w:szCs w:val="16"/>
          <w:highlight w:val="none"/>
        </w:rPr>
        <w:t>3.2评标准备</w:t>
      </w:r>
    </w:p>
    <w:p w14:paraId="61E4699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16"/>
          <w:highlight w:val="none"/>
        </w:rPr>
      </w:pPr>
      <w:r>
        <w:rPr>
          <w:rFonts w:hint="eastAsia" w:ascii="宋体" w:hAnsi="宋体" w:eastAsia="宋体" w:cs="宋体"/>
          <w:color w:val="auto"/>
          <w:szCs w:val="16"/>
          <w:highlight w:val="none"/>
        </w:rPr>
        <w:t>3.2.1评标委员会成员签到</w:t>
      </w:r>
    </w:p>
    <w:p w14:paraId="4B2170C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评标委员会成员到达评标现场时应在签到表上签到以证明其出席。</w:t>
      </w:r>
    </w:p>
    <w:p w14:paraId="42EFACB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w:t>
      </w:r>
      <w:r>
        <w:rPr>
          <w:rFonts w:hint="eastAsia" w:ascii="宋体" w:hAnsi="宋体" w:eastAsia="宋体" w:cs="宋体"/>
          <w:color w:val="auto"/>
          <w:szCs w:val="16"/>
          <w:highlight w:val="none"/>
        </w:rPr>
        <w:t>评标委员会的分工</w:t>
      </w:r>
    </w:p>
    <w:p w14:paraId="20B0EF7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评标委员会首先推选一名评标委员会负责人。评标委员会负责人负责评标活动的组织领导工作。</w:t>
      </w:r>
    </w:p>
    <w:p w14:paraId="30A47945">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w:t>
      </w:r>
      <w:r>
        <w:rPr>
          <w:rFonts w:hint="eastAsia" w:ascii="宋体" w:hAnsi="宋体" w:eastAsia="宋体" w:cs="宋体"/>
          <w:color w:val="auto"/>
          <w:szCs w:val="16"/>
          <w:highlight w:val="none"/>
        </w:rPr>
        <w:t>熟悉文件资料</w:t>
      </w:r>
    </w:p>
    <w:p w14:paraId="5F3E1906">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3.2.3.1评标委员会负责人应组织评标委员会成员认真研究招标文件，了解和熟悉招标目的、招标范围、主要合同条件、</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规范和技术要求、质量标准和</w:t>
      </w:r>
      <w:r>
        <w:rPr>
          <w:rFonts w:hint="eastAsia" w:ascii="宋体" w:hAnsi="宋体" w:cs="宋体"/>
          <w:color w:val="auto"/>
          <w:szCs w:val="21"/>
          <w:highlight w:val="none"/>
          <w:lang w:eastAsia="zh-CN"/>
        </w:rPr>
        <w:t>服务期</w:t>
      </w:r>
      <w:r>
        <w:rPr>
          <w:rFonts w:hint="eastAsia" w:ascii="宋体" w:hAnsi="宋体" w:eastAsia="宋体" w:cs="宋体"/>
          <w:color w:val="auto"/>
          <w:szCs w:val="21"/>
          <w:highlight w:val="none"/>
        </w:rPr>
        <w:t>要求，掌握评标标准和方法。未在招标文件中规定的标准和方法不得作为评标的依据。</w:t>
      </w:r>
    </w:p>
    <w:p w14:paraId="282FB21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3.2.3.2招标人或招标代理机构应向评标委员会提供评标所需的信息和数据，包括招标文件、未在开标会上当场拒绝的各投标文件、开标会记录、招标控制价（最高投标限价）、有关的政策文件、国家标准以及评标委员会认为必要的其他信息和数据。但不得明示或者暗示其倾向或者排斥特定投标人。</w:t>
      </w:r>
    </w:p>
    <w:p w14:paraId="5822012D">
      <w:pPr>
        <w:pageBreakBefore w:val="0"/>
        <w:kinsoku/>
        <w:overflowPunct/>
        <w:bidi w:val="0"/>
        <w:spacing w:beforeLines="0" w:afterLines="0" w:line="360" w:lineRule="auto"/>
        <w:ind w:left="0" w:leftChars="0" w:right="0" w:firstLine="420" w:firstLineChars="200"/>
        <w:rPr>
          <w:rFonts w:hint="eastAsia" w:ascii="宋体" w:hAnsi="宋体" w:eastAsia="宋体" w:cs="宋体"/>
          <w:b/>
          <w:bCs/>
          <w:color w:val="auto"/>
          <w:szCs w:val="16"/>
          <w:highlight w:val="none"/>
        </w:rPr>
      </w:pPr>
      <w:r>
        <w:rPr>
          <w:rFonts w:hint="eastAsia" w:ascii="宋体" w:hAnsi="宋体" w:eastAsia="宋体" w:cs="宋体"/>
          <w:color w:val="auto"/>
          <w:szCs w:val="16"/>
          <w:highlight w:val="none"/>
        </w:rPr>
        <w:t>3.2.4对投标文件进行基础性数据分析和整理工作（清标）</w:t>
      </w:r>
    </w:p>
    <w:p w14:paraId="67D700C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3.2.4.1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等存在明显异常的问题，并就这些问题整理形成清标成果。评标委员会对清标成果审议后，决定需要投标人进行书面澄清、说明或补正的问题，应通过电子开评标系统向投标人发出问题澄清通知。</w:t>
      </w:r>
    </w:p>
    <w:p w14:paraId="271F87E5">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3.2.4.2投标人接到评标委员会发出的问题澄清通知后，应按评标委员会的要求在规定时间内通过</w:t>
      </w:r>
      <w:r>
        <w:rPr>
          <w:rFonts w:hint="eastAsia" w:ascii="宋体" w:hAnsi="宋体" w:cs="宋体"/>
          <w:color w:val="auto"/>
          <w:highlight w:val="none"/>
          <w:lang w:eastAsia="zh-CN"/>
        </w:rPr>
        <w:t>佛山市南海区人民政府网站—佛山市公共资源交易中心南海分中心</w:t>
      </w:r>
      <w:r>
        <w:rPr>
          <w:rFonts w:hint="eastAsia" w:ascii="宋体" w:hAnsi="宋体" w:eastAsia="宋体" w:cs="宋体"/>
          <w:color w:val="auto"/>
          <w:szCs w:val="21"/>
          <w:highlight w:val="none"/>
        </w:rPr>
        <w:t>提供书面澄清资料并加盖电子签章。</w:t>
      </w:r>
    </w:p>
    <w:p w14:paraId="1D0C5DAC">
      <w:pPr>
        <w:pStyle w:val="2"/>
        <w:pageBreakBefore w:val="0"/>
        <w:kinsoku/>
        <w:overflowPunct/>
        <w:bidi w:val="0"/>
        <w:spacing w:beforeLines="0" w:afterLines="0" w:line="360" w:lineRule="auto"/>
        <w:ind w:left="0" w:leftChars="0" w:right="0" w:firstLine="360"/>
        <w:rPr>
          <w:rFonts w:hint="eastAsia" w:ascii="宋体" w:hAnsi="宋体" w:eastAsia="宋体" w:cs="宋体"/>
          <w:color w:val="auto"/>
          <w:sz w:val="18"/>
          <w:szCs w:val="21"/>
          <w:highlight w:val="none"/>
        </w:rPr>
      </w:pPr>
    </w:p>
    <w:p w14:paraId="39492656">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16"/>
          <w:highlight w:val="none"/>
        </w:rPr>
      </w:pPr>
      <w:r>
        <w:rPr>
          <w:rFonts w:hint="eastAsia" w:ascii="宋体" w:hAnsi="宋体" w:eastAsia="宋体" w:cs="宋体"/>
          <w:b/>
          <w:color w:val="auto"/>
          <w:szCs w:val="16"/>
          <w:highlight w:val="none"/>
        </w:rPr>
        <w:t>3.3初步评审</w:t>
      </w:r>
    </w:p>
    <w:p w14:paraId="637BA524">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16"/>
          <w:highlight w:val="none"/>
        </w:rPr>
      </w:pPr>
      <w:r>
        <w:rPr>
          <w:rFonts w:hint="eastAsia" w:ascii="宋体" w:hAnsi="宋体" w:eastAsia="宋体" w:cs="宋体"/>
          <w:color w:val="auto"/>
          <w:szCs w:val="16"/>
          <w:highlight w:val="none"/>
        </w:rPr>
        <w:t>评标委员会依据本章第2.1款规定的标准对投标文件进行初步评审。有一项不符合评审标准</w:t>
      </w:r>
      <w:r>
        <w:rPr>
          <w:rFonts w:hint="eastAsia" w:ascii="宋体" w:hAnsi="宋体" w:eastAsia="宋体" w:cs="宋体"/>
          <w:color w:val="auto"/>
          <w:szCs w:val="21"/>
          <w:highlight w:val="none"/>
        </w:rPr>
        <w:t>以及《</w:t>
      </w:r>
      <w:r>
        <w:rPr>
          <w:rFonts w:hint="eastAsia" w:ascii="宋体" w:hAnsi="宋体" w:eastAsia="宋体" w:cs="宋体"/>
          <w:bCs/>
          <w:color w:val="auto"/>
          <w:szCs w:val="21"/>
          <w:highlight w:val="none"/>
        </w:rPr>
        <w:t>投标文件否决性条款摘要》</w:t>
      </w:r>
      <w:r>
        <w:rPr>
          <w:rFonts w:hint="eastAsia" w:ascii="宋体" w:hAnsi="宋体" w:eastAsia="宋体" w:cs="宋体"/>
          <w:color w:val="auto"/>
          <w:szCs w:val="21"/>
          <w:highlight w:val="none"/>
        </w:rPr>
        <w:t>中集中列示</w:t>
      </w:r>
      <w:r>
        <w:rPr>
          <w:rFonts w:hint="eastAsia" w:ascii="宋体" w:hAnsi="宋体" w:eastAsia="宋体" w:cs="宋体"/>
          <w:color w:val="auto"/>
          <w:szCs w:val="16"/>
          <w:highlight w:val="none"/>
        </w:rPr>
        <w:t>情形的，评标委员会应当否决其投标。</w:t>
      </w:r>
    </w:p>
    <w:p w14:paraId="1ADF971B">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3.3.1形式评审</w:t>
      </w:r>
    </w:p>
    <w:p w14:paraId="692392F6">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评标委员会根据评标办法前附表中规定的评审因素和评审标准，对投标人的投标文件进行形式评审。</w:t>
      </w:r>
    </w:p>
    <w:p w14:paraId="736887D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3.3.2资格评审</w:t>
      </w:r>
    </w:p>
    <w:p w14:paraId="1E558B8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评标委员会根据评标办法前附表中的规定的评审因素和评审标准，对投标人的投标文件进行资格评审。</w:t>
      </w:r>
    </w:p>
    <w:p w14:paraId="016F8436">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3.3.3响应性评审</w:t>
      </w:r>
    </w:p>
    <w:p w14:paraId="1DDB8B3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3.3.3.1评标委员会根据评标办法前附表中规定的评审因素和评审标准，对投标人的投标文件进行响应性评审。</w:t>
      </w:r>
    </w:p>
    <w:p w14:paraId="0A38CCB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3.3.3.2投标人投标价格不得超出（不含等于）按照第三章“投标人须知”前附表载明的招标控制价（最高投标限价），凡投标人的投标价格超出招标控制价（最高投标限价）的，该投标人的投标文件不能通过响应性评审。</w:t>
      </w:r>
    </w:p>
    <w:p w14:paraId="7CCAA93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3.3.4算术错误修正</w:t>
      </w:r>
    </w:p>
    <w:p w14:paraId="2C81F32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投标报价有算术错误的，评标委员会按以下原则对投标报价进行修正，修正的价格经投标人书面确认后具有约束力。投标人不接受修正价格的，评标委员会应否决其投标。</w:t>
      </w:r>
    </w:p>
    <w:p w14:paraId="719E0B6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（1）投标文件中的大写金额与小写金额不一致的，以大写金额为准；</w:t>
      </w:r>
    </w:p>
    <w:p w14:paraId="7DF3B5C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金额与依据单价（或费率或折率）计算出的结果不一致的，以单价金额（或费率或折率）为准修正总价，但单价金额（或费率或折率）小数点有明显错误的除外；如果单价金额（或费率或折率）小数点有明显错误，应以总价为准修正单价（或费率或折率）。</w:t>
      </w:r>
    </w:p>
    <w:p w14:paraId="74A8780D">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3.3.5澄清、说明或补正</w:t>
      </w:r>
    </w:p>
    <w:p w14:paraId="1C7F1B6A">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初步评审过程中，评标委员会应当就投标文件中含义不明确、对同类问题表述不一致或者有明显文字和计算错误的内容要求投标人进行澄清、说明或者补正。投标人应当根据问题澄清通知要求，以书面形式予以澄清、说明或者补正。</w:t>
      </w:r>
    </w:p>
    <w:p w14:paraId="24AFBD5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52170143">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16"/>
          <w:highlight w:val="none"/>
        </w:rPr>
      </w:pPr>
      <w:r>
        <w:rPr>
          <w:rFonts w:hint="eastAsia" w:ascii="宋体" w:hAnsi="宋体" w:eastAsia="宋体" w:cs="宋体"/>
          <w:b/>
          <w:color w:val="auto"/>
          <w:szCs w:val="16"/>
          <w:highlight w:val="none"/>
        </w:rPr>
        <w:t>3.4详细评审</w:t>
      </w:r>
      <w:r>
        <w:rPr>
          <w:rFonts w:hint="eastAsia" w:ascii="宋体" w:hAnsi="宋体" w:eastAsia="宋体" w:cs="宋体"/>
          <w:b/>
          <w:bCs/>
          <w:color w:val="auto"/>
          <w:szCs w:val="21"/>
          <w:highlight w:val="none"/>
        </w:rPr>
        <w:t>（适用于综合评估法和评标定标分离法（定量评审））</w:t>
      </w:r>
    </w:p>
    <w:p w14:paraId="63C0EF3B">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 w:val="18"/>
          <w:szCs w:val="21"/>
          <w:highlight w:val="none"/>
        </w:rPr>
      </w:pPr>
      <w:r>
        <w:rPr>
          <w:rFonts w:hint="eastAsia" w:ascii="宋体" w:hAnsi="宋体" w:eastAsia="宋体" w:cs="宋体"/>
          <w:color w:val="auto"/>
          <w:szCs w:val="21"/>
          <w:highlight w:val="none"/>
        </w:rPr>
        <w:t>3.4.1只有通过了初步评审、被判定为合格的投标人可进入详细评审。</w:t>
      </w:r>
    </w:p>
    <w:p w14:paraId="4FDF0832">
      <w:pPr>
        <w:pageBreakBefore w:val="0"/>
        <w:kinsoku/>
        <w:overflowPunct/>
        <w:bidi w:val="0"/>
        <w:spacing w:beforeLines="0" w:afterLines="0" w:line="360" w:lineRule="auto"/>
        <w:ind w:left="0" w:leftChars="0" w:right="0"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3.4.2评标委员会根据评标办法前附表中规定的评审因素、评分标准和要求，进行第一阶段评审和第二阶段评审。</w:t>
      </w:r>
    </w:p>
    <w:p w14:paraId="077B8E7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 w:val="18"/>
          <w:szCs w:val="21"/>
          <w:highlight w:val="none"/>
        </w:rPr>
      </w:pPr>
      <w:r>
        <w:rPr>
          <w:rFonts w:hint="eastAsia" w:ascii="宋体" w:hAnsi="宋体" w:eastAsia="宋体" w:cs="宋体"/>
          <w:color w:val="auto"/>
          <w:szCs w:val="21"/>
          <w:highlight w:val="none"/>
        </w:rPr>
        <w:t>3.4.3超过半数的评标委员会成员认为投标人的报价可能低于其成本的，评标委员会应当要求该投标人在指定时间内书面说明，并提供相关证明材料。投标人拒绝书面说明、不能提供相关证明材料或者理由不充分的，评标委员会应当认定该投标人以低于成本报价竞标，否决其投标。</w:t>
      </w:r>
    </w:p>
    <w:p w14:paraId="76F0E37B">
      <w:pPr>
        <w:pageBreakBefore w:val="0"/>
        <w:kinsoku/>
        <w:overflowPunct/>
        <w:bidi w:val="0"/>
        <w:spacing w:beforeLines="0" w:afterLines="0" w:line="360" w:lineRule="auto"/>
        <w:ind w:left="0" w:leftChars="0" w:right="0"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3.4.4汇总技术标、资信标、经济标的综合得分。</w:t>
      </w:r>
    </w:p>
    <w:p w14:paraId="1482466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3.4.5澄清、说明或补正</w:t>
      </w:r>
    </w:p>
    <w:p w14:paraId="187FA2AD">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3.4.5.1在详细评审过程中，评标委员会可以书面形式要求投标人对所提交的投标文件中含义不明确、对同类问题表述不一致或者有明显文字和计算错误的内容进行书面澄清或说明，或者对细微偏差进行补正。评标委员会不接受投标人主动提出的澄清、说明或补正。</w:t>
      </w:r>
    </w:p>
    <w:p w14:paraId="18F35FD3">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3.4.5.2澄清、说明和补正不得改变投标文件的实质性内容（算术性错误修正的除外）。</w:t>
      </w:r>
    </w:p>
    <w:p w14:paraId="6D6D3D5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投标人的书面澄清、说明和补正属于投标文件的组成部分。</w:t>
      </w:r>
    </w:p>
    <w:p w14:paraId="2327F75D">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3.4.5.3评标委员会对投标人提交的澄清、说明或补正有疑问的，可以要求投标人进一步澄清、说明或补正，直至满足评标委员会的要求。</w:t>
      </w:r>
    </w:p>
    <w:p w14:paraId="14654EDF">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16"/>
          <w:highlight w:val="none"/>
        </w:rPr>
      </w:pPr>
    </w:p>
    <w:p w14:paraId="343069F4">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16"/>
          <w:highlight w:val="none"/>
        </w:rPr>
      </w:pPr>
      <w:r>
        <w:rPr>
          <w:rFonts w:hint="eastAsia" w:ascii="宋体" w:hAnsi="宋体" w:eastAsia="宋体" w:cs="宋体"/>
          <w:b/>
          <w:color w:val="auto"/>
          <w:szCs w:val="16"/>
          <w:highlight w:val="none"/>
        </w:rPr>
        <w:t>3.5推荐中标候选人/定标候选人</w:t>
      </w:r>
    </w:p>
    <w:p w14:paraId="4F81CFD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☑评标委员会对满足招标文件实质要求的投标文件，按照详细评审最终得分由高至低的次序对投标人进行排序，推荐中标候选人。</w:t>
      </w:r>
      <w:r>
        <w:rPr>
          <w:rFonts w:hint="eastAsia" w:ascii="宋体" w:hAnsi="宋体" w:eastAsia="宋体" w:cs="宋体"/>
          <w:b/>
          <w:bCs/>
          <w:color w:val="auto"/>
          <w:szCs w:val="21"/>
          <w:highlight w:val="none"/>
        </w:rPr>
        <w:t>（适用于综合评估法）</w:t>
      </w:r>
    </w:p>
    <w:p w14:paraId="3AEC37FE">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16"/>
          <w:highlight w:val="none"/>
        </w:rPr>
      </w:pPr>
    </w:p>
    <w:p w14:paraId="00ACD672">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16"/>
          <w:highlight w:val="none"/>
        </w:rPr>
      </w:pPr>
      <w:r>
        <w:rPr>
          <w:rFonts w:hint="eastAsia" w:ascii="宋体" w:hAnsi="宋体" w:eastAsia="宋体" w:cs="宋体"/>
          <w:b/>
          <w:color w:val="auto"/>
          <w:szCs w:val="16"/>
          <w:highlight w:val="none"/>
        </w:rPr>
        <w:t>3.6编制并提交评标报告</w:t>
      </w:r>
    </w:p>
    <w:p w14:paraId="2D159DEC">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评标委员会在评审结束后向招标人提交评标报告。评标报告应当由全体评标委员会成员签字。评标报告应当包括以下内容：</w:t>
      </w:r>
    </w:p>
    <w:p w14:paraId="12BCDFBE">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4D795032">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2C60499E">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7D4FA2AE">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（4）符合要求的投标一览表；</w:t>
      </w:r>
    </w:p>
    <w:p w14:paraId="78A5934C">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（5）否决投标情况说明；</w:t>
      </w:r>
    </w:p>
    <w:p w14:paraId="38622C7C">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（6）评标标准、评标方法或者评标因素一览表；</w:t>
      </w:r>
    </w:p>
    <w:p w14:paraId="3A0B94D4">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（7）经评审的价格一览表（包括评标委员会在评标过程中所形成的所有记载评标结果、结论的表格、说明、记录等文件）；</w:t>
      </w:r>
    </w:p>
    <w:p w14:paraId="1ACD744B">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（8）经评审的投标人排序；</w:t>
      </w:r>
    </w:p>
    <w:p w14:paraId="26DBC566">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（9）推荐的中标候选人名单/定标候选人名单；</w:t>
      </w:r>
    </w:p>
    <w:p w14:paraId="7E3F1F5B">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（10）澄清、说明、补正事项纪要；</w:t>
      </w:r>
    </w:p>
    <w:p w14:paraId="34C8869D">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（11）其他需要说明的情况。</w:t>
      </w:r>
    </w:p>
    <w:p w14:paraId="036B5856">
      <w:pPr>
        <w:pageBreakBefore w:val="0"/>
        <w:kinsoku/>
        <w:overflowPunct/>
        <w:bidi w:val="0"/>
        <w:adjustRightInd w:val="0"/>
        <w:snapToGrid w:val="0"/>
        <w:spacing w:beforeLines="0" w:afterLines="0" w:line="360" w:lineRule="auto"/>
        <w:ind w:left="0" w:leftChars="0" w:right="0" w:firstLine="422" w:firstLineChars="200"/>
        <w:rPr>
          <w:rFonts w:hint="eastAsia" w:ascii="宋体" w:hAnsi="宋体" w:eastAsia="宋体" w:cs="宋体"/>
          <w:b/>
          <w:color w:val="auto"/>
          <w:szCs w:val="21"/>
          <w:highlight w:val="none"/>
        </w:rPr>
      </w:pPr>
    </w:p>
    <w:p w14:paraId="2B31545E">
      <w:pPr>
        <w:pageBreakBefore w:val="0"/>
        <w:kinsoku/>
        <w:overflowPunct/>
        <w:bidi w:val="0"/>
        <w:spacing w:beforeLines="0" w:afterLines="0" w:line="360" w:lineRule="auto"/>
        <w:ind w:left="0" w:leftChars="0" w:right="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4.特殊情况的处置程序</w:t>
      </w:r>
    </w:p>
    <w:p w14:paraId="1CED5D9F">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16"/>
          <w:highlight w:val="none"/>
        </w:rPr>
      </w:pPr>
      <w:r>
        <w:rPr>
          <w:rFonts w:hint="eastAsia" w:ascii="宋体" w:hAnsi="宋体" w:eastAsia="宋体" w:cs="宋体"/>
          <w:b/>
          <w:color w:val="auto"/>
          <w:szCs w:val="16"/>
          <w:highlight w:val="none"/>
        </w:rPr>
        <w:t>4.1关于评标活动暂停</w:t>
      </w:r>
    </w:p>
    <w:p w14:paraId="1F8B11B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4.1.1评标委员会应当执行连续评标的原则，按评标办法中规定的程序、内容、方法、标准完成全部评标工作。只有发生不可抗力导致评标工作无法继续时，评标活动方可暂停。</w:t>
      </w:r>
    </w:p>
    <w:p w14:paraId="3EE8283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4.1.2发生评标暂停情况时，评标委员会应当封存全部投标文件和评标记录，待不可抗力的影响结束且具备继续评标的条件时，由原评标委员会继续评标。</w:t>
      </w:r>
    </w:p>
    <w:p w14:paraId="723223E4">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07AB5674">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16"/>
          <w:highlight w:val="none"/>
        </w:rPr>
      </w:pPr>
      <w:r>
        <w:rPr>
          <w:rFonts w:hint="eastAsia" w:ascii="宋体" w:hAnsi="宋体" w:eastAsia="宋体" w:cs="宋体"/>
          <w:b/>
          <w:color w:val="auto"/>
          <w:szCs w:val="16"/>
          <w:highlight w:val="none"/>
        </w:rPr>
        <w:t>4.2关于评标中途更换评委</w:t>
      </w:r>
    </w:p>
    <w:p w14:paraId="57DBDC8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4.2.1除非发生下列情况之一，评标委员会成员不得在评标中途更换：</w:t>
      </w:r>
    </w:p>
    <w:p w14:paraId="388BF73C">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（1）评标委员会成员有回避事由、擅离职守或者因健康等原因不能继续评标的。</w:t>
      </w:r>
    </w:p>
    <w:p w14:paraId="69F6DD67">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（2）评标委员会成员存在与投标人有利害关系以及其他可能影响公正评标的情况，并已经进入评标的。</w:t>
      </w:r>
    </w:p>
    <w:p w14:paraId="5F1072B4">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bookmarkStart w:id="103" w:name="_Toc24683"/>
      <w:bookmarkStart w:id="104" w:name="_Toc5117"/>
      <w:bookmarkStart w:id="105" w:name="_Toc5676"/>
      <w:bookmarkStart w:id="106" w:name="_Toc1876"/>
      <w:bookmarkStart w:id="107" w:name="_Toc9869"/>
      <w:r>
        <w:rPr>
          <w:rFonts w:hint="eastAsia" w:ascii="宋体" w:hAnsi="宋体" w:eastAsia="宋体" w:cs="宋体"/>
          <w:color w:val="auto"/>
          <w:szCs w:val="21"/>
          <w:highlight w:val="none"/>
        </w:rPr>
        <w:t>4.2.2被更换的评标委员会成员作出的评审结论无效，由更换后的评标委员会成员重新进行评审。</w:t>
      </w:r>
      <w:bookmarkEnd w:id="103"/>
      <w:bookmarkEnd w:id="104"/>
      <w:bookmarkEnd w:id="105"/>
      <w:bookmarkEnd w:id="106"/>
      <w:bookmarkEnd w:id="107"/>
    </w:p>
    <w:p w14:paraId="0CB655BD">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3565863D">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16"/>
          <w:highlight w:val="none"/>
        </w:rPr>
      </w:pPr>
      <w:r>
        <w:rPr>
          <w:rFonts w:hint="eastAsia" w:ascii="宋体" w:hAnsi="宋体" w:eastAsia="宋体" w:cs="宋体"/>
          <w:b/>
          <w:color w:val="auto"/>
          <w:szCs w:val="16"/>
          <w:highlight w:val="none"/>
        </w:rPr>
        <w:t>4.3记名投票</w:t>
      </w:r>
    </w:p>
    <w:p w14:paraId="32FE8A79">
      <w:pPr>
        <w:pageBreakBefore w:val="0"/>
        <w:kinsoku/>
        <w:overflowPunct/>
        <w:bidi w:val="0"/>
        <w:adjustRightInd w:val="0"/>
        <w:snapToGrid w:val="0"/>
        <w:spacing w:beforeLines="0" w:afterLines="0" w:line="360" w:lineRule="auto"/>
        <w:ind w:left="0" w:leftChars="0" w:right="0" w:firstLine="420" w:firstLineChars="200"/>
        <w:rPr>
          <w:rFonts w:hint="eastAsia" w:ascii="宋体" w:hAnsi="宋体" w:eastAsia="宋体" w:cs="宋体"/>
          <w:color w:val="auto"/>
          <w:szCs w:val="21"/>
          <w:highlight w:val="none"/>
        </w:rPr>
      </w:pPr>
      <w:bookmarkStart w:id="108" w:name="_Toc22161"/>
      <w:bookmarkStart w:id="109" w:name="_Toc8564"/>
      <w:bookmarkStart w:id="110" w:name="_Toc19463"/>
      <w:bookmarkStart w:id="111" w:name="_Toc18449"/>
      <w:bookmarkStart w:id="112" w:name="_Toc14738"/>
      <w:r>
        <w:rPr>
          <w:rFonts w:hint="eastAsia" w:ascii="宋体" w:hAnsi="宋体" w:eastAsia="宋体" w:cs="宋体"/>
          <w:color w:val="auto"/>
          <w:szCs w:val="21"/>
          <w:highlight w:val="none"/>
        </w:rPr>
        <w:t>在任何评标环节中，需评标委员会就某项评审结论作出表决的，由评标委员会全体成员按照少数服从多数的原则，以记名投票方式表决。</w:t>
      </w:r>
      <w:bookmarkEnd w:id="108"/>
      <w:bookmarkEnd w:id="109"/>
      <w:bookmarkEnd w:id="110"/>
      <w:bookmarkEnd w:id="111"/>
      <w:bookmarkEnd w:id="112"/>
    </w:p>
    <w:p w14:paraId="13CA54D4">
      <w:pPr>
        <w:pageBreakBefore w:val="0"/>
        <w:kinsoku/>
        <w:overflowPunct/>
        <w:bidi w:val="0"/>
        <w:adjustRightInd/>
        <w:snapToGrid/>
        <w:spacing w:beforeLines="0" w:afterLines="0" w:line="360" w:lineRule="auto"/>
        <w:ind w:left="0" w:leftChars="0" w:right="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bookmarkEnd w:id="96"/>
    <w:p w14:paraId="37EBA629">
      <w:pPr>
        <w:pageBreakBefore w:val="0"/>
        <w:kinsoku/>
        <w:overflowPunct/>
        <w:bidi w:val="0"/>
        <w:spacing w:beforeLines="0" w:afterLines="0" w:line="360" w:lineRule="auto"/>
        <w:ind w:left="0" w:leftChars="0" w:right="0"/>
        <w:jc w:val="center"/>
        <w:outlineLvl w:val="0"/>
        <w:rPr>
          <w:rFonts w:hint="eastAsia" w:ascii="宋体" w:hAnsi="宋体" w:eastAsia="宋体" w:cs="宋体"/>
          <w:b/>
          <w:bCs/>
          <w:color w:val="auto"/>
          <w:kern w:val="32"/>
          <w:sz w:val="28"/>
          <w:szCs w:val="40"/>
          <w:highlight w:val="none"/>
        </w:rPr>
      </w:pPr>
      <w:bookmarkStart w:id="113" w:name="_Toc5741"/>
      <w:bookmarkStart w:id="114" w:name="_Toc359208501"/>
      <w:bookmarkStart w:id="115" w:name="_Toc152045609"/>
      <w:bookmarkStart w:id="116" w:name="_Toc152042387"/>
      <w:bookmarkStart w:id="117" w:name="_Toc25300"/>
      <w:bookmarkStart w:id="118" w:name="_Toc18606"/>
      <w:bookmarkStart w:id="119" w:name="_Toc144974577"/>
      <w:bookmarkStart w:id="120" w:name="_Toc15608"/>
      <w:bookmarkStart w:id="121" w:name="_Toc4611"/>
      <w:bookmarkStart w:id="122" w:name="_Toc28114"/>
      <w:bookmarkStart w:id="123" w:name="_Toc5071"/>
      <w:bookmarkStart w:id="124" w:name="_Toc879634529"/>
      <w:bookmarkStart w:id="125" w:name="_Toc15380"/>
      <w:bookmarkStart w:id="126" w:name="_Toc978212353"/>
      <w:bookmarkStart w:id="127" w:name="_Toc28857"/>
      <w:bookmarkStart w:id="128" w:name="_Toc437961061"/>
      <w:r>
        <w:rPr>
          <w:rFonts w:hint="eastAsia" w:ascii="宋体" w:hAnsi="宋体" w:eastAsia="宋体" w:cs="宋体"/>
          <w:b/>
          <w:bCs/>
          <w:color w:val="auto"/>
          <w:kern w:val="32"/>
          <w:sz w:val="28"/>
          <w:szCs w:val="40"/>
          <w:highlight w:val="none"/>
        </w:rPr>
        <w:t>第五章合同条款及格式</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DA4D93A">
      <w:pPr>
        <w:pageBreakBefore w:val="0"/>
        <w:kinsoku/>
        <w:overflowPunct/>
        <w:bidi w:val="0"/>
        <w:spacing w:beforeLines="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2FE1404">
      <w:pPr>
        <w:pageBreakBefore w:val="0"/>
        <w:kinsoku/>
        <w:wordWrap w:val="0"/>
        <w:overflowPunct/>
        <w:bidi w:val="0"/>
        <w:adjustRightInd w:val="0"/>
        <w:snapToGrid w:val="0"/>
        <w:spacing w:beforeLines="0" w:afterLines="0" w:line="360" w:lineRule="auto"/>
        <w:ind w:left="0" w:leftChars="0" w:right="0" w:rightChars="0"/>
        <w:jc w:val="right"/>
        <w:rPr>
          <w:rFonts w:hint="eastAsia" w:ascii="宋体" w:hAnsi="宋体" w:eastAsia="宋体" w:cs="宋体"/>
          <w:b/>
          <w:bCs/>
          <w:color w:val="auto"/>
          <w:sz w:val="28"/>
          <w:highlight w:val="none"/>
          <w:lang w:val="en-US" w:eastAsia="zh-CN"/>
        </w:rPr>
      </w:pPr>
      <w:r>
        <w:rPr>
          <w:rFonts w:hint="eastAsia" w:ascii="宋体" w:hAnsi="宋体" w:eastAsia="宋体" w:cs="宋体"/>
          <w:b/>
          <w:bCs/>
          <w:color w:val="auto"/>
          <w:sz w:val="28"/>
          <w:highlight w:val="none"/>
          <w:lang w:val="en-US" w:eastAsia="zh-CN"/>
        </w:rPr>
        <w:t xml:space="preserve"> 委托人</w:t>
      </w:r>
      <w:r>
        <w:rPr>
          <w:rFonts w:hint="eastAsia" w:ascii="宋体" w:hAnsi="宋体" w:eastAsia="宋体" w:cs="宋体"/>
          <w:b/>
          <w:bCs/>
          <w:color w:val="auto"/>
          <w:sz w:val="28"/>
          <w:highlight w:val="none"/>
        </w:rPr>
        <w:t>合同编号：</w:t>
      </w:r>
      <w:r>
        <w:rPr>
          <w:rFonts w:hint="eastAsia" w:ascii="宋体" w:hAnsi="宋体" w:eastAsia="宋体" w:cs="宋体"/>
          <w:color w:val="auto"/>
          <w:sz w:val="24"/>
          <w:szCs w:val="24"/>
          <w:highlight w:val="none"/>
          <w:u w:val="single"/>
          <w:vertAlign w:val="baseline"/>
          <w:lang w:val="en-US" w:eastAsia="zh-CN"/>
        </w:rPr>
        <w:t xml:space="preserve">              </w:t>
      </w:r>
    </w:p>
    <w:p w14:paraId="4A07BD9E">
      <w:pPr>
        <w:pageBreakBefore w:val="0"/>
        <w:kinsoku/>
        <w:wordWrap w:val="0"/>
        <w:overflowPunct/>
        <w:bidi w:val="0"/>
        <w:adjustRightInd w:val="0"/>
        <w:snapToGrid w:val="0"/>
        <w:spacing w:beforeLines="0" w:afterLines="0" w:line="360" w:lineRule="auto"/>
        <w:ind w:left="0" w:leftChars="0" w:right="0" w:rightChars="0"/>
        <w:jc w:val="right"/>
        <w:rPr>
          <w:rFonts w:hint="eastAsia" w:ascii="宋体" w:hAnsi="宋体" w:eastAsia="宋体" w:cs="宋体"/>
          <w:b/>
          <w:bCs/>
          <w:color w:val="auto"/>
          <w:sz w:val="28"/>
          <w:highlight w:val="none"/>
          <w:u w:val="single"/>
          <w:lang w:val="en-US" w:eastAsia="zh-CN"/>
        </w:rPr>
      </w:pPr>
      <w:r>
        <w:rPr>
          <w:rFonts w:hint="eastAsia" w:ascii="宋体" w:hAnsi="宋体" w:eastAsia="宋体" w:cs="宋体"/>
          <w:b/>
          <w:bCs/>
          <w:color w:val="auto"/>
          <w:sz w:val="28"/>
          <w:highlight w:val="none"/>
          <w:lang w:val="en-US" w:eastAsia="zh-CN"/>
        </w:rPr>
        <w:t>出资人</w:t>
      </w:r>
      <w:r>
        <w:rPr>
          <w:rFonts w:hint="eastAsia" w:ascii="宋体" w:hAnsi="宋体" w:eastAsia="宋体" w:cs="宋体"/>
          <w:b/>
          <w:bCs/>
          <w:color w:val="auto"/>
          <w:sz w:val="28"/>
          <w:highlight w:val="none"/>
        </w:rPr>
        <w:t>合同编号：</w:t>
      </w:r>
      <w:r>
        <w:rPr>
          <w:rFonts w:hint="eastAsia" w:ascii="宋体" w:hAnsi="宋体" w:eastAsia="宋体" w:cs="宋体"/>
          <w:color w:val="auto"/>
          <w:sz w:val="24"/>
          <w:szCs w:val="24"/>
          <w:highlight w:val="none"/>
          <w:u w:val="single"/>
          <w:vertAlign w:val="baseline"/>
          <w:lang w:val="en-US" w:eastAsia="zh-CN"/>
        </w:rPr>
        <w:t xml:space="preserve">              </w:t>
      </w:r>
    </w:p>
    <w:p w14:paraId="1DBC1D96">
      <w:pPr>
        <w:pStyle w:val="2"/>
        <w:pageBreakBefore w:val="0"/>
        <w:kinsoku/>
        <w:overflowPunct/>
        <w:bidi w:val="0"/>
        <w:spacing w:beforeLines="0" w:afterLines="0" w:line="360" w:lineRule="auto"/>
        <w:ind w:left="0" w:leftChars="0" w:right="0"/>
        <w:rPr>
          <w:rFonts w:hint="eastAsia" w:ascii="宋体" w:hAnsi="宋体" w:eastAsia="宋体" w:cs="宋体"/>
          <w:b/>
          <w:bCs/>
          <w:color w:val="auto"/>
          <w:sz w:val="28"/>
          <w:highlight w:val="none"/>
          <w:lang w:val="en-US" w:eastAsia="zh-CN"/>
        </w:rPr>
      </w:pPr>
    </w:p>
    <w:p w14:paraId="0485AC59">
      <w:pPr>
        <w:pStyle w:val="3"/>
        <w:pageBreakBefore w:val="0"/>
        <w:kinsoku/>
        <w:overflowPunct/>
        <w:bidi w:val="0"/>
        <w:spacing w:beforeLines="0" w:afterLines="0" w:line="360" w:lineRule="auto"/>
        <w:ind w:left="0" w:leftChars="0" w:right="0"/>
        <w:rPr>
          <w:rFonts w:hint="eastAsia" w:ascii="宋体" w:hAnsi="宋体" w:eastAsia="宋体" w:cs="宋体"/>
          <w:b/>
          <w:bCs/>
          <w:color w:val="auto"/>
          <w:sz w:val="28"/>
          <w:highlight w:val="none"/>
          <w:lang w:val="en-US" w:eastAsia="zh-CN"/>
        </w:rPr>
      </w:pPr>
    </w:p>
    <w:p w14:paraId="73CB0B59">
      <w:pPr>
        <w:pStyle w:val="2"/>
        <w:pageBreakBefore w:val="0"/>
        <w:kinsoku/>
        <w:overflowPunct/>
        <w:bidi w:val="0"/>
        <w:spacing w:beforeLines="0" w:afterLines="0" w:line="360" w:lineRule="auto"/>
        <w:ind w:left="0" w:leftChars="0" w:right="0"/>
        <w:rPr>
          <w:rFonts w:hint="eastAsia" w:ascii="宋体" w:hAnsi="宋体" w:eastAsia="宋体" w:cs="宋体"/>
          <w:color w:val="auto"/>
          <w:highlight w:val="none"/>
        </w:rPr>
      </w:pPr>
    </w:p>
    <w:p w14:paraId="54FD18BD">
      <w:pPr>
        <w:pStyle w:val="2"/>
        <w:pageBreakBefore w:val="0"/>
        <w:kinsoku/>
        <w:overflowPunct/>
        <w:bidi w:val="0"/>
        <w:spacing w:beforeLines="0" w:afterLines="0" w:line="360" w:lineRule="auto"/>
        <w:ind w:left="0" w:leftChars="0" w:right="0"/>
        <w:rPr>
          <w:rFonts w:hint="eastAsia" w:ascii="宋体" w:hAnsi="宋体" w:eastAsia="宋体" w:cs="宋体"/>
          <w:color w:val="auto"/>
          <w:sz w:val="28"/>
          <w:highlight w:val="none"/>
        </w:rPr>
      </w:pPr>
    </w:p>
    <w:p w14:paraId="6E5F5666">
      <w:pPr>
        <w:pStyle w:val="2"/>
        <w:pageBreakBefore w:val="0"/>
        <w:kinsoku/>
        <w:overflowPunct/>
        <w:bidi w:val="0"/>
        <w:spacing w:beforeLines="0" w:afterLines="0" w:line="360" w:lineRule="auto"/>
        <w:ind w:left="0" w:leftChars="0" w:right="0"/>
        <w:rPr>
          <w:rFonts w:hint="eastAsia" w:ascii="宋体" w:hAnsi="宋体" w:eastAsia="宋体" w:cs="宋体"/>
          <w:color w:val="auto"/>
          <w:highlight w:val="none"/>
        </w:rPr>
      </w:pPr>
    </w:p>
    <w:p w14:paraId="7D308B35">
      <w:pPr>
        <w:pageBreakBefore w:val="0"/>
        <w:kinsoku/>
        <w:overflowPunct/>
        <w:bidi w:val="0"/>
        <w:adjustRightInd w:val="0"/>
        <w:snapToGrid w:val="0"/>
        <w:spacing w:beforeLines="0" w:afterLines="0" w:line="360" w:lineRule="auto"/>
        <w:ind w:left="0" w:leftChars="0" w:right="0"/>
        <w:rPr>
          <w:rFonts w:hint="eastAsia" w:ascii="宋体" w:hAnsi="宋体" w:eastAsia="宋体" w:cs="宋体"/>
          <w:color w:val="auto"/>
          <w:sz w:val="28"/>
          <w:highlight w:val="none"/>
        </w:rPr>
      </w:pPr>
    </w:p>
    <w:p w14:paraId="54AFC3C1">
      <w:pPr>
        <w:pageBreakBefore w:val="0"/>
        <w:kinsoku/>
        <w:overflowPunct/>
        <w:bidi w:val="0"/>
        <w:spacing w:beforeLines="0" w:afterLines="0" w:line="360" w:lineRule="auto"/>
        <w:ind w:left="0" w:leftChars="0" w:right="0" w:firstLine="0" w:firstLineChars="0"/>
        <w:jc w:val="center"/>
        <w:rPr>
          <w:rFonts w:hint="eastAsia" w:ascii="宋体" w:hAnsi="宋体" w:eastAsia="宋体" w:cs="宋体"/>
          <w:color w:val="auto"/>
          <w:highlight w:val="none"/>
          <w:lang w:eastAsia="zh-CN"/>
        </w:rPr>
      </w:pPr>
      <w:r>
        <w:rPr>
          <w:rFonts w:hint="eastAsia" w:ascii="宋体" w:hAnsi="宋体" w:eastAsia="宋体" w:cs="宋体"/>
          <w:b/>
          <w:color w:val="auto"/>
          <w:sz w:val="72"/>
          <w:szCs w:val="72"/>
          <w:highlight w:val="none"/>
        </w:rPr>
        <w:t>建设工程造价咨询合同</w:t>
      </w:r>
    </w:p>
    <w:p w14:paraId="3F386547">
      <w:pPr>
        <w:pageBreakBefore w:val="0"/>
        <w:kinsoku/>
        <w:overflowPunct/>
        <w:bidi w:val="0"/>
        <w:spacing w:beforeLines="0" w:afterLines="0" w:line="360" w:lineRule="auto"/>
        <w:ind w:left="0" w:leftChars="0" w:right="0"/>
        <w:jc w:val="center"/>
        <w:rPr>
          <w:rFonts w:hint="eastAsia" w:ascii="宋体" w:hAnsi="宋体" w:eastAsia="宋体" w:cs="宋体"/>
          <w:color w:val="auto"/>
          <w:kern w:val="0"/>
          <w:sz w:val="28"/>
          <w:szCs w:val="28"/>
          <w:highlight w:val="none"/>
          <w:u w:val="single"/>
          <w:lang w:eastAsia="zh-CN"/>
        </w:rPr>
      </w:pPr>
    </w:p>
    <w:p w14:paraId="18E8E704">
      <w:pPr>
        <w:pStyle w:val="2"/>
        <w:pageBreakBefore w:val="0"/>
        <w:kinsoku/>
        <w:overflowPunct/>
        <w:bidi w:val="0"/>
        <w:spacing w:beforeLines="0" w:afterLines="0" w:line="360" w:lineRule="auto"/>
        <w:ind w:left="0" w:leftChars="0" w:right="0"/>
        <w:rPr>
          <w:rFonts w:hint="eastAsia" w:ascii="宋体" w:hAnsi="宋体" w:eastAsia="宋体" w:cs="宋体"/>
          <w:color w:val="auto"/>
          <w:kern w:val="0"/>
          <w:sz w:val="28"/>
          <w:szCs w:val="28"/>
          <w:highlight w:val="none"/>
          <w:u w:val="single"/>
          <w:lang w:eastAsia="zh-CN"/>
        </w:rPr>
      </w:pPr>
    </w:p>
    <w:p w14:paraId="121B394C">
      <w:pPr>
        <w:pStyle w:val="3"/>
        <w:pageBreakBefore w:val="0"/>
        <w:kinsoku/>
        <w:overflowPunct/>
        <w:bidi w:val="0"/>
        <w:spacing w:beforeLines="0" w:afterLines="0" w:line="360" w:lineRule="auto"/>
        <w:ind w:left="0" w:leftChars="0" w:right="0"/>
        <w:rPr>
          <w:rFonts w:hint="eastAsia" w:ascii="宋体" w:hAnsi="宋体" w:eastAsia="宋体" w:cs="宋体"/>
          <w:color w:val="auto"/>
          <w:highlight w:val="none"/>
          <w:lang w:eastAsia="zh-CN"/>
        </w:rPr>
      </w:pPr>
    </w:p>
    <w:p w14:paraId="70C8AC59">
      <w:pPr>
        <w:pStyle w:val="3"/>
        <w:pageBreakBefore w:val="0"/>
        <w:kinsoku/>
        <w:overflowPunct/>
        <w:bidi w:val="0"/>
        <w:spacing w:beforeLines="0" w:afterLines="0" w:line="360" w:lineRule="auto"/>
        <w:ind w:left="0" w:leftChars="0" w:right="0"/>
        <w:rPr>
          <w:rFonts w:hint="eastAsia" w:ascii="宋体" w:hAnsi="宋体" w:eastAsia="宋体" w:cs="宋体"/>
          <w:color w:val="auto"/>
          <w:kern w:val="0"/>
          <w:sz w:val="28"/>
          <w:szCs w:val="28"/>
          <w:highlight w:val="none"/>
          <w:u w:val="single"/>
          <w:lang w:eastAsia="zh-CN"/>
        </w:rPr>
      </w:pPr>
    </w:p>
    <w:p w14:paraId="0D9B799A">
      <w:pPr>
        <w:pStyle w:val="2"/>
        <w:pageBreakBefore w:val="0"/>
        <w:kinsoku/>
        <w:overflowPunct/>
        <w:bidi w:val="0"/>
        <w:spacing w:beforeLines="0" w:afterLines="0" w:line="360" w:lineRule="auto"/>
        <w:ind w:left="0" w:leftChars="0" w:right="0"/>
        <w:rPr>
          <w:rFonts w:hint="eastAsia" w:ascii="宋体" w:hAnsi="宋体" w:eastAsia="宋体" w:cs="宋体"/>
          <w:color w:val="auto"/>
          <w:kern w:val="0"/>
          <w:sz w:val="28"/>
          <w:szCs w:val="28"/>
          <w:highlight w:val="none"/>
          <w:u w:val="single"/>
          <w:lang w:eastAsia="zh-CN"/>
        </w:rPr>
      </w:pPr>
    </w:p>
    <w:p w14:paraId="3739B70A">
      <w:pPr>
        <w:pStyle w:val="3"/>
        <w:pageBreakBefore w:val="0"/>
        <w:kinsoku/>
        <w:overflowPunct/>
        <w:bidi w:val="0"/>
        <w:spacing w:beforeLines="0" w:afterLines="0" w:line="360" w:lineRule="auto"/>
        <w:ind w:left="0" w:leftChars="0" w:right="0"/>
        <w:rPr>
          <w:rFonts w:hint="eastAsia" w:ascii="宋体" w:hAnsi="宋体" w:eastAsia="宋体" w:cs="宋体"/>
          <w:color w:val="auto"/>
          <w:kern w:val="0"/>
          <w:sz w:val="28"/>
          <w:szCs w:val="28"/>
          <w:highlight w:val="none"/>
          <w:u w:val="single"/>
          <w:lang w:eastAsia="zh-CN"/>
        </w:rPr>
      </w:pPr>
    </w:p>
    <w:p w14:paraId="290EF058">
      <w:pPr>
        <w:pageBreakBefore w:val="0"/>
        <w:kinsoku/>
        <w:overflowPunct/>
        <w:bidi w:val="0"/>
        <w:spacing w:beforeLines="0" w:afterLines="0" w:line="360" w:lineRule="auto"/>
        <w:ind w:left="0" w:leftChars="0" w:right="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项目名称：</w:t>
      </w:r>
      <w:r>
        <w:rPr>
          <w:rFonts w:hint="eastAsia" w:ascii="宋体" w:hAnsi="宋体" w:eastAsia="宋体" w:cs="宋体"/>
          <w:b/>
          <w:color w:val="auto"/>
          <w:sz w:val="30"/>
          <w:szCs w:val="30"/>
          <w:highlight w:val="none"/>
          <w:lang w:eastAsia="zh-CN"/>
        </w:rPr>
        <w:t>粤港澳大湾区—佛山市南海区电力管廊（一期）项目—佛山220千伏沥中输变电线路配套电力管廊建设工程预算审核（复审）</w:t>
      </w:r>
    </w:p>
    <w:p w14:paraId="38274433">
      <w:pPr>
        <w:pStyle w:val="3"/>
        <w:pageBreakBefore w:val="0"/>
        <w:kinsoku/>
        <w:overflowPunct/>
        <w:bidi w:val="0"/>
        <w:spacing w:beforeLines="0" w:afterLines="0" w:line="360" w:lineRule="auto"/>
        <w:ind w:left="0" w:leftChars="0" w:right="0"/>
        <w:rPr>
          <w:rFonts w:hint="eastAsia" w:ascii="宋体" w:hAnsi="宋体" w:eastAsia="宋体" w:cs="宋体"/>
          <w:b/>
          <w:color w:val="auto"/>
          <w:sz w:val="28"/>
          <w:szCs w:val="28"/>
          <w:highlight w:val="none"/>
        </w:rPr>
      </w:pPr>
    </w:p>
    <w:p w14:paraId="54E59AB5">
      <w:pPr>
        <w:pStyle w:val="2"/>
        <w:pageBreakBefore w:val="0"/>
        <w:kinsoku/>
        <w:overflowPunct/>
        <w:bidi w:val="0"/>
        <w:spacing w:beforeLines="0" w:afterLines="0" w:line="360" w:lineRule="auto"/>
        <w:ind w:left="0" w:leftChars="0" w:right="0"/>
        <w:rPr>
          <w:rFonts w:hint="eastAsia" w:ascii="宋体" w:hAnsi="宋体" w:eastAsia="宋体" w:cs="宋体"/>
          <w:b/>
          <w:color w:val="auto"/>
          <w:sz w:val="28"/>
          <w:szCs w:val="28"/>
          <w:highlight w:val="none"/>
        </w:rPr>
      </w:pPr>
    </w:p>
    <w:p w14:paraId="65788ACD">
      <w:pPr>
        <w:keepNext/>
        <w:keepLines/>
        <w:pageBreakBefore w:val="0"/>
        <w:widowControl w:val="0"/>
        <w:kinsoku/>
        <w:overflowPunct/>
        <w:bidi w:val="0"/>
        <w:spacing w:beforeLines="0" w:afterLines="0" w:line="360" w:lineRule="auto"/>
        <w:ind w:left="0" w:leftChars="0" w:right="0"/>
        <w:jc w:val="center"/>
        <w:outlineLvl w:val="0"/>
        <w:rPr>
          <w:rFonts w:hint="eastAsia" w:ascii="宋体" w:hAnsi="宋体" w:eastAsia="宋体" w:cs="宋体"/>
          <w:b/>
          <w:bCs/>
          <w:color w:val="auto"/>
          <w:kern w:val="44"/>
          <w:sz w:val="30"/>
          <w:szCs w:val="30"/>
          <w:highlight w:val="none"/>
          <w:lang w:val="en-US" w:eastAsia="zh-CN" w:bidi="ar-SA"/>
        </w:rPr>
        <w:sectPr>
          <w:headerReference r:id="rId6" w:type="default"/>
          <w:footerReference r:id="rId7" w:type="default"/>
          <w:pgSz w:w="11906" w:h="16838"/>
          <w:pgMar w:top="1247" w:right="1247" w:bottom="1134" w:left="1247" w:header="851" w:footer="851" w:gutter="0"/>
          <w:pgBorders>
            <w:top w:val="none" w:sz="0" w:space="0"/>
            <w:left w:val="none" w:sz="0" w:space="0"/>
            <w:bottom w:val="none" w:sz="0" w:space="0"/>
            <w:right w:val="none" w:sz="0" w:space="0"/>
          </w:pgBorders>
          <w:pgNumType w:fmt="decimal"/>
          <w:cols w:space="720" w:num="1"/>
          <w:docGrid w:type="lines" w:linePitch="312" w:charSpace="0"/>
        </w:sectPr>
      </w:pPr>
      <w:bookmarkStart w:id="129" w:name="_Toc20016"/>
      <w:bookmarkStart w:id="130" w:name="_Toc28291"/>
      <w:bookmarkStart w:id="131" w:name="_Toc13491"/>
      <w:bookmarkStart w:id="132" w:name="_Toc28238"/>
    </w:p>
    <w:p w14:paraId="59FD6A76">
      <w:pPr>
        <w:keepNext/>
        <w:keepLines/>
        <w:pageBreakBefore w:val="0"/>
        <w:widowControl w:val="0"/>
        <w:kinsoku/>
        <w:overflowPunct/>
        <w:bidi w:val="0"/>
        <w:spacing w:beforeLines="0" w:afterLines="0" w:line="360" w:lineRule="auto"/>
        <w:ind w:left="0" w:leftChars="0" w:right="0"/>
        <w:jc w:val="center"/>
        <w:outlineLvl w:val="0"/>
        <w:rPr>
          <w:rFonts w:hint="eastAsia" w:ascii="宋体" w:hAnsi="宋体" w:eastAsia="宋体" w:cs="宋体"/>
          <w:b/>
          <w:bCs/>
          <w:color w:val="auto"/>
          <w:kern w:val="44"/>
          <w:sz w:val="30"/>
          <w:szCs w:val="30"/>
          <w:highlight w:val="none"/>
          <w:lang w:val="en-US" w:eastAsia="zh-CN" w:bidi="ar-SA"/>
        </w:rPr>
      </w:pPr>
      <w:bookmarkStart w:id="133" w:name="_Toc3455"/>
      <w:bookmarkStart w:id="134" w:name="_Toc20477"/>
      <w:r>
        <w:rPr>
          <w:rFonts w:hint="eastAsia" w:ascii="宋体" w:hAnsi="宋体" w:eastAsia="宋体" w:cs="宋体"/>
          <w:b/>
          <w:bCs/>
          <w:color w:val="auto"/>
          <w:kern w:val="44"/>
          <w:sz w:val="30"/>
          <w:szCs w:val="30"/>
          <w:highlight w:val="none"/>
          <w:lang w:val="en-US" w:eastAsia="zh-CN" w:bidi="ar-SA"/>
        </w:rPr>
        <w:t>第一部分　协议书</w:t>
      </w:r>
      <w:bookmarkEnd w:id="129"/>
      <w:bookmarkEnd w:id="130"/>
      <w:bookmarkEnd w:id="131"/>
      <w:bookmarkEnd w:id="132"/>
      <w:bookmarkEnd w:id="133"/>
      <w:bookmarkEnd w:id="134"/>
    </w:p>
    <w:p w14:paraId="4183C65E">
      <w:pPr>
        <w:pageBreakBefore w:val="0"/>
        <w:kinsoku/>
        <w:overflowPunct/>
        <w:bidi w:val="0"/>
        <w:spacing w:beforeLines="0" w:afterLines="0" w:line="360" w:lineRule="auto"/>
        <w:ind w:left="0" w:leftChars="0" w:right="0"/>
        <w:rPr>
          <w:rFonts w:hint="eastAsia" w:ascii="宋体" w:hAnsi="宋体" w:eastAsia="宋体" w:cs="宋体"/>
          <w:b w:val="0"/>
          <w:bCs/>
          <w:color w:val="auto"/>
          <w:kern w:val="2"/>
          <w:sz w:val="28"/>
          <w:szCs w:val="28"/>
          <w:highlight w:val="none"/>
          <w:u w:val="single"/>
          <w:lang w:val="en-US" w:eastAsia="zh-CN"/>
        </w:rPr>
      </w:pPr>
      <w:r>
        <w:rPr>
          <w:rFonts w:hint="eastAsia" w:ascii="宋体" w:hAnsi="宋体" w:eastAsia="宋体" w:cs="宋体"/>
          <w:b w:val="0"/>
          <w:bCs/>
          <w:color w:val="auto"/>
          <w:kern w:val="2"/>
          <w:sz w:val="28"/>
          <w:szCs w:val="28"/>
          <w:highlight w:val="none"/>
          <w:u w:val="none"/>
          <w:lang w:val="en-US" w:eastAsia="zh-CN"/>
        </w:rPr>
        <w:t>委托人（全称）：</w:t>
      </w:r>
      <w:r>
        <w:rPr>
          <w:rFonts w:hint="eastAsia" w:ascii="宋体" w:hAnsi="宋体" w:eastAsia="宋体" w:cs="宋体"/>
          <w:bCs/>
          <w:color w:val="auto"/>
          <w:sz w:val="28"/>
          <w:szCs w:val="28"/>
          <w:highlight w:val="none"/>
          <w:u w:val="single"/>
          <w:lang w:val="en-US" w:eastAsia="zh-CN"/>
        </w:rPr>
        <w:t>广东南海城建集团</w:t>
      </w:r>
      <w:r>
        <w:rPr>
          <w:rFonts w:hint="eastAsia" w:ascii="宋体" w:hAnsi="宋体" w:eastAsia="宋体" w:cs="宋体"/>
          <w:b w:val="0"/>
          <w:bCs/>
          <w:color w:val="auto"/>
          <w:kern w:val="2"/>
          <w:sz w:val="28"/>
          <w:szCs w:val="28"/>
          <w:highlight w:val="none"/>
          <w:u w:val="single"/>
          <w:lang w:val="en-US" w:eastAsia="zh-CN"/>
        </w:rPr>
        <w:t>有限公司</w:t>
      </w:r>
    </w:p>
    <w:p w14:paraId="72C627CF">
      <w:pPr>
        <w:pageBreakBefore w:val="0"/>
        <w:kinsoku/>
        <w:overflowPunct/>
        <w:bidi w:val="0"/>
        <w:spacing w:beforeLines="0" w:afterLines="0" w:line="360" w:lineRule="auto"/>
        <w:ind w:left="0" w:leftChars="0" w:right="0"/>
        <w:rPr>
          <w:rFonts w:hint="eastAsia" w:ascii="宋体" w:hAnsi="宋体" w:eastAsia="宋体" w:cs="宋体"/>
          <w:b w:val="0"/>
          <w:bCs w:val="0"/>
          <w:color w:val="auto"/>
          <w:kern w:val="2"/>
          <w:sz w:val="24"/>
          <w:szCs w:val="24"/>
          <w:highlight w:val="none"/>
          <w:u w:val="single"/>
          <w:lang w:val="en-US" w:eastAsia="zh-CN"/>
        </w:rPr>
      </w:pPr>
      <w:r>
        <w:rPr>
          <w:rFonts w:hint="eastAsia" w:ascii="宋体" w:hAnsi="宋体" w:eastAsia="宋体" w:cs="宋体"/>
          <w:b w:val="0"/>
          <w:bCs/>
          <w:color w:val="auto"/>
          <w:kern w:val="2"/>
          <w:sz w:val="28"/>
          <w:szCs w:val="28"/>
          <w:highlight w:val="none"/>
          <w:u w:val="none"/>
          <w:lang w:val="en-US" w:eastAsia="zh-CN"/>
        </w:rPr>
        <w:t>咨询人（全称）：</w:t>
      </w:r>
      <w:r>
        <w:rPr>
          <w:rFonts w:hint="eastAsia" w:ascii="宋体" w:hAnsi="宋体" w:eastAsia="宋体" w:cs="宋体"/>
          <w:b w:val="0"/>
          <w:bCs w:val="0"/>
          <w:color w:val="auto"/>
          <w:kern w:val="2"/>
          <w:sz w:val="24"/>
          <w:szCs w:val="24"/>
          <w:highlight w:val="none"/>
          <w:u w:val="single"/>
          <w:lang w:val="en-US" w:eastAsia="zh-CN"/>
        </w:rPr>
        <w:t xml:space="preserve">            </w:t>
      </w:r>
      <w:r>
        <w:rPr>
          <w:rFonts w:hint="eastAsia" w:ascii="宋体" w:hAnsi="宋体" w:cs="宋体"/>
          <w:b w:val="0"/>
          <w:bCs w:val="0"/>
          <w:color w:val="auto"/>
          <w:kern w:val="2"/>
          <w:sz w:val="24"/>
          <w:szCs w:val="24"/>
          <w:highlight w:val="none"/>
          <w:u w:val="single"/>
          <w:lang w:val="en-US" w:eastAsia="zh-CN"/>
        </w:rPr>
        <w:t xml:space="preserve">   </w:t>
      </w:r>
      <w:r>
        <w:rPr>
          <w:rFonts w:hint="eastAsia" w:ascii="宋体" w:hAnsi="宋体" w:eastAsia="宋体" w:cs="宋体"/>
          <w:b w:val="0"/>
          <w:bCs w:val="0"/>
          <w:color w:val="auto"/>
          <w:kern w:val="2"/>
          <w:sz w:val="24"/>
          <w:szCs w:val="24"/>
          <w:highlight w:val="none"/>
          <w:u w:val="single"/>
          <w:lang w:val="en-US" w:eastAsia="zh-CN"/>
        </w:rPr>
        <w:t xml:space="preserve">              </w:t>
      </w:r>
    </w:p>
    <w:p w14:paraId="1A42C7D1">
      <w:pPr>
        <w:pageBreakBefore w:val="0"/>
        <w:kinsoku/>
        <w:overflowPunct/>
        <w:bidi w:val="0"/>
        <w:spacing w:beforeLines="0" w:afterLines="0" w:line="360" w:lineRule="auto"/>
        <w:ind w:left="0" w:leftChars="0" w:right="0"/>
        <w:rPr>
          <w:rFonts w:hint="eastAsia" w:ascii="宋体" w:hAnsi="宋体" w:eastAsia="宋体" w:cs="宋体"/>
          <w:b w:val="0"/>
          <w:bCs/>
          <w:color w:val="auto"/>
          <w:kern w:val="2"/>
          <w:sz w:val="28"/>
          <w:szCs w:val="28"/>
          <w:highlight w:val="none"/>
          <w:u w:val="single"/>
          <w:lang w:val="en-US" w:eastAsia="zh-CN"/>
        </w:rPr>
      </w:pPr>
      <w:r>
        <w:rPr>
          <w:rFonts w:hint="eastAsia" w:ascii="宋体" w:hAnsi="宋体" w:cs="宋体"/>
          <w:b w:val="0"/>
          <w:bCs/>
          <w:color w:val="auto"/>
          <w:kern w:val="2"/>
          <w:sz w:val="28"/>
          <w:szCs w:val="28"/>
          <w:highlight w:val="none"/>
          <w:u w:val="none"/>
          <w:lang w:val="en-US" w:eastAsia="zh-CN"/>
        </w:rPr>
        <w:t>代建单位（全称）：</w:t>
      </w:r>
      <w:r>
        <w:rPr>
          <w:rFonts w:hint="eastAsia" w:ascii="宋体" w:hAnsi="宋体" w:cs="宋体"/>
          <w:b w:val="0"/>
          <w:bCs/>
          <w:color w:val="auto"/>
          <w:kern w:val="2"/>
          <w:sz w:val="28"/>
          <w:szCs w:val="28"/>
          <w:highlight w:val="none"/>
          <w:u w:val="single"/>
          <w:lang w:val="en-US" w:eastAsia="zh-CN"/>
        </w:rPr>
        <w:t>佛山市南海区铁路投资有限公司</w:t>
      </w:r>
    </w:p>
    <w:p w14:paraId="41CE3069">
      <w:pPr>
        <w:pageBreakBefore w:val="0"/>
        <w:kinsoku/>
        <w:overflowPunct/>
        <w:bidi w:val="0"/>
        <w:spacing w:beforeLines="0" w:afterLines="0" w:line="360" w:lineRule="auto"/>
        <w:ind w:left="0" w:leftChars="0" w:right="0"/>
        <w:rPr>
          <w:rFonts w:hint="eastAsia" w:ascii="宋体" w:hAnsi="宋体" w:eastAsia="宋体" w:cs="宋体"/>
          <w:b w:val="0"/>
          <w:bCs/>
          <w:color w:val="auto"/>
          <w:kern w:val="2"/>
          <w:sz w:val="28"/>
          <w:szCs w:val="28"/>
          <w:highlight w:val="none"/>
          <w:u w:val="single"/>
          <w:lang w:val="en-US" w:eastAsia="zh-CN"/>
        </w:rPr>
      </w:pPr>
      <w:r>
        <w:rPr>
          <w:rFonts w:hint="eastAsia" w:ascii="宋体" w:hAnsi="宋体" w:eastAsia="宋体" w:cs="宋体"/>
          <w:b w:val="0"/>
          <w:bCs/>
          <w:color w:val="auto"/>
          <w:kern w:val="2"/>
          <w:sz w:val="28"/>
          <w:szCs w:val="28"/>
          <w:highlight w:val="none"/>
          <w:u w:val="none"/>
          <w:lang w:val="en-US" w:eastAsia="zh-CN"/>
        </w:rPr>
        <w:t>出资人（建设单位）（全称）：</w:t>
      </w:r>
      <w:r>
        <w:rPr>
          <w:rFonts w:hint="eastAsia" w:ascii="宋体" w:hAnsi="宋体" w:eastAsia="宋体" w:cs="宋体"/>
          <w:b w:val="0"/>
          <w:bCs/>
          <w:color w:val="auto"/>
          <w:kern w:val="2"/>
          <w:sz w:val="28"/>
          <w:szCs w:val="28"/>
          <w:highlight w:val="none"/>
          <w:u w:val="single"/>
          <w:lang w:val="en-US" w:eastAsia="zh-CN"/>
        </w:rPr>
        <w:t>佛山市南海大业佳诚投资有限公司</w:t>
      </w:r>
    </w:p>
    <w:p w14:paraId="03A23906">
      <w:pPr>
        <w:pageBreakBefore w:val="0"/>
        <w:kinsoku/>
        <w:overflowPunct/>
        <w:bidi w:val="0"/>
        <w:adjustRightInd w:val="0"/>
        <w:snapToGrid w:val="0"/>
        <w:spacing w:beforeLines="0" w:afterLines="0" w:line="360" w:lineRule="auto"/>
        <w:ind w:left="0" w:leftChars="0" w:right="0" w:firstLine="480" w:firstLineChars="200"/>
        <w:rPr>
          <w:rFonts w:hint="eastAsia" w:ascii="宋体" w:hAnsi="宋体" w:eastAsia="宋体" w:cs="宋体"/>
          <w:b w:val="0"/>
          <w:bCs/>
          <w:color w:val="auto"/>
          <w:sz w:val="24"/>
          <w:szCs w:val="24"/>
          <w:highlight w:val="none"/>
          <w:u w:val="single"/>
          <w:lang w:eastAsia="zh-CN"/>
        </w:rPr>
      </w:pPr>
      <w:bookmarkStart w:id="135" w:name="_Toc29942"/>
      <w:bookmarkStart w:id="136" w:name="_Toc27631"/>
      <w:bookmarkStart w:id="137" w:name="_Toc25067"/>
      <w:bookmarkStart w:id="138" w:name="_Toc14861"/>
      <w:bookmarkStart w:id="139" w:name="_Toc422322471"/>
      <w:bookmarkStart w:id="140" w:name="_Toc489278511"/>
      <w:bookmarkStart w:id="141" w:name="_Toc490753345"/>
      <w:bookmarkStart w:id="142" w:name="_Toc14212"/>
      <w:bookmarkStart w:id="143" w:name="_Toc419045056"/>
    </w:p>
    <w:p w14:paraId="0201BF46">
      <w:pPr>
        <w:pageBreakBefore w:val="0"/>
        <w:kinsoku/>
        <w:overflowPunct/>
        <w:bidi w:val="0"/>
        <w:adjustRightInd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u w:val="single"/>
          <w:lang w:eastAsia="zh-CN"/>
        </w:rPr>
        <w:t>广东南海城建集团有限公司</w:t>
      </w:r>
      <w:r>
        <w:rPr>
          <w:rFonts w:hint="eastAsia" w:ascii="宋体" w:hAnsi="宋体" w:eastAsia="宋体" w:cs="宋体"/>
          <w:color w:val="auto"/>
          <w:sz w:val="24"/>
          <w:highlight w:val="none"/>
        </w:rPr>
        <w:t>（以下简称委托人）于</w:t>
      </w:r>
      <w:r>
        <w:rPr>
          <w:rFonts w:hint="eastAsia" w:ascii="宋体" w:hAnsi="宋体" w:eastAsia="宋体" w:cs="宋体"/>
          <w:color w:val="auto"/>
          <w:sz w:val="24"/>
          <w:highlight w:val="none"/>
          <w:lang w:val="en-US"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日通过</w:t>
      </w:r>
      <w:r>
        <w:rPr>
          <w:rFonts w:hint="eastAsia" w:ascii="宋体" w:hAnsi="宋体" w:eastAsia="宋体" w:cs="宋体"/>
          <w:color w:val="auto"/>
          <w:sz w:val="24"/>
          <w:highlight w:val="none"/>
          <w:lang w:val="en-US" w:eastAsia="zh-CN"/>
        </w:rPr>
        <w:t>公开招标</w:t>
      </w:r>
      <w:r>
        <w:rPr>
          <w:rFonts w:hint="eastAsia" w:ascii="宋体" w:hAnsi="宋体" w:eastAsia="宋体" w:cs="宋体"/>
          <w:color w:val="auto"/>
          <w:sz w:val="24"/>
          <w:highlight w:val="none"/>
        </w:rPr>
        <w:t>的方式，确定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（以下简称咨询人）为</w:t>
      </w:r>
      <w:r>
        <w:rPr>
          <w:rFonts w:hint="eastAsia" w:ascii="宋体" w:hAnsi="宋体" w:eastAsia="宋体" w:cs="宋体"/>
          <w:b/>
          <w:snapToGrid/>
          <w:color w:val="auto"/>
          <w:sz w:val="24"/>
          <w:highlight w:val="none"/>
          <w:u w:val="single"/>
          <w:lang w:eastAsia="zh-CN"/>
        </w:rPr>
        <w:t>粤港澳大湾区—佛山市南海区电力管廊（一期）项目—佛山220千伏沥中输变电线路配套电力管廊建设工程预算审核（复审）</w:t>
      </w:r>
      <w:r>
        <w:rPr>
          <w:rFonts w:hint="eastAsia" w:ascii="宋体" w:hAnsi="宋体" w:eastAsia="宋体" w:cs="宋体"/>
          <w:color w:val="auto"/>
          <w:sz w:val="24"/>
          <w:highlight w:val="none"/>
        </w:rPr>
        <w:t>（以下简称本项目）</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lang w:val="en-US" w:eastAsia="zh-CN"/>
        </w:rPr>
        <w:t>预算复审</w:t>
      </w:r>
      <w:r>
        <w:rPr>
          <w:rFonts w:hint="eastAsia" w:ascii="宋体" w:hAnsi="宋体" w:eastAsia="宋体" w:cs="宋体"/>
          <w:color w:val="auto"/>
          <w:sz w:val="24"/>
          <w:highlight w:val="none"/>
          <w:lang w:eastAsia="zh-CN"/>
        </w:rPr>
        <w:t>的实施单位</w:t>
      </w:r>
      <w:r>
        <w:rPr>
          <w:rFonts w:hint="eastAsia" w:ascii="宋体" w:hAnsi="宋体" w:eastAsia="宋体" w:cs="宋体"/>
          <w:color w:val="auto"/>
          <w:sz w:val="24"/>
          <w:highlight w:val="none"/>
        </w:rPr>
        <w:t>。</w:t>
      </w:r>
    </w:p>
    <w:p w14:paraId="341D165E">
      <w:pPr>
        <w:pageBreakBefore w:val="0"/>
        <w:widowControl/>
        <w:kinsoku/>
        <w:overflowPunct/>
        <w:bidi w:val="0"/>
        <w:adjustRightInd w:val="0"/>
        <w:snapToGrid w:val="0"/>
        <w:spacing w:beforeLines="0" w:afterLines="0" w:line="360" w:lineRule="auto"/>
        <w:ind w:left="0" w:leftChars="0" w:righ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《中华人民共和国招标投标法》及国家的有关法律、行政法规，遵循平等、自愿、公平和诚实信用的原则，</w:t>
      </w:r>
      <w:r>
        <w:rPr>
          <w:rFonts w:hint="eastAsia" w:ascii="宋体" w:hAnsi="宋体" w:cs="宋体"/>
          <w:color w:val="auto"/>
          <w:sz w:val="24"/>
          <w:highlight w:val="none"/>
          <w:lang w:val="en-US" w:eastAsia="zh-CN"/>
        </w:rPr>
        <w:t>四方</w:t>
      </w:r>
      <w:r>
        <w:rPr>
          <w:rFonts w:hint="eastAsia" w:ascii="宋体" w:hAnsi="宋体" w:eastAsia="宋体" w:cs="宋体"/>
          <w:color w:val="auto"/>
          <w:sz w:val="24"/>
          <w:highlight w:val="none"/>
        </w:rPr>
        <w:t>就</w:t>
      </w:r>
      <w:r>
        <w:rPr>
          <w:rFonts w:hint="eastAsia" w:ascii="宋体" w:hAnsi="宋体" w:eastAsia="宋体" w:cs="宋体"/>
          <w:b/>
          <w:snapToGrid/>
          <w:color w:val="auto"/>
          <w:sz w:val="24"/>
          <w:highlight w:val="none"/>
          <w:u w:val="single"/>
          <w:lang w:eastAsia="zh-CN"/>
        </w:rPr>
        <w:t>粤港澳大湾区—佛山市南海区电力管廊（一期）项目—佛山220千伏沥中输变电线路配套电力管廊建设工程预算审核（复审）</w:t>
      </w:r>
      <w:r>
        <w:rPr>
          <w:rFonts w:hint="eastAsia" w:ascii="宋体" w:hAnsi="宋体" w:eastAsia="宋体" w:cs="宋体"/>
          <w:b w:val="0"/>
          <w:bCs w:val="0"/>
          <w:color w:val="auto"/>
          <w:sz w:val="24"/>
          <w:szCs w:val="24"/>
          <w:highlight w:val="none"/>
          <w:lang w:val="en-US" w:eastAsia="zh-CN"/>
        </w:rPr>
        <w:t>服务事项协商一致，签订本合同</w:t>
      </w:r>
      <w:r>
        <w:rPr>
          <w:rFonts w:hint="eastAsia" w:ascii="宋体" w:hAnsi="宋体" w:eastAsia="宋体" w:cs="宋体"/>
          <w:color w:val="auto"/>
          <w:sz w:val="24"/>
          <w:highlight w:val="none"/>
        </w:rPr>
        <w:t>。</w:t>
      </w:r>
    </w:p>
    <w:p w14:paraId="4A36B623">
      <w:pPr>
        <w:pageBreakBefore w:val="0"/>
        <w:widowControl w:val="0"/>
        <w:kinsoku/>
        <w:overflowPunct/>
        <w:bidi w:val="0"/>
        <w:adjustRightInd w:val="0"/>
        <w:snapToGrid w:val="0"/>
        <w:spacing w:beforeLines="0" w:afterLines="0" w:line="360" w:lineRule="auto"/>
        <w:ind w:left="0" w:leftChars="0" w:right="0"/>
        <w:jc w:val="left"/>
        <w:outlineLvl w:val="1"/>
        <w:rPr>
          <w:rFonts w:hint="eastAsia" w:ascii="宋体" w:hAnsi="宋体" w:eastAsia="宋体" w:cs="宋体"/>
          <w:b/>
          <w:color w:val="auto"/>
          <w:kern w:val="2"/>
          <w:sz w:val="24"/>
          <w:szCs w:val="24"/>
          <w:highlight w:val="none"/>
          <w:lang w:val="en-US" w:eastAsia="zh-CN" w:bidi="ar-SA"/>
        </w:rPr>
      </w:pPr>
    </w:p>
    <w:p w14:paraId="5DFAD822">
      <w:pPr>
        <w:pageBreakBefore w:val="0"/>
        <w:widowControl w:val="0"/>
        <w:kinsoku/>
        <w:overflowPunct/>
        <w:bidi w:val="0"/>
        <w:adjustRightInd w:val="0"/>
        <w:snapToGrid w:val="0"/>
        <w:spacing w:beforeLines="0" w:afterLines="0" w:line="360" w:lineRule="auto"/>
        <w:ind w:left="0" w:leftChars="0" w:right="0"/>
        <w:jc w:val="left"/>
        <w:outlineLvl w:val="1"/>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一、工程概况</w:t>
      </w:r>
      <w:bookmarkEnd w:id="135"/>
      <w:bookmarkEnd w:id="136"/>
      <w:bookmarkEnd w:id="137"/>
      <w:bookmarkEnd w:id="138"/>
      <w:bookmarkEnd w:id="139"/>
      <w:bookmarkEnd w:id="140"/>
      <w:bookmarkEnd w:id="141"/>
      <w:bookmarkEnd w:id="142"/>
    </w:p>
    <w:bookmarkEnd w:id="143"/>
    <w:p w14:paraId="3EEFA47E">
      <w:pPr>
        <w:pageBreakBefore w:val="0"/>
        <w:kinsoku/>
        <w:overflowPunct/>
        <w:topLinePunct w:val="0"/>
        <w:bidi w:val="0"/>
        <w:snapToGrid w:val="0"/>
        <w:spacing w:beforeLines="0" w:afterLines="0" w:line="360" w:lineRule="auto"/>
        <w:ind w:left="0" w:leftChars="0" w:right="0" w:firstLine="564" w:firstLineChars="235"/>
        <w:rPr>
          <w:rFonts w:hint="eastAsia" w:ascii="宋体" w:hAnsi="宋体" w:eastAsia="宋体" w:cs="宋体"/>
          <w:color w:val="auto"/>
          <w:sz w:val="24"/>
          <w:szCs w:val="24"/>
          <w:highlight w:val="none"/>
        </w:rPr>
      </w:pPr>
      <w:bookmarkStart w:id="144" w:name="_Toc419045059"/>
      <w:bookmarkStart w:id="145" w:name="_Toc490753346"/>
      <w:bookmarkStart w:id="146" w:name="_Toc489278512"/>
      <w:bookmarkStart w:id="147" w:name="_Toc422322472"/>
      <w:bookmarkStart w:id="148" w:name="_Toc14663"/>
      <w:bookmarkStart w:id="149" w:name="_Toc6626"/>
      <w:bookmarkStart w:id="150" w:name="_Toc30375"/>
      <w:bookmarkStart w:id="151" w:name="_Toc1567"/>
      <w:bookmarkStart w:id="152" w:name="_Toc23826"/>
      <w:r>
        <w:rPr>
          <w:rFonts w:hint="eastAsia" w:ascii="宋体" w:hAnsi="宋体" w:eastAsia="宋体" w:cs="宋体"/>
          <w:color w:val="auto"/>
          <w:sz w:val="24"/>
          <w:szCs w:val="24"/>
          <w:highlight w:val="none"/>
        </w:rPr>
        <w:t>1.工程名称：</w:t>
      </w:r>
      <w:r>
        <w:rPr>
          <w:rFonts w:hint="eastAsia" w:ascii="宋体" w:hAnsi="宋体" w:eastAsia="宋体" w:cs="宋体"/>
          <w:color w:val="auto"/>
          <w:sz w:val="24"/>
          <w:szCs w:val="24"/>
          <w:highlight w:val="none"/>
          <w:lang w:eastAsia="zh-CN"/>
        </w:rPr>
        <w:t>粤港澳大湾区—佛山市南海区电力管廊（一期）项目—佛山220千伏沥中输变电线路配套电力管廊建设工程</w:t>
      </w:r>
    </w:p>
    <w:p w14:paraId="7F00F8C9">
      <w:pPr>
        <w:pageBreakBefore w:val="0"/>
        <w:kinsoku/>
        <w:overflowPunct/>
        <w:topLinePunct w:val="0"/>
        <w:bidi w:val="0"/>
        <w:snapToGrid w:val="0"/>
        <w:spacing w:beforeLines="0" w:afterLines="0" w:line="360" w:lineRule="auto"/>
        <w:ind w:left="0" w:leftChars="0" w:right="0" w:firstLine="564" w:firstLineChars="2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2.工程地</w:t>
      </w:r>
      <w:r>
        <w:rPr>
          <w:rFonts w:hint="eastAsia"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lang w:val="en-US" w:eastAsia="zh-CN"/>
        </w:rPr>
        <w:t>佛山市南海区桂和路、联合路、广佛路、腾龙路、联滘路、桂澜路北延线、华辉西路、华辉东路、东约路、规划平横路、江心一街、鄱阳路、商场路、南国二路、联和路及规划信安路等路段。</w:t>
      </w:r>
    </w:p>
    <w:p w14:paraId="353CC96C">
      <w:pPr>
        <w:pageBreakBefore w:val="0"/>
        <w:kinsoku/>
        <w:overflowPunct/>
        <w:topLinePunct w:val="0"/>
        <w:bidi w:val="0"/>
        <w:snapToGrid w:val="0"/>
        <w:spacing w:beforeLines="0" w:afterLines="0" w:line="360" w:lineRule="auto"/>
        <w:ind w:left="0" w:leftChars="0" w:right="0" w:firstLine="564" w:firstLineChars="2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lang w:val="en-US" w:eastAsia="zh-CN"/>
        </w:rPr>
        <w:t>财政</w:t>
      </w:r>
      <w:r>
        <w:rPr>
          <w:rFonts w:hint="eastAsia" w:ascii="宋体" w:hAnsi="宋体" w:eastAsia="宋体" w:cs="宋体"/>
          <w:color w:val="auto"/>
          <w:sz w:val="24"/>
          <w:szCs w:val="24"/>
          <w:highlight w:val="none"/>
        </w:rPr>
        <w:t>资金</w:t>
      </w:r>
    </w:p>
    <w:p w14:paraId="09EF7271">
      <w:pPr>
        <w:pageBreakBefore w:val="0"/>
        <w:kinsoku/>
        <w:overflowPunct/>
        <w:topLinePunct w:val="0"/>
        <w:bidi w:val="0"/>
        <w:adjustRightInd/>
        <w:snapToGrid w:val="0"/>
        <w:spacing w:beforeLines="0" w:afterLines="0" w:line="360" w:lineRule="auto"/>
        <w:ind w:left="0" w:leftChars="0" w:right="0" w:firstLine="564" w:firstLineChars="235"/>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4.工程规模：本项目建设工程主要包括:</w:t>
      </w:r>
    </w:p>
    <w:p w14:paraId="383D4DB8">
      <w:pPr>
        <w:pageBreakBefore w:val="0"/>
        <w:kinsoku/>
        <w:overflowPunct/>
        <w:topLinePunct w:val="0"/>
        <w:bidi w:val="0"/>
        <w:adjustRightInd/>
        <w:snapToGrid w:val="0"/>
        <w:spacing w:beforeLines="0" w:afterLines="0" w:line="360" w:lineRule="auto"/>
        <w:ind w:left="0" w:leftChars="0" w:right="0" w:firstLine="564" w:firstLineChars="23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（1）电缆隧道工程；</w:t>
      </w:r>
    </w:p>
    <w:p w14:paraId="24360513">
      <w:pPr>
        <w:pageBreakBefore w:val="0"/>
        <w:kinsoku/>
        <w:overflowPunct/>
        <w:topLinePunct w:val="0"/>
        <w:bidi w:val="0"/>
        <w:adjustRightInd/>
        <w:snapToGrid w:val="0"/>
        <w:spacing w:beforeLines="0" w:afterLines="0" w:line="360" w:lineRule="auto"/>
        <w:ind w:left="0" w:leftChars="0" w:right="0" w:firstLine="564" w:firstLineChars="23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（2）普通电缆通道工程；</w:t>
      </w:r>
    </w:p>
    <w:p w14:paraId="13E42EF2">
      <w:pPr>
        <w:pageBreakBefore w:val="0"/>
        <w:kinsoku/>
        <w:overflowPunct/>
        <w:topLinePunct w:val="0"/>
        <w:bidi w:val="0"/>
        <w:adjustRightInd/>
        <w:snapToGrid w:val="0"/>
        <w:spacing w:beforeLines="0" w:afterLines="0" w:line="360" w:lineRule="auto"/>
        <w:ind w:left="0" w:leftChars="0" w:right="0" w:firstLine="564" w:firstLineChars="23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（3）10千伏配网电缆通道工程；</w:t>
      </w:r>
    </w:p>
    <w:p w14:paraId="78D64E32">
      <w:pPr>
        <w:pageBreakBefore w:val="0"/>
        <w:kinsoku/>
        <w:overflowPunct/>
        <w:topLinePunct w:val="0"/>
        <w:bidi w:val="0"/>
        <w:adjustRightInd/>
        <w:snapToGrid w:val="0"/>
        <w:spacing w:beforeLines="0" w:afterLines="0" w:line="360" w:lineRule="auto"/>
        <w:ind w:left="0" w:leftChars="0" w:right="0" w:firstLine="564" w:firstLineChars="23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（4）主网迁改工程：</w:t>
      </w:r>
    </w:p>
    <w:p w14:paraId="77AD65B8">
      <w:pPr>
        <w:pageBreakBefore w:val="0"/>
        <w:kinsoku/>
        <w:overflowPunct/>
        <w:topLinePunct w:val="0"/>
        <w:bidi w:val="0"/>
        <w:adjustRightInd/>
        <w:snapToGrid w:val="0"/>
        <w:spacing w:beforeLines="0" w:afterLines="0" w:line="360" w:lineRule="auto"/>
        <w:ind w:left="0" w:leftChars="0" w:right="0" w:firstLine="564" w:firstLineChars="23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①电缆隧道工程：电缆隧道长度约5.361km：其中220kV及110kV开挖并线双舱电缆隧道0.09km，220kV四回路电缆隧道3.907km(顶管隧道3.594km+明挖0.313km)，110kV十回路电缆隧道1.364km。</w:t>
      </w:r>
    </w:p>
    <w:p w14:paraId="14199C4D">
      <w:pPr>
        <w:pageBreakBefore w:val="0"/>
        <w:kinsoku/>
        <w:overflowPunct/>
        <w:topLinePunct w:val="0"/>
        <w:bidi w:val="0"/>
        <w:adjustRightInd/>
        <w:snapToGrid w:val="0"/>
        <w:spacing w:beforeLines="0" w:afterLines="0" w:line="360" w:lineRule="auto"/>
        <w:ind w:left="0" w:leftChars="0" w:right="0" w:firstLine="564" w:firstLineChars="23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②普通电缆通道工程：新建220kV双回路常规电缆沟长约0.05km；新建110kV五回路电缆管沟长约2.25km,110kV四回路电缆管沟长约3.5km，新建110kV三回路电缆管沟长约0.76km，110kV双回路电缆通道长约0.45km。</w:t>
      </w:r>
    </w:p>
    <w:p w14:paraId="63817D5F">
      <w:pPr>
        <w:pageBreakBefore w:val="0"/>
        <w:kinsoku/>
        <w:overflowPunct/>
        <w:topLinePunct w:val="0"/>
        <w:bidi w:val="0"/>
        <w:adjustRightInd/>
        <w:snapToGrid w:val="0"/>
        <w:spacing w:beforeLines="0" w:afterLines="0" w:line="360" w:lineRule="auto"/>
        <w:ind w:left="0" w:leftChars="0" w:right="0" w:firstLine="564" w:firstLineChars="23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③10千伏配网电缆通道工程：新建24回10kV电缆通道1km。</w:t>
      </w:r>
    </w:p>
    <w:p w14:paraId="63EB5B66">
      <w:pPr>
        <w:pageBreakBefore w:val="0"/>
        <w:kinsoku/>
        <w:overflowPunct/>
        <w:topLinePunct w:val="0"/>
        <w:bidi w:val="0"/>
        <w:adjustRightInd/>
        <w:snapToGrid w:val="0"/>
        <w:spacing w:beforeLines="0" w:afterLines="0" w:line="360" w:lineRule="auto"/>
        <w:ind w:left="0" w:leftChars="0" w:right="0" w:firstLine="564" w:firstLineChars="23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主网迁改工程：新建110kV双回路电缆线路路径长度约2x10.46km，电缆截面选用1200mm2；其中新建四回电缆通道4.45km，新建双回电缆通道1.38km，新建单回电缆通道0.18km；新建双回路终端塔3基(2基位于新建电缆终端场内，1基单独塔位)，新建电缆终端场5座。</w:t>
      </w:r>
    </w:p>
    <w:p w14:paraId="1C3A17BB">
      <w:pPr>
        <w:snapToGrid w:val="0"/>
        <w:spacing w:beforeLines="0" w:afterLines="0" w:line="360" w:lineRule="auto"/>
        <w:ind w:firstLine="564" w:firstLineChars="235"/>
        <w:jc w:val="left"/>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u w:val="none"/>
          <w:lang w:val="en-US" w:eastAsia="zh-CN" w:bidi="ar"/>
        </w:rPr>
        <w:t>本工程估算约112305.84万元，其中建安费及设备购置费82452.91万元，除配套建设工程（充电桩、停车位、广告牌）外的建安费及设备购置费为78125.92万元，项目建设规模及总投资最终以立项批复为准</w:t>
      </w:r>
      <w:r>
        <w:rPr>
          <w:rFonts w:hint="eastAsia" w:ascii="宋体" w:hAnsi="宋体" w:eastAsia="宋体" w:cs="宋体"/>
          <w:color w:val="auto"/>
          <w:sz w:val="24"/>
          <w:szCs w:val="24"/>
          <w:highlight w:val="none"/>
          <w:u w:val="none"/>
          <w:lang w:val="en-US" w:eastAsia="zh-CN"/>
        </w:rPr>
        <w:t>。</w:t>
      </w:r>
    </w:p>
    <w:p w14:paraId="053F733E">
      <w:pPr>
        <w:pageBreakBefore w:val="0"/>
        <w:widowControl w:val="0"/>
        <w:kinsoku/>
        <w:overflowPunct/>
        <w:bidi w:val="0"/>
        <w:adjustRightInd w:val="0"/>
        <w:snapToGrid w:val="0"/>
        <w:spacing w:beforeLines="0" w:afterLines="0" w:line="360" w:lineRule="auto"/>
        <w:ind w:left="0" w:leftChars="0" w:right="0"/>
        <w:jc w:val="left"/>
        <w:outlineLvl w:val="1"/>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w:t>
      </w:r>
      <w:bookmarkEnd w:id="144"/>
      <w:bookmarkEnd w:id="145"/>
      <w:bookmarkEnd w:id="146"/>
      <w:bookmarkEnd w:id="147"/>
      <w:r>
        <w:rPr>
          <w:rFonts w:hint="eastAsia" w:ascii="宋体" w:hAnsi="宋体" w:eastAsia="宋体" w:cs="宋体"/>
          <w:b/>
          <w:color w:val="auto"/>
          <w:kern w:val="2"/>
          <w:sz w:val="24"/>
          <w:szCs w:val="24"/>
          <w:highlight w:val="none"/>
          <w:lang w:val="en-US" w:eastAsia="zh-CN" w:bidi="ar-SA"/>
        </w:rPr>
        <w:t>工作内容</w:t>
      </w:r>
      <w:bookmarkEnd w:id="148"/>
      <w:bookmarkEnd w:id="149"/>
      <w:bookmarkEnd w:id="150"/>
      <w:bookmarkEnd w:id="151"/>
      <w:bookmarkEnd w:id="152"/>
      <w:bookmarkStart w:id="153" w:name="_Toc419045060"/>
      <w:bookmarkStart w:id="154" w:name="_Toc422322473"/>
    </w:p>
    <w:p w14:paraId="395A2BC4">
      <w:pPr>
        <w:pageBreakBefore w:val="0"/>
        <w:widowControl w:val="0"/>
        <w:kinsoku/>
        <w:overflowPunct/>
        <w:bidi w:val="0"/>
        <w:spacing w:beforeLines="0" w:afterLines="0" w:line="360" w:lineRule="auto"/>
        <w:ind w:left="0" w:leftChars="0" w:right="0" w:firstLine="480" w:firstLineChars="200"/>
        <w:jc w:val="both"/>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sz w:val="24"/>
          <w:highlight w:val="none"/>
          <w:lang w:val="en-US" w:eastAsia="zh-CN"/>
        </w:rPr>
        <w:t>本项目工作内容为粤港澳大湾区—佛山市南海区电力管廊（一期）项目—佛山220千伏沥中输变电线路配套电力管廊建设工程预算审核（复审）</w:t>
      </w:r>
      <w:r>
        <w:rPr>
          <w:rFonts w:hint="eastAsia" w:ascii="宋体" w:hAnsi="宋体" w:eastAsia="宋体" w:cs="宋体"/>
          <w:color w:val="auto"/>
          <w:kern w:val="0"/>
          <w:sz w:val="24"/>
          <w:szCs w:val="21"/>
          <w:highlight w:val="none"/>
          <w:lang w:val="en-US" w:eastAsia="zh-CN" w:bidi="ar-SA"/>
        </w:rPr>
        <w:t>，咨询人按照合同和委托人的要求，根据国家和省、市、区有关建设工程造价的法规、政策、文件，以及基建财务管理的有关规定，本着节约投资的原则，科学、客观、公正地开展造价咨询工作；按委托人的要求，按时按质按量提供造价咨询报告，并对造价咨询结论的真实性、准确性、完整性和合法性负责。</w:t>
      </w:r>
    </w:p>
    <w:p w14:paraId="5B84FED1">
      <w:pPr>
        <w:pageBreakBefore w:val="0"/>
        <w:widowControl w:val="0"/>
        <w:kinsoku/>
        <w:overflowPunct/>
        <w:bidi w:val="0"/>
        <w:adjustRightInd w:val="0"/>
        <w:snapToGrid w:val="0"/>
        <w:spacing w:beforeLines="0" w:afterLines="0" w:line="360" w:lineRule="auto"/>
        <w:ind w:left="0" w:leftChars="0" w:right="0"/>
        <w:jc w:val="left"/>
        <w:outlineLvl w:val="1"/>
        <w:rPr>
          <w:rFonts w:hint="eastAsia" w:ascii="宋体" w:hAnsi="宋体" w:eastAsia="宋体" w:cs="宋体"/>
          <w:b/>
          <w:color w:val="auto"/>
          <w:kern w:val="2"/>
          <w:sz w:val="24"/>
          <w:szCs w:val="24"/>
          <w:highlight w:val="none"/>
          <w:lang w:val="en-US" w:eastAsia="zh-CN" w:bidi="ar-SA"/>
        </w:rPr>
      </w:pPr>
      <w:bookmarkStart w:id="155" w:name="_Toc6077"/>
      <w:r>
        <w:rPr>
          <w:rFonts w:hint="eastAsia" w:ascii="宋体" w:hAnsi="宋体" w:eastAsia="宋体" w:cs="宋体"/>
          <w:b/>
          <w:color w:val="auto"/>
          <w:kern w:val="2"/>
          <w:sz w:val="24"/>
          <w:szCs w:val="24"/>
          <w:highlight w:val="none"/>
          <w:lang w:val="en-US" w:eastAsia="zh-CN" w:bidi="ar-SA"/>
        </w:rPr>
        <w:t>三、服务期限</w:t>
      </w:r>
      <w:bookmarkEnd w:id="153"/>
      <w:bookmarkEnd w:id="154"/>
      <w:bookmarkEnd w:id="155"/>
    </w:p>
    <w:p w14:paraId="79C0A021">
      <w:pPr>
        <w:pageBreakBefore w:val="0"/>
        <w:widowControl/>
        <w:kinsoku/>
        <w:overflowPunct/>
        <w:bidi w:val="0"/>
        <w:snapToGrid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bookmarkStart w:id="156" w:name="9"/>
      <w:bookmarkEnd w:id="156"/>
      <w:bookmarkStart w:id="157" w:name="_Toc5661"/>
      <w:bookmarkStart w:id="158" w:name="_Toc490753347"/>
      <w:bookmarkStart w:id="159" w:name="_Toc26635"/>
      <w:bookmarkStart w:id="160" w:name="_Toc419045061"/>
      <w:bookmarkStart w:id="161" w:name="_Toc489278513"/>
      <w:bookmarkStart w:id="162" w:name="_Toc422322474"/>
      <w:bookmarkStart w:id="163" w:name="_Toc20114"/>
      <w:r>
        <w:rPr>
          <w:rFonts w:hint="eastAsia" w:ascii="宋体" w:hAnsi="宋体" w:eastAsia="宋体" w:cs="宋体"/>
          <w:color w:val="auto"/>
          <w:kern w:val="0"/>
          <w:sz w:val="24"/>
          <w:szCs w:val="24"/>
          <w:highlight w:val="none"/>
          <w:lang w:val="en-US" w:eastAsia="zh-CN" w:bidi="ar-SA"/>
        </w:rPr>
        <w:t>自本合同签订之日起至完成合同所有预算复审咨询服务内容为止。</w:t>
      </w:r>
    </w:p>
    <w:p w14:paraId="2A2A4387">
      <w:pPr>
        <w:pageBreakBefore w:val="0"/>
        <w:widowControl w:val="0"/>
        <w:kinsoku/>
        <w:overflowPunct/>
        <w:bidi w:val="0"/>
        <w:adjustRightInd w:val="0"/>
        <w:snapToGrid w:val="0"/>
        <w:spacing w:beforeLines="0" w:afterLines="0" w:line="360" w:lineRule="auto"/>
        <w:ind w:left="0" w:leftChars="0" w:right="0"/>
        <w:jc w:val="left"/>
        <w:outlineLvl w:val="1"/>
        <w:rPr>
          <w:rFonts w:hint="eastAsia" w:ascii="宋体" w:hAnsi="宋体" w:eastAsia="宋体" w:cs="宋体"/>
          <w:b/>
          <w:color w:val="auto"/>
          <w:kern w:val="2"/>
          <w:sz w:val="24"/>
          <w:szCs w:val="24"/>
          <w:highlight w:val="none"/>
          <w:lang w:val="en-US" w:eastAsia="zh-CN" w:bidi="ar-SA"/>
        </w:rPr>
      </w:pPr>
      <w:bookmarkStart w:id="164" w:name="_Toc27268"/>
      <w:bookmarkStart w:id="165" w:name="_Toc14671"/>
      <w:r>
        <w:rPr>
          <w:rFonts w:hint="eastAsia" w:ascii="宋体" w:hAnsi="宋体" w:eastAsia="宋体" w:cs="宋体"/>
          <w:b/>
          <w:color w:val="auto"/>
          <w:kern w:val="2"/>
          <w:sz w:val="24"/>
          <w:szCs w:val="24"/>
          <w:highlight w:val="none"/>
          <w:lang w:val="en-US" w:eastAsia="zh-CN" w:bidi="ar-SA"/>
        </w:rPr>
        <w:t>四、质量标准</w:t>
      </w:r>
      <w:bookmarkEnd w:id="157"/>
      <w:bookmarkEnd w:id="158"/>
      <w:bookmarkEnd w:id="159"/>
      <w:bookmarkEnd w:id="160"/>
      <w:bookmarkEnd w:id="161"/>
      <w:bookmarkEnd w:id="162"/>
      <w:bookmarkEnd w:id="163"/>
      <w:bookmarkEnd w:id="164"/>
      <w:bookmarkEnd w:id="165"/>
    </w:p>
    <w:p w14:paraId="54E1BFA7">
      <w:pPr>
        <w:pageBreakBefore w:val="0"/>
        <w:widowControl/>
        <w:tabs>
          <w:tab w:val="left" w:pos="7260"/>
        </w:tabs>
        <w:kinsoku/>
        <w:wordWrap/>
        <w:overflowPunct/>
        <w:topLinePunct w:val="0"/>
        <w:bidi w:val="0"/>
        <w:snapToGrid w:val="0"/>
        <w:spacing w:beforeLines="0" w:afterLines="0" w:line="360" w:lineRule="auto"/>
        <w:ind w:left="0" w:leftChars="0" w:right="0" w:firstLine="480" w:firstLineChars="200"/>
        <w:contextualSpacing/>
        <w:jc w:val="left"/>
        <w:textAlignment w:val="auto"/>
        <w:rPr>
          <w:rFonts w:hint="eastAsia" w:ascii="宋体" w:hAnsi="宋体" w:eastAsia="宋体" w:cs="宋体"/>
          <w:color w:val="auto"/>
          <w:kern w:val="2"/>
          <w:sz w:val="24"/>
          <w:szCs w:val="24"/>
          <w:highlight w:val="none"/>
          <w:u w:val="none"/>
          <w:lang w:bidi="zh-CN"/>
        </w:rPr>
      </w:pPr>
      <w:r>
        <w:rPr>
          <w:rFonts w:hint="eastAsia" w:ascii="宋体" w:hAnsi="宋体" w:eastAsia="宋体" w:cs="宋体"/>
          <w:color w:val="auto"/>
          <w:kern w:val="2"/>
          <w:sz w:val="24"/>
          <w:szCs w:val="24"/>
          <w:highlight w:val="none"/>
          <w:u w:val="none"/>
          <w:lang w:bidi="zh-CN"/>
        </w:rPr>
        <w:t>严格按照国家、广东省、佛山市、南海区或行业现行的相关标准、规范、计价依据提供真实、准确、可靠的</w:t>
      </w:r>
      <w:r>
        <w:rPr>
          <w:rFonts w:hint="eastAsia" w:ascii="宋体" w:hAnsi="宋体" w:eastAsia="宋体" w:cs="宋体"/>
          <w:color w:val="auto"/>
          <w:kern w:val="2"/>
          <w:sz w:val="24"/>
          <w:szCs w:val="24"/>
          <w:highlight w:val="none"/>
          <w:u w:val="none"/>
          <w:lang w:val="en-US" w:bidi="zh-CN"/>
        </w:rPr>
        <w:t>造价</w:t>
      </w:r>
      <w:r>
        <w:rPr>
          <w:rFonts w:hint="eastAsia" w:ascii="宋体" w:hAnsi="宋体" w:eastAsia="宋体" w:cs="宋体"/>
          <w:color w:val="auto"/>
          <w:kern w:val="2"/>
          <w:sz w:val="24"/>
          <w:szCs w:val="24"/>
          <w:highlight w:val="none"/>
          <w:u w:val="none"/>
          <w:lang w:bidi="zh-CN"/>
        </w:rPr>
        <w:t>咨询服务。</w:t>
      </w:r>
    </w:p>
    <w:p w14:paraId="0EECDB4E">
      <w:pPr>
        <w:pageBreakBefore w:val="0"/>
        <w:widowControl/>
        <w:tabs>
          <w:tab w:val="left" w:pos="7260"/>
        </w:tabs>
        <w:kinsoku/>
        <w:wordWrap/>
        <w:overflowPunct/>
        <w:topLinePunct w:val="0"/>
        <w:bidi w:val="0"/>
        <w:snapToGrid w:val="0"/>
        <w:spacing w:beforeLines="0" w:afterLines="0" w:line="360" w:lineRule="auto"/>
        <w:ind w:left="0" w:leftChars="0" w:right="0" w:firstLine="480" w:firstLineChars="200"/>
        <w:contextualSpacing/>
        <w:jc w:val="left"/>
        <w:textAlignment w:val="auto"/>
        <w:rPr>
          <w:rFonts w:hint="eastAsia" w:ascii="宋体" w:hAnsi="宋体" w:eastAsia="宋体" w:cs="宋体"/>
          <w:color w:val="auto"/>
          <w:kern w:val="2"/>
          <w:sz w:val="24"/>
          <w:szCs w:val="24"/>
          <w:highlight w:val="none"/>
          <w:u w:val="none"/>
          <w:lang w:bidi="zh-CN"/>
        </w:rPr>
      </w:pPr>
      <w:r>
        <w:rPr>
          <w:rFonts w:hint="eastAsia" w:ascii="宋体" w:hAnsi="宋体" w:eastAsia="宋体" w:cs="宋体"/>
          <w:color w:val="auto"/>
          <w:kern w:val="2"/>
          <w:sz w:val="24"/>
          <w:szCs w:val="24"/>
          <w:highlight w:val="none"/>
          <w:u w:val="none"/>
          <w:lang w:bidi="zh-CN"/>
        </w:rPr>
        <w:t>1、咨询人应当保证所提交报告文件的合法性、准确性和全面性。</w:t>
      </w:r>
    </w:p>
    <w:p w14:paraId="2E2C4AB8">
      <w:pPr>
        <w:pageBreakBefore w:val="0"/>
        <w:widowControl/>
        <w:tabs>
          <w:tab w:val="left" w:pos="7260"/>
        </w:tabs>
        <w:kinsoku/>
        <w:wordWrap/>
        <w:overflowPunct/>
        <w:topLinePunct w:val="0"/>
        <w:bidi w:val="0"/>
        <w:snapToGrid w:val="0"/>
        <w:spacing w:beforeLines="0" w:afterLines="0" w:line="360" w:lineRule="auto"/>
        <w:ind w:left="0" w:leftChars="0" w:right="0" w:firstLine="480" w:firstLineChars="200"/>
        <w:contextualSpacing/>
        <w:jc w:val="left"/>
        <w:textAlignment w:val="auto"/>
        <w:rPr>
          <w:rFonts w:hint="eastAsia" w:ascii="宋体" w:hAnsi="宋体" w:eastAsia="宋体" w:cs="宋体"/>
          <w:color w:val="auto"/>
          <w:kern w:val="2"/>
          <w:sz w:val="24"/>
          <w:szCs w:val="24"/>
          <w:highlight w:val="none"/>
          <w:u w:val="none"/>
          <w:lang w:bidi="zh-CN"/>
        </w:rPr>
      </w:pPr>
      <w:r>
        <w:rPr>
          <w:rFonts w:hint="eastAsia" w:ascii="宋体" w:hAnsi="宋体" w:eastAsia="宋体" w:cs="宋体"/>
          <w:color w:val="auto"/>
          <w:kern w:val="2"/>
          <w:sz w:val="24"/>
          <w:szCs w:val="24"/>
          <w:highlight w:val="none"/>
          <w:u w:val="none"/>
          <w:lang w:bidi="zh-CN"/>
        </w:rPr>
        <w:t>2、咨询人所提交的报告文件必须文字清晰整齐，内容达到委托人及本合同的要求。</w:t>
      </w:r>
    </w:p>
    <w:p w14:paraId="76F817A4">
      <w:pPr>
        <w:pageBreakBefore w:val="0"/>
        <w:widowControl/>
        <w:tabs>
          <w:tab w:val="left" w:pos="7260"/>
        </w:tabs>
        <w:kinsoku/>
        <w:wordWrap/>
        <w:overflowPunct/>
        <w:topLinePunct w:val="0"/>
        <w:bidi w:val="0"/>
        <w:snapToGrid w:val="0"/>
        <w:spacing w:beforeLines="0" w:afterLines="0" w:line="360" w:lineRule="auto"/>
        <w:ind w:left="0" w:leftChars="0" w:right="0" w:firstLine="480" w:firstLineChars="200"/>
        <w:contextualSpacing/>
        <w:jc w:val="left"/>
        <w:textAlignment w:val="auto"/>
        <w:rPr>
          <w:rFonts w:hint="eastAsia" w:ascii="宋体" w:hAnsi="宋体" w:eastAsia="宋体" w:cs="宋体"/>
          <w:color w:val="auto"/>
          <w:kern w:val="2"/>
          <w:sz w:val="24"/>
          <w:szCs w:val="24"/>
          <w:highlight w:val="none"/>
          <w:u w:val="none"/>
          <w:lang w:bidi="zh-CN"/>
        </w:rPr>
      </w:pPr>
      <w:r>
        <w:rPr>
          <w:rFonts w:hint="eastAsia" w:ascii="宋体" w:hAnsi="宋体" w:eastAsia="宋体" w:cs="宋体"/>
          <w:color w:val="auto"/>
          <w:kern w:val="2"/>
          <w:sz w:val="24"/>
          <w:szCs w:val="24"/>
          <w:highlight w:val="none"/>
          <w:u w:val="none"/>
          <w:lang w:bidi="zh-CN"/>
        </w:rPr>
        <w:t>3、如咨询人不按合同条款、委托人的要求执行，或报告质量等达不到委托人的要求，委托人有权勒令咨询人整改，一切责任由咨询人负责。</w:t>
      </w:r>
    </w:p>
    <w:p w14:paraId="3FF8B222">
      <w:pPr>
        <w:pageBreakBefore w:val="0"/>
        <w:widowControl/>
        <w:tabs>
          <w:tab w:val="left" w:pos="7260"/>
        </w:tabs>
        <w:kinsoku/>
        <w:wordWrap/>
        <w:overflowPunct/>
        <w:topLinePunct w:val="0"/>
        <w:bidi w:val="0"/>
        <w:snapToGrid w:val="0"/>
        <w:spacing w:beforeLines="0" w:afterLines="0" w:line="360" w:lineRule="auto"/>
        <w:ind w:left="0" w:leftChars="0" w:right="0" w:firstLine="480" w:firstLineChars="200"/>
        <w:contextualSpacing/>
        <w:jc w:val="left"/>
        <w:textAlignment w:val="auto"/>
        <w:rPr>
          <w:rFonts w:hint="eastAsia" w:ascii="宋体" w:hAnsi="宋体" w:eastAsia="宋体" w:cs="宋体"/>
          <w:color w:val="auto"/>
          <w:kern w:val="2"/>
          <w:sz w:val="24"/>
          <w:szCs w:val="24"/>
          <w:highlight w:val="none"/>
          <w:u w:val="none"/>
          <w:lang w:bidi="zh-CN"/>
        </w:rPr>
      </w:pPr>
      <w:r>
        <w:rPr>
          <w:rFonts w:hint="eastAsia" w:ascii="宋体" w:hAnsi="宋体" w:eastAsia="宋体" w:cs="宋体"/>
          <w:color w:val="auto"/>
          <w:kern w:val="2"/>
          <w:sz w:val="24"/>
          <w:szCs w:val="24"/>
          <w:highlight w:val="none"/>
          <w:u w:val="none"/>
          <w:lang w:bidi="zh-CN"/>
        </w:rPr>
        <w:t>4、各项工程造价咨询完成，咨询人自检审查合格后，按要求将报告移交委托人，并提供有关资料（包括工程量计算书、钢筋抽料单、各类分项工程工程量汇总、成本分析报告等），经委托人确认合格并签字后方可进行付款。如果发现咨询人的资料不能达到委托人（或财政部门）的要求时，咨询人须对所报资料进行整改、修正，直至符合委托人（或财政部门）要求为止（咨询人移交的计算底稿必须可复查性强、条理清楚、步骤清晰）且最后一次修正稿的提交日为咨询人提交工作成果日。</w:t>
      </w:r>
    </w:p>
    <w:p w14:paraId="12068C89">
      <w:pPr>
        <w:pageBreakBefore w:val="0"/>
        <w:widowControl/>
        <w:numPr>
          <w:ilvl w:val="-1"/>
          <w:numId w:val="0"/>
        </w:numPr>
        <w:tabs>
          <w:tab w:val="left" w:pos="7260"/>
        </w:tabs>
        <w:kinsoku/>
        <w:wordWrap/>
        <w:overflowPunct/>
        <w:topLinePunct w:val="0"/>
        <w:bidi w:val="0"/>
        <w:snapToGrid w:val="0"/>
        <w:spacing w:beforeLines="0" w:afterLines="0" w:line="360" w:lineRule="auto"/>
        <w:ind w:left="0" w:leftChars="0" w:right="0" w:firstLine="480" w:firstLineChars="200"/>
        <w:contextualSpacing/>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u w:val="none"/>
          <w:lang w:bidi="zh-CN"/>
        </w:rPr>
        <w:t>5、工程造价咨询成果文件应符合国家、行业、地方现行相关标准和规范、规程，确保成果资料完整、真实准确、清晰有据。</w:t>
      </w:r>
    </w:p>
    <w:p w14:paraId="4F775792">
      <w:pPr>
        <w:pageBreakBefore w:val="0"/>
        <w:widowControl w:val="0"/>
        <w:kinsoku/>
        <w:overflowPunct/>
        <w:bidi w:val="0"/>
        <w:adjustRightInd w:val="0"/>
        <w:snapToGrid w:val="0"/>
        <w:spacing w:beforeLines="0" w:afterLines="0" w:line="360" w:lineRule="auto"/>
        <w:ind w:left="0" w:leftChars="0" w:right="0"/>
        <w:jc w:val="left"/>
        <w:outlineLvl w:val="1"/>
        <w:rPr>
          <w:rFonts w:hint="eastAsia" w:ascii="宋体" w:hAnsi="宋体" w:eastAsia="宋体" w:cs="宋体"/>
          <w:b/>
          <w:color w:val="auto"/>
          <w:kern w:val="2"/>
          <w:sz w:val="24"/>
          <w:szCs w:val="24"/>
          <w:highlight w:val="none"/>
          <w:lang w:val="en-US" w:eastAsia="zh-CN" w:bidi="ar-SA"/>
        </w:rPr>
      </w:pPr>
      <w:bookmarkStart w:id="166" w:name="_Toc28680"/>
      <w:bookmarkStart w:id="167" w:name="_Toc14825"/>
      <w:bookmarkStart w:id="168" w:name="_Toc7689"/>
      <w:bookmarkStart w:id="169" w:name="_Toc27597"/>
      <w:bookmarkStart w:id="170" w:name="_Toc14669"/>
      <w:r>
        <w:rPr>
          <w:rFonts w:hint="eastAsia" w:ascii="宋体" w:hAnsi="宋体" w:eastAsia="宋体" w:cs="宋体"/>
          <w:b/>
          <w:color w:val="auto"/>
          <w:kern w:val="2"/>
          <w:sz w:val="24"/>
          <w:szCs w:val="24"/>
          <w:highlight w:val="none"/>
          <w:lang w:val="en-US" w:eastAsia="zh-CN" w:bidi="ar-SA"/>
        </w:rPr>
        <w:t>五、合同价格形式与签约合同价</w:t>
      </w:r>
      <w:bookmarkEnd w:id="166"/>
      <w:bookmarkEnd w:id="167"/>
      <w:bookmarkEnd w:id="168"/>
      <w:bookmarkEnd w:id="169"/>
      <w:bookmarkEnd w:id="170"/>
    </w:p>
    <w:p w14:paraId="12C316EB">
      <w:pPr>
        <w:pageBreakBefore w:val="0"/>
        <w:widowControl/>
        <w:numPr>
          <w:ilvl w:val="-1"/>
          <w:numId w:val="0"/>
        </w:numPr>
        <w:kinsoku/>
        <w:overflowPunct/>
        <w:bidi w:val="0"/>
        <w:snapToGrid w:val="0"/>
        <w:spacing w:beforeLines="0" w:afterLines="0" w:line="360" w:lineRule="auto"/>
        <w:ind w:left="0" w:leftChars="0" w:right="0" w:rightChars="0" w:firstLine="482"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本项目</w:t>
      </w:r>
      <w:r>
        <w:rPr>
          <w:rFonts w:hint="eastAsia" w:ascii="宋体" w:hAnsi="宋体" w:eastAsia="宋体" w:cs="宋体"/>
          <w:b/>
          <w:color w:val="auto"/>
          <w:sz w:val="24"/>
          <w:highlight w:val="none"/>
          <w:lang w:val="en-US" w:eastAsia="zh-CN"/>
        </w:rPr>
        <w:t>预算复审中标费率（中标费率=中标价÷招标控制价×100%）为：</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color w:val="auto"/>
          <w:sz w:val="24"/>
          <w:highlight w:val="none"/>
        </w:rPr>
        <w:t>工程</w:t>
      </w:r>
      <w:r>
        <w:rPr>
          <w:rFonts w:hint="eastAsia" w:ascii="宋体" w:hAnsi="宋体" w:eastAsia="宋体" w:cs="宋体"/>
          <w:b/>
          <w:color w:val="auto"/>
          <w:sz w:val="24"/>
          <w:highlight w:val="none"/>
          <w:lang w:val="en-US" w:eastAsia="zh-CN"/>
        </w:rPr>
        <w:t>结算</w:t>
      </w:r>
      <w:r>
        <w:rPr>
          <w:rFonts w:hint="eastAsia" w:ascii="宋体" w:hAnsi="宋体" w:eastAsia="宋体" w:cs="宋体"/>
          <w:b/>
          <w:color w:val="auto"/>
          <w:sz w:val="24"/>
          <w:highlight w:val="none"/>
        </w:rPr>
        <w:t>咨询服务费签约合同价为人民币（大写）</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color w:val="auto"/>
          <w:sz w:val="24"/>
          <w:highlight w:val="none"/>
        </w:rPr>
        <w:t>，（小写）¥</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color w:val="auto"/>
          <w:sz w:val="24"/>
          <w:highlight w:val="none"/>
        </w:rPr>
        <w:t>元</w:t>
      </w:r>
      <w:r>
        <w:rPr>
          <w:rFonts w:hint="eastAsia" w:ascii="宋体" w:hAnsi="宋体" w:eastAsia="宋体" w:cs="宋体"/>
          <w:b/>
          <w:color w:val="auto"/>
          <w:sz w:val="24"/>
          <w:highlight w:val="none"/>
          <w:lang w:eastAsia="zh-CN"/>
        </w:rPr>
        <w:t>。</w:t>
      </w:r>
    </w:p>
    <w:p w14:paraId="057CB763">
      <w:pPr>
        <w:pageBreakBefore w:val="0"/>
        <w:widowControl w:val="0"/>
        <w:numPr>
          <w:ilvl w:val="0"/>
          <w:numId w:val="0"/>
        </w:numPr>
        <w:kinsoku/>
        <w:overflowPunct/>
        <w:bidi w:val="0"/>
        <w:snapToGrid w:val="0"/>
        <w:spacing w:beforeLines="0" w:afterLines="0" w:line="360" w:lineRule="auto"/>
        <w:ind w:left="0" w:leftChars="0" w:right="0" w:rightChars="0" w:firstLine="480" w:firstLineChars="200"/>
        <w:jc w:val="both"/>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lang w:val="en-US" w:eastAsia="zh-CN"/>
        </w:rPr>
        <w:t>2.本项目服务费应包括但不限于：造价审核服务费、资料收集和整理、文书编制及打印费、交通差旅费、文档打印、文件装订及寄送费用、现场跟踪和协调统筹服务、工作人员的相关费用（含办公、交通费、餐费、通讯费、住宿费等）、会务费、税费等所产生的一切费用、全额含税发票、雇员费用、后续服务费、合同实施过程中的应预见和不可预见费用等完成合同规定责任和义务、达到合同目的的一切费用及企业利润</w:t>
      </w:r>
      <w:r>
        <w:rPr>
          <w:rFonts w:hint="eastAsia" w:ascii="宋体" w:hAnsi="宋体" w:eastAsia="宋体" w:cs="宋体"/>
          <w:color w:val="auto"/>
          <w:sz w:val="24"/>
          <w:highlight w:val="none"/>
          <w:lang w:eastAsia="zh-CN"/>
        </w:rPr>
        <w:t>。</w:t>
      </w:r>
    </w:p>
    <w:p w14:paraId="22094746">
      <w:pPr>
        <w:pageBreakBefore w:val="0"/>
        <w:widowControl w:val="0"/>
        <w:kinsoku/>
        <w:overflowPunct/>
        <w:bidi w:val="0"/>
        <w:adjustRightInd w:val="0"/>
        <w:snapToGrid w:val="0"/>
        <w:spacing w:beforeLines="0" w:afterLines="0" w:line="360" w:lineRule="auto"/>
        <w:ind w:left="0" w:leftChars="0" w:right="0"/>
        <w:jc w:val="left"/>
        <w:outlineLvl w:val="1"/>
        <w:rPr>
          <w:rFonts w:hint="eastAsia" w:ascii="宋体" w:hAnsi="宋体" w:eastAsia="宋体" w:cs="宋体"/>
          <w:b/>
          <w:color w:val="auto"/>
          <w:kern w:val="2"/>
          <w:sz w:val="24"/>
          <w:szCs w:val="24"/>
          <w:highlight w:val="none"/>
          <w:lang w:val="en-US" w:eastAsia="zh-CN" w:bidi="ar-SA"/>
        </w:rPr>
      </w:pPr>
      <w:bookmarkStart w:id="171" w:name="_Toc7973"/>
      <w:bookmarkStart w:id="172" w:name="_Toc19386"/>
      <w:r>
        <w:rPr>
          <w:rFonts w:hint="eastAsia" w:ascii="宋体" w:hAnsi="宋体" w:eastAsia="宋体" w:cs="宋体"/>
          <w:b/>
          <w:color w:val="auto"/>
          <w:kern w:val="2"/>
          <w:sz w:val="24"/>
          <w:szCs w:val="24"/>
          <w:highlight w:val="none"/>
          <w:lang w:val="en-US" w:eastAsia="zh-CN" w:bidi="ar-SA"/>
        </w:rPr>
        <w:t>六、委托人代表与咨询人项目负责人</w:t>
      </w:r>
      <w:bookmarkEnd w:id="171"/>
      <w:bookmarkEnd w:id="172"/>
    </w:p>
    <w:p w14:paraId="403B89DA">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AB1E94F">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咨询人项目负责人：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。证书号：</w:t>
      </w:r>
      <w:bookmarkStart w:id="173" w:name="_Toc422322476"/>
      <w:bookmarkStart w:id="174" w:name="_Toc419045058"/>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p>
    <w:p w14:paraId="21A22607">
      <w:pPr>
        <w:pageBreakBefore w:val="0"/>
        <w:kinsoku/>
        <w:overflowPunct/>
        <w:bidi w:val="0"/>
        <w:spacing w:beforeLines="0" w:afterLines="0" w:line="360" w:lineRule="auto"/>
        <w:ind w:left="472" w:leftChars="0" w:right="0" w:hanging="472" w:hangingChars="196"/>
        <w:rPr>
          <w:rStyle w:val="93"/>
          <w:rFonts w:hint="eastAsia" w:ascii="宋体" w:hAnsi="宋体" w:eastAsia="宋体" w:cs="宋体"/>
          <w:color w:val="auto"/>
          <w:sz w:val="24"/>
          <w:highlight w:val="none"/>
          <w:lang w:eastAsia="zh-CN"/>
        </w:rPr>
      </w:pPr>
      <w:bookmarkStart w:id="175" w:name="_Toc18040"/>
      <w:bookmarkStart w:id="176" w:name="_Toc29553"/>
      <w:bookmarkStart w:id="177" w:name="_Toc12088"/>
      <w:bookmarkStart w:id="178" w:name="_Toc5668"/>
      <w:bookmarkStart w:id="179" w:name="_Toc30644"/>
      <w:r>
        <w:rPr>
          <w:rStyle w:val="93"/>
          <w:rFonts w:hint="eastAsia" w:ascii="宋体" w:hAnsi="宋体" w:eastAsia="宋体" w:cs="宋体"/>
          <w:color w:val="auto"/>
          <w:sz w:val="24"/>
          <w:highlight w:val="none"/>
        </w:rPr>
        <w:t>七、合同文件的构成</w:t>
      </w:r>
      <w:bookmarkEnd w:id="173"/>
      <w:bookmarkEnd w:id="174"/>
      <w:bookmarkEnd w:id="175"/>
      <w:bookmarkEnd w:id="176"/>
    </w:p>
    <w:bookmarkEnd w:id="177"/>
    <w:bookmarkEnd w:id="178"/>
    <w:bookmarkEnd w:id="179"/>
    <w:p w14:paraId="07B40FD3">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本协议书与下列文件一起构成合同文件:</w:t>
      </w:r>
    </w:p>
    <w:p w14:paraId="0F6325DE">
      <w:pPr>
        <w:pageBreakBefore w:val="0"/>
        <w:widowControl/>
        <w:kinsoku/>
        <w:overflowPunct/>
        <w:bidi w:val="0"/>
        <w:snapToGrid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1.协议书</w:t>
      </w:r>
    </w:p>
    <w:p w14:paraId="5B4DCAB7">
      <w:pPr>
        <w:pageBreakBefore w:val="0"/>
        <w:widowControl/>
        <w:kinsoku/>
        <w:overflowPunct/>
        <w:bidi w:val="0"/>
        <w:snapToGrid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2.中标通知书；</w:t>
      </w:r>
    </w:p>
    <w:p w14:paraId="345483DB">
      <w:pPr>
        <w:pageBreakBefore w:val="0"/>
        <w:widowControl/>
        <w:kinsoku/>
        <w:overflowPunct/>
        <w:bidi w:val="0"/>
        <w:snapToGrid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3.投标函及投标函附录；</w:t>
      </w:r>
    </w:p>
    <w:p w14:paraId="3CA2EE93">
      <w:pPr>
        <w:pageBreakBefore w:val="0"/>
        <w:widowControl/>
        <w:kinsoku/>
        <w:overflowPunct/>
        <w:bidi w:val="0"/>
        <w:snapToGrid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4.专用条件及附件；</w:t>
      </w:r>
    </w:p>
    <w:p w14:paraId="71B18312">
      <w:pPr>
        <w:pageBreakBefore w:val="0"/>
        <w:widowControl/>
        <w:kinsoku/>
        <w:overflowPunct/>
        <w:bidi w:val="0"/>
        <w:snapToGrid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5.通用条件；</w:t>
      </w:r>
    </w:p>
    <w:p w14:paraId="0E94050C">
      <w:pPr>
        <w:pageBreakBefore w:val="0"/>
        <w:widowControl/>
        <w:kinsoku/>
        <w:overflowPunct/>
        <w:bidi w:val="0"/>
        <w:snapToGrid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6.其他合同文件（含招标文件及其附件及答疑补遗文件）。</w:t>
      </w:r>
    </w:p>
    <w:p w14:paraId="742B57CD">
      <w:pPr>
        <w:pageBreakBefore w:val="0"/>
        <w:widowControl/>
        <w:kinsoku/>
        <w:overflowPunct/>
        <w:bidi w:val="0"/>
        <w:snapToGrid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上述各项合同文件包括合同当事人就该项合同文件所作出的补充和修改，属于同一类内容的文件，应以最新签署的为准。</w:t>
      </w:r>
    </w:p>
    <w:p w14:paraId="60476E11">
      <w:pPr>
        <w:pageBreakBefore w:val="0"/>
        <w:widowControl/>
        <w:kinsoku/>
        <w:overflowPunct/>
        <w:bidi w:val="0"/>
        <w:snapToGrid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在合同订立及履行过程中形成的与合同有关的文件（包括补充协议）均构</w:t>
      </w:r>
      <w:r>
        <w:rPr>
          <w:rFonts w:hint="eastAsia" w:ascii="宋体" w:hAnsi="宋体" w:eastAsia="宋体" w:cs="宋体"/>
          <w:color w:val="auto"/>
          <w:kern w:val="0"/>
          <w:sz w:val="24"/>
          <w:szCs w:val="21"/>
          <w:highlight w:val="none"/>
          <w:lang w:val="en-US" w:eastAsia="zh-CN" w:bidi="ar-SA"/>
        </w:rPr>
        <w:t>成合同文件的组成部分。</w:t>
      </w:r>
    </w:p>
    <w:p w14:paraId="2CDF1E02">
      <w:pPr>
        <w:pageBreakBefore w:val="0"/>
        <w:widowControl w:val="0"/>
        <w:kinsoku/>
        <w:overflowPunct/>
        <w:bidi w:val="0"/>
        <w:adjustRightInd w:val="0"/>
        <w:snapToGrid w:val="0"/>
        <w:spacing w:beforeLines="0" w:afterLines="0" w:line="360" w:lineRule="auto"/>
        <w:ind w:left="0" w:leftChars="0" w:right="0"/>
        <w:jc w:val="left"/>
        <w:outlineLvl w:val="1"/>
        <w:rPr>
          <w:rStyle w:val="227"/>
          <w:rFonts w:hint="eastAsia" w:ascii="宋体" w:hAnsi="宋体" w:eastAsia="宋体" w:cs="宋体"/>
          <w:b/>
          <w:color w:val="auto"/>
          <w:kern w:val="2"/>
          <w:sz w:val="24"/>
          <w:szCs w:val="20"/>
          <w:highlight w:val="none"/>
          <w:lang w:val="en-US" w:eastAsia="zh-CN" w:bidi="ar-SA"/>
        </w:rPr>
      </w:pPr>
      <w:bookmarkStart w:id="180" w:name="_Toc419045057"/>
      <w:bookmarkStart w:id="181" w:name="_Toc422322477"/>
      <w:bookmarkStart w:id="182" w:name="_Toc489278515"/>
      <w:bookmarkStart w:id="183" w:name="_Toc7097"/>
      <w:bookmarkStart w:id="184" w:name="_Toc17448"/>
      <w:bookmarkStart w:id="185" w:name="_Toc17527"/>
      <w:bookmarkStart w:id="186" w:name="_Toc490753349"/>
      <w:bookmarkStart w:id="187" w:name="_Toc15754"/>
      <w:bookmarkStart w:id="188" w:name="_Toc12229"/>
      <w:r>
        <w:rPr>
          <w:rStyle w:val="227"/>
          <w:rFonts w:hint="eastAsia" w:ascii="宋体" w:hAnsi="宋体" w:eastAsia="宋体" w:cs="宋体"/>
          <w:b/>
          <w:bCs/>
          <w:color w:val="auto"/>
          <w:sz w:val="24"/>
          <w:highlight w:val="none"/>
          <w:lang w:val="en-US" w:eastAsia="zh-CN" w:bidi="ar-SA"/>
        </w:rPr>
        <w:t>八、词语</w:t>
      </w:r>
      <w:bookmarkEnd w:id="180"/>
      <w:r>
        <w:rPr>
          <w:rStyle w:val="227"/>
          <w:rFonts w:hint="eastAsia" w:ascii="宋体" w:hAnsi="宋体" w:eastAsia="宋体" w:cs="宋体"/>
          <w:b/>
          <w:bCs/>
          <w:color w:val="auto"/>
          <w:sz w:val="24"/>
          <w:highlight w:val="none"/>
          <w:lang w:val="en-US" w:eastAsia="zh-CN" w:bidi="ar-SA"/>
        </w:rPr>
        <w:t>定义</w:t>
      </w:r>
      <w:bookmarkEnd w:id="181"/>
      <w:bookmarkEnd w:id="182"/>
      <w:bookmarkEnd w:id="183"/>
      <w:bookmarkEnd w:id="184"/>
      <w:bookmarkEnd w:id="185"/>
      <w:bookmarkEnd w:id="186"/>
      <w:bookmarkEnd w:id="187"/>
      <w:bookmarkEnd w:id="188"/>
    </w:p>
    <w:p w14:paraId="22020C71">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协议书中相关词语的含义与通用条件中的定义与解释相同。</w:t>
      </w:r>
      <w:bookmarkStart w:id="189" w:name="8"/>
      <w:bookmarkEnd w:id="189"/>
    </w:p>
    <w:p w14:paraId="0CFB4025">
      <w:pPr>
        <w:pageBreakBefore w:val="0"/>
        <w:widowControl w:val="0"/>
        <w:kinsoku/>
        <w:overflowPunct/>
        <w:bidi w:val="0"/>
        <w:adjustRightInd w:val="0"/>
        <w:snapToGrid w:val="0"/>
        <w:spacing w:beforeLines="0" w:afterLines="0" w:line="360" w:lineRule="auto"/>
        <w:ind w:left="0" w:leftChars="0" w:right="0"/>
        <w:jc w:val="left"/>
        <w:outlineLvl w:val="1"/>
        <w:rPr>
          <w:rFonts w:hint="eastAsia" w:ascii="宋体" w:hAnsi="宋体" w:eastAsia="宋体" w:cs="宋体"/>
          <w:b/>
          <w:color w:val="auto"/>
          <w:kern w:val="2"/>
          <w:sz w:val="24"/>
          <w:szCs w:val="24"/>
          <w:highlight w:val="none"/>
          <w:lang w:val="en-US" w:eastAsia="zh-CN" w:bidi="ar-SA"/>
        </w:rPr>
      </w:pPr>
      <w:bookmarkStart w:id="190" w:name="_Toc489278516"/>
      <w:bookmarkStart w:id="191" w:name="_Toc490753350"/>
      <w:bookmarkStart w:id="192" w:name="_Toc19403"/>
      <w:bookmarkStart w:id="193" w:name="_Toc21143"/>
      <w:bookmarkStart w:id="194" w:name="_Toc15525"/>
      <w:bookmarkStart w:id="195" w:name="_Toc419045063"/>
      <w:bookmarkStart w:id="196" w:name="_Toc661"/>
      <w:bookmarkStart w:id="197" w:name="_Toc21187"/>
      <w:bookmarkStart w:id="198" w:name="_Toc422322478"/>
      <w:r>
        <w:rPr>
          <w:rFonts w:hint="eastAsia" w:ascii="宋体" w:hAnsi="宋体" w:eastAsia="宋体" w:cs="宋体"/>
          <w:b/>
          <w:color w:val="auto"/>
          <w:kern w:val="2"/>
          <w:sz w:val="24"/>
          <w:szCs w:val="24"/>
          <w:highlight w:val="none"/>
          <w:lang w:val="en-US" w:eastAsia="zh-CN" w:bidi="ar-SA"/>
        </w:rPr>
        <w:t>九、合同订立</w:t>
      </w:r>
      <w:bookmarkEnd w:id="190"/>
      <w:bookmarkEnd w:id="191"/>
      <w:bookmarkEnd w:id="192"/>
      <w:bookmarkEnd w:id="193"/>
      <w:bookmarkEnd w:id="194"/>
      <w:bookmarkEnd w:id="195"/>
      <w:bookmarkEnd w:id="196"/>
      <w:bookmarkEnd w:id="197"/>
      <w:bookmarkEnd w:id="198"/>
    </w:p>
    <w:p w14:paraId="57D05364">
      <w:pPr>
        <w:pageBreakBefore w:val="0"/>
        <w:widowControl/>
        <w:kinsoku/>
        <w:overflowPunct/>
        <w:bidi w:val="0"/>
        <w:snapToGrid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1.订立时间：</w:t>
      </w:r>
      <w:r>
        <w:rPr>
          <w:rFonts w:hint="eastAsia" w:ascii="宋体" w:hAnsi="宋体" w:eastAsia="宋体" w:cs="宋体"/>
          <w:color w:val="auto"/>
          <w:kern w:val="0"/>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日。</w:t>
      </w:r>
    </w:p>
    <w:p w14:paraId="2839214C">
      <w:pPr>
        <w:pageBreakBefore w:val="0"/>
        <w:widowControl/>
        <w:kinsoku/>
        <w:overflowPunct/>
        <w:bidi w:val="0"/>
        <w:snapToGrid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2.订立地点：</w:t>
      </w:r>
      <w:r>
        <w:rPr>
          <w:rFonts w:hint="eastAsia" w:ascii="宋体" w:hAnsi="宋体" w:eastAsia="宋体" w:cs="宋体"/>
          <w:color w:val="auto"/>
          <w:kern w:val="0"/>
          <w:sz w:val="24"/>
          <w:szCs w:val="24"/>
          <w:highlight w:val="none"/>
          <w:u w:val="single"/>
          <w:lang w:val="en-US" w:eastAsia="zh-CN" w:bidi="ar-SA"/>
        </w:rPr>
        <w:t>佛山市南海区</w:t>
      </w:r>
      <w:r>
        <w:rPr>
          <w:rFonts w:hint="eastAsia" w:ascii="宋体" w:hAnsi="宋体" w:eastAsia="宋体" w:cs="宋体"/>
          <w:color w:val="auto"/>
          <w:kern w:val="0"/>
          <w:sz w:val="24"/>
          <w:szCs w:val="24"/>
          <w:highlight w:val="none"/>
          <w:lang w:val="en-US" w:eastAsia="zh-CN" w:bidi="ar-SA"/>
        </w:rPr>
        <w:t>。</w:t>
      </w:r>
    </w:p>
    <w:p w14:paraId="75E581F3">
      <w:pPr>
        <w:pageBreakBefore w:val="0"/>
        <w:widowControl w:val="0"/>
        <w:kinsoku/>
        <w:overflowPunct/>
        <w:bidi w:val="0"/>
        <w:adjustRightInd w:val="0"/>
        <w:snapToGrid w:val="0"/>
        <w:spacing w:beforeLines="0" w:afterLines="0" w:line="360" w:lineRule="auto"/>
        <w:ind w:left="0" w:leftChars="0" w:right="0"/>
        <w:jc w:val="left"/>
        <w:outlineLvl w:val="1"/>
        <w:rPr>
          <w:rFonts w:hint="eastAsia" w:ascii="宋体" w:hAnsi="宋体" w:eastAsia="宋体" w:cs="宋体"/>
          <w:b/>
          <w:color w:val="auto"/>
          <w:kern w:val="2"/>
          <w:sz w:val="24"/>
          <w:szCs w:val="24"/>
          <w:highlight w:val="none"/>
          <w:lang w:val="en-US" w:eastAsia="zh-CN" w:bidi="ar-SA"/>
        </w:rPr>
      </w:pPr>
      <w:bookmarkStart w:id="199" w:name="_Toc6251"/>
      <w:bookmarkStart w:id="200" w:name="_Toc419045064"/>
      <w:bookmarkStart w:id="201" w:name="_Toc490753351"/>
      <w:bookmarkStart w:id="202" w:name="_Toc2353"/>
      <w:bookmarkStart w:id="203" w:name="_Toc25356"/>
      <w:bookmarkStart w:id="204" w:name="_Toc422322479"/>
      <w:bookmarkStart w:id="205" w:name="_Toc489278517"/>
      <w:bookmarkStart w:id="206" w:name="_Toc409"/>
      <w:bookmarkStart w:id="207" w:name="_Toc22069"/>
      <w:r>
        <w:rPr>
          <w:rFonts w:hint="eastAsia" w:ascii="宋体" w:hAnsi="宋体" w:eastAsia="宋体" w:cs="宋体"/>
          <w:b/>
          <w:color w:val="auto"/>
          <w:kern w:val="2"/>
          <w:sz w:val="24"/>
          <w:szCs w:val="24"/>
          <w:highlight w:val="none"/>
          <w:lang w:val="en-US" w:eastAsia="zh-CN" w:bidi="ar-SA"/>
        </w:rPr>
        <w:t>十、合同生效</w:t>
      </w:r>
      <w:bookmarkEnd w:id="199"/>
      <w:bookmarkEnd w:id="200"/>
      <w:bookmarkEnd w:id="201"/>
      <w:bookmarkEnd w:id="202"/>
      <w:bookmarkEnd w:id="203"/>
      <w:bookmarkEnd w:id="204"/>
      <w:bookmarkEnd w:id="205"/>
      <w:bookmarkEnd w:id="206"/>
      <w:bookmarkEnd w:id="207"/>
    </w:p>
    <w:p w14:paraId="62FD5395">
      <w:pPr>
        <w:pageBreakBefore w:val="0"/>
        <w:widowControl/>
        <w:kinsoku/>
        <w:overflowPunct/>
        <w:bidi w:val="0"/>
        <w:snapToGrid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本合同自</w:t>
      </w:r>
      <w:r>
        <w:rPr>
          <w:rFonts w:hint="eastAsia" w:ascii="宋体" w:hAnsi="宋体" w:cs="宋体"/>
          <w:bCs/>
          <w:color w:val="auto"/>
          <w:kern w:val="0"/>
          <w:sz w:val="24"/>
          <w:szCs w:val="24"/>
          <w:highlight w:val="none"/>
          <w:lang w:val="en-US" w:eastAsia="zh-CN" w:bidi="ar-SA"/>
        </w:rPr>
        <w:t>四方</w:t>
      </w:r>
      <w:r>
        <w:rPr>
          <w:rFonts w:hint="eastAsia" w:ascii="宋体" w:hAnsi="宋体" w:eastAsia="宋体" w:cs="宋体"/>
          <w:bCs/>
          <w:color w:val="auto"/>
          <w:kern w:val="0"/>
          <w:sz w:val="24"/>
          <w:szCs w:val="24"/>
          <w:highlight w:val="none"/>
          <w:lang w:val="en-US" w:eastAsia="zh-CN" w:bidi="ar-SA"/>
        </w:rPr>
        <w:t>法定代表人或其委托代理人签署并加盖单位章后生效。</w:t>
      </w:r>
    </w:p>
    <w:p w14:paraId="36D6174F">
      <w:pPr>
        <w:pageBreakBefore w:val="0"/>
        <w:widowControl w:val="0"/>
        <w:kinsoku/>
        <w:overflowPunct/>
        <w:bidi w:val="0"/>
        <w:adjustRightInd w:val="0"/>
        <w:snapToGrid w:val="0"/>
        <w:spacing w:beforeLines="0" w:afterLines="0" w:line="360" w:lineRule="auto"/>
        <w:ind w:left="0" w:leftChars="0" w:right="0"/>
        <w:jc w:val="left"/>
        <w:outlineLvl w:val="1"/>
        <w:rPr>
          <w:rFonts w:hint="eastAsia" w:ascii="宋体" w:hAnsi="宋体" w:eastAsia="宋体" w:cs="宋体"/>
          <w:b/>
          <w:color w:val="auto"/>
          <w:kern w:val="2"/>
          <w:sz w:val="24"/>
          <w:szCs w:val="24"/>
          <w:highlight w:val="none"/>
          <w:lang w:val="en-US" w:eastAsia="zh-CN" w:bidi="ar-SA"/>
        </w:rPr>
      </w:pPr>
      <w:bookmarkStart w:id="208" w:name="_Toc422322480"/>
      <w:bookmarkStart w:id="209" w:name="_Toc419045065"/>
      <w:bookmarkStart w:id="210" w:name="_Toc31494"/>
      <w:bookmarkStart w:id="211" w:name="_Toc489278518"/>
      <w:bookmarkStart w:id="212" w:name="_Toc11080"/>
      <w:bookmarkStart w:id="213" w:name="_Toc490753352"/>
      <w:bookmarkStart w:id="214" w:name="_Toc28402"/>
      <w:bookmarkStart w:id="215" w:name="_Toc13683"/>
      <w:bookmarkStart w:id="216" w:name="_Toc15857"/>
      <w:r>
        <w:rPr>
          <w:rFonts w:hint="eastAsia" w:ascii="宋体" w:hAnsi="宋体" w:eastAsia="宋体" w:cs="宋体"/>
          <w:b/>
          <w:color w:val="auto"/>
          <w:kern w:val="2"/>
          <w:sz w:val="24"/>
          <w:szCs w:val="24"/>
          <w:highlight w:val="none"/>
          <w:lang w:val="en-US" w:eastAsia="zh-CN" w:bidi="ar-SA"/>
        </w:rPr>
        <w:t>十一、合同份数</w:t>
      </w:r>
      <w:bookmarkEnd w:id="208"/>
      <w:bookmarkEnd w:id="209"/>
      <w:bookmarkEnd w:id="210"/>
      <w:bookmarkEnd w:id="211"/>
      <w:bookmarkEnd w:id="212"/>
      <w:bookmarkEnd w:id="213"/>
      <w:bookmarkEnd w:id="214"/>
      <w:bookmarkEnd w:id="215"/>
      <w:bookmarkEnd w:id="216"/>
    </w:p>
    <w:p w14:paraId="24D80C8D">
      <w:pPr>
        <w:pageBreakBefore w:val="0"/>
        <w:widowControl/>
        <w:kinsoku/>
        <w:overflowPunct/>
        <w:bidi w:val="0"/>
        <w:snapToGrid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bookmarkStart w:id="217" w:name="12"/>
      <w:bookmarkEnd w:id="217"/>
      <w:bookmarkStart w:id="218" w:name="_Toc422322481"/>
      <w:bookmarkStart w:id="219" w:name="_Toc419045066"/>
      <w:r>
        <w:rPr>
          <w:rFonts w:hint="eastAsia" w:ascii="宋体" w:hAnsi="宋体" w:eastAsia="宋体" w:cs="宋体"/>
          <w:color w:val="auto"/>
          <w:kern w:val="0"/>
          <w:sz w:val="24"/>
          <w:szCs w:val="24"/>
          <w:highlight w:val="none"/>
          <w:lang w:val="en-US" w:eastAsia="zh-CN" w:bidi="ar-SA"/>
        </w:rPr>
        <w:t>本合同正本</w:t>
      </w:r>
      <w:r>
        <w:rPr>
          <w:rFonts w:hint="eastAsia" w:ascii="宋体" w:hAnsi="宋体" w:eastAsia="宋体" w:cs="宋体"/>
          <w:color w:val="auto"/>
          <w:kern w:val="0"/>
          <w:sz w:val="24"/>
          <w:szCs w:val="24"/>
          <w:highlight w:val="none"/>
          <w:u w:val="single"/>
          <w:lang w:val="en-US" w:eastAsia="zh-CN" w:bidi="ar-SA"/>
        </w:rPr>
        <w:t>一式</w:t>
      </w:r>
      <w:r>
        <w:rPr>
          <w:rFonts w:hint="eastAsia" w:ascii="宋体" w:hAnsi="宋体" w:cs="宋体"/>
          <w:color w:val="auto"/>
          <w:kern w:val="0"/>
          <w:sz w:val="24"/>
          <w:szCs w:val="24"/>
          <w:highlight w:val="none"/>
          <w:u w:val="single"/>
          <w:lang w:val="en-US" w:eastAsia="zh-CN" w:bidi="ar-SA"/>
        </w:rPr>
        <w:t>肆</w:t>
      </w:r>
      <w:r>
        <w:rPr>
          <w:rFonts w:hint="eastAsia" w:ascii="宋体" w:hAnsi="宋体" w:eastAsia="宋体" w:cs="宋体"/>
          <w:color w:val="auto"/>
          <w:kern w:val="0"/>
          <w:sz w:val="24"/>
          <w:szCs w:val="24"/>
          <w:highlight w:val="none"/>
          <w:u w:val="single"/>
          <w:lang w:val="en-US" w:eastAsia="zh-CN" w:bidi="ar-SA"/>
        </w:rPr>
        <w:t>份、副本一式</w:t>
      </w:r>
      <w:r>
        <w:rPr>
          <w:rFonts w:hint="eastAsia" w:ascii="宋体" w:hAnsi="宋体" w:cs="宋体"/>
          <w:color w:val="auto"/>
          <w:kern w:val="0"/>
          <w:sz w:val="24"/>
          <w:szCs w:val="24"/>
          <w:highlight w:val="none"/>
          <w:u w:val="single"/>
          <w:lang w:val="en-US" w:eastAsia="zh-CN" w:bidi="ar-SA"/>
        </w:rPr>
        <w:t>拾壹</w:t>
      </w:r>
      <w:r>
        <w:rPr>
          <w:rFonts w:hint="eastAsia" w:ascii="宋体" w:hAnsi="宋体" w:eastAsia="宋体" w:cs="宋体"/>
          <w:color w:val="auto"/>
          <w:kern w:val="0"/>
          <w:sz w:val="24"/>
          <w:szCs w:val="24"/>
          <w:highlight w:val="none"/>
          <w:u w:val="single"/>
          <w:lang w:val="en-US" w:eastAsia="zh-CN" w:bidi="ar-SA"/>
        </w:rPr>
        <w:t>份</w:t>
      </w:r>
      <w:r>
        <w:rPr>
          <w:rFonts w:hint="eastAsia" w:ascii="宋体" w:hAnsi="宋体" w:eastAsia="宋体" w:cs="宋体"/>
          <w:color w:val="auto"/>
          <w:kern w:val="0"/>
          <w:sz w:val="24"/>
          <w:szCs w:val="24"/>
          <w:highlight w:val="none"/>
          <w:lang w:val="en-US" w:eastAsia="zh-CN" w:bidi="ar-SA"/>
        </w:rPr>
        <w:t>，均具有同等法律效力，委托人执</w:t>
      </w:r>
      <w:r>
        <w:rPr>
          <w:rFonts w:hint="eastAsia" w:ascii="宋体" w:hAnsi="宋体" w:eastAsia="宋体" w:cs="宋体"/>
          <w:color w:val="auto"/>
          <w:kern w:val="0"/>
          <w:sz w:val="24"/>
          <w:szCs w:val="24"/>
          <w:highlight w:val="none"/>
          <w:u w:val="single"/>
          <w:lang w:val="en-US" w:eastAsia="zh-CN" w:bidi="ar-SA"/>
        </w:rPr>
        <w:t>正本壹份、副本</w:t>
      </w:r>
      <w:r>
        <w:rPr>
          <w:rFonts w:hint="eastAsia" w:ascii="宋体" w:hAnsi="宋体" w:cs="宋体"/>
          <w:color w:val="auto"/>
          <w:kern w:val="0"/>
          <w:sz w:val="24"/>
          <w:szCs w:val="24"/>
          <w:highlight w:val="none"/>
          <w:u w:val="single"/>
          <w:lang w:val="en-US" w:eastAsia="zh-CN" w:bidi="ar-SA"/>
        </w:rPr>
        <w:t>叁</w:t>
      </w:r>
      <w:r>
        <w:rPr>
          <w:rFonts w:hint="eastAsia" w:ascii="宋体" w:hAnsi="宋体" w:eastAsia="宋体" w:cs="宋体"/>
          <w:color w:val="auto"/>
          <w:kern w:val="0"/>
          <w:sz w:val="24"/>
          <w:szCs w:val="24"/>
          <w:highlight w:val="none"/>
          <w:u w:val="single"/>
          <w:lang w:val="en-US" w:eastAsia="zh-CN" w:bidi="ar-SA"/>
        </w:rPr>
        <w:t>份</w:t>
      </w:r>
      <w:r>
        <w:rPr>
          <w:rFonts w:hint="eastAsia" w:ascii="宋体" w:hAnsi="宋体" w:eastAsia="宋体" w:cs="宋体"/>
          <w:color w:val="auto"/>
          <w:kern w:val="0"/>
          <w:sz w:val="24"/>
          <w:szCs w:val="24"/>
          <w:highlight w:val="none"/>
          <w:lang w:val="en-US" w:eastAsia="zh-CN" w:bidi="ar-SA"/>
        </w:rPr>
        <w:t>，咨询人执</w:t>
      </w:r>
      <w:r>
        <w:rPr>
          <w:rFonts w:hint="eastAsia" w:ascii="宋体" w:hAnsi="宋体" w:eastAsia="宋体" w:cs="宋体"/>
          <w:color w:val="auto"/>
          <w:kern w:val="0"/>
          <w:sz w:val="24"/>
          <w:szCs w:val="24"/>
          <w:highlight w:val="none"/>
          <w:u w:val="single"/>
          <w:lang w:val="en-US" w:eastAsia="zh-CN" w:bidi="ar-SA"/>
        </w:rPr>
        <w:t>正本壹份、副本</w:t>
      </w:r>
      <w:r>
        <w:rPr>
          <w:rFonts w:hint="eastAsia" w:ascii="宋体" w:hAnsi="宋体" w:cs="宋体"/>
          <w:color w:val="auto"/>
          <w:kern w:val="0"/>
          <w:sz w:val="24"/>
          <w:szCs w:val="24"/>
          <w:highlight w:val="none"/>
          <w:u w:val="single"/>
          <w:lang w:val="en-US" w:eastAsia="zh-CN" w:bidi="ar-SA"/>
        </w:rPr>
        <w:t>贰</w:t>
      </w:r>
      <w:r>
        <w:rPr>
          <w:rFonts w:hint="eastAsia" w:ascii="宋体" w:hAnsi="宋体" w:eastAsia="宋体" w:cs="宋体"/>
          <w:color w:val="auto"/>
          <w:kern w:val="0"/>
          <w:sz w:val="24"/>
          <w:szCs w:val="24"/>
          <w:highlight w:val="none"/>
          <w:u w:val="single"/>
          <w:lang w:val="en-US" w:eastAsia="zh-CN" w:bidi="ar-SA"/>
        </w:rPr>
        <w:t>份</w:t>
      </w:r>
      <w:r>
        <w:rPr>
          <w:rFonts w:hint="eastAsia" w:ascii="宋体" w:hAnsi="宋体" w:eastAsia="宋体" w:cs="宋体"/>
          <w:color w:val="auto"/>
          <w:kern w:val="0"/>
          <w:sz w:val="24"/>
          <w:szCs w:val="24"/>
          <w:highlight w:val="none"/>
          <w:lang w:val="en-US" w:eastAsia="zh-CN" w:bidi="ar-SA"/>
        </w:rPr>
        <w:t>，出资人（建设单位）执</w:t>
      </w:r>
      <w:r>
        <w:rPr>
          <w:rFonts w:hint="eastAsia" w:ascii="宋体" w:hAnsi="宋体" w:eastAsia="宋体" w:cs="宋体"/>
          <w:color w:val="auto"/>
          <w:kern w:val="0"/>
          <w:sz w:val="24"/>
          <w:szCs w:val="24"/>
          <w:highlight w:val="none"/>
          <w:u w:val="single"/>
          <w:lang w:val="en-US" w:eastAsia="zh-CN" w:bidi="ar-SA"/>
        </w:rPr>
        <w:t>正本壹份、副本叁份</w:t>
      </w:r>
      <w:r>
        <w:rPr>
          <w:rFonts w:hint="eastAsia" w:ascii="宋体" w:hAnsi="宋体" w:cs="宋体"/>
          <w:color w:val="auto"/>
          <w:kern w:val="0"/>
          <w:sz w:val="24"/>
          <w:szCs w:val="24"/>
          <w:highlight w:val="none"/>
          <w:u w:val="single"/>
          <w:lang w:val="en-US" w:eastAsia="zh-CN" w:bidi="ar-SA"/>
        </w:rPr>
        <w:t>，代建单位</w:t>
      </w:r>
      <w:r>
        <w:rPr>
          <w:rFonts w:hint="eastAsia" w:ascii="宋体" w:hAnsi="宋体" w:eastAsia="宋体" w:cs="宋体"/>
          <w:color w:val="auto"/>
          <w:kern w:val="0"/>
          <w:sz w:val="24"/>
          <w:szCs w:val="24"/>
          <w:highlight w:val="none"/>
          <w:lang w:val="en-US" w:eastAsia="zh-CN" w:bidi="ar-SA"/>
        </w:rPr>
        <w:t>执</w:t>
      </w:r>
      <w:r>
        <w:rPr>
          <w:rFonts w:hint="eastAsia" w:ascii="宋体" w:hAnsi="宋体" w:eastAsia="宋体" w:cs="宋体"/>
          <w:color w:val="auto"/>
          <w:kern w:val="0"/>
          <w:sz w:val="24"/>
          <w:szCs w:val="24"/>
          <w:highlight w:val="none"/>
          <w:u w:val="single"/>
          <w:lang w:val="en-US" w:eastAsia="zh-CN" w:bidi="ar-SA"/>
        </w:rPr>
        <w:t>正本壹份、副本叁份</w:t>
      </w:r>
      <w:r>
        <w:rPr>
          <w:rFonts w:hint="eastAsia" w:ascii="宋体" w:hAnsi="宋体" w:cs="宋体"/>
          <w:color w:val="auto"/>
          <w:kern w:val="0"/>
          <w:sz w:val="24"/>
          <w:szCs w:val="24"/>
          <w:highlight w:val="none"/>
          <w:u w:val="single"/>
          <w:lang w:val="en-US" w:eastAsia="zh-CN" w:bidi="ar-SA"/>
        </w:rPr>
        <w:t>。</w:t>
      </w:r>
    </w:p>
    <w:p w14:paraId="25182E11">
      <w:pPr>
        <w:pageBreakBefore w:val="0"/>
        <w:widowControl/>
        <w:kinsoku/>
        <w:overflowPunct/>
        <w:bidi w:val="0"/>
        <w:snapToGrid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p>
    <w:p w14:paraId="381A35F7">
      <w:pPr>
        <w:pageBreakBefore w:val="0"/>
        <w:kinsoku/>
        <w:overflowPunct/>
        <w:bidi w:val="0"/>
        <w:spacing w:beforeLines="0" w:afterLines="0" w:line="360" w:lineRule="auto"/>
        <w:ind w:left="0" w:leftChars="0" w:right="0"/>
        <w:rPr>
          <w:rFonts w:hint="eastAsia" w:ascii="宋体" w:hAnsi="宋体" w:eastAsia="宋体" w:cs="宋体"/>
          <w:b/>
          <w:bCs/>
          <w:color w:val="auto"/>
          <w:sz w:val="24"/>
          <w:highlight w:val="none"/>
        </w:rPr>
        <w:sectPr>
          <w:footerReference r:id="rId8" w:type="default"/>
          <w:pgSz w:w="11906" w:h="16838"/>
          <w:pgMar w:top="1247" w:right="1247" w:bottom="1247" w:left="1247" w:header="851" w:footer="851" w:gutter="0"/>
          <w:pgBorders>
            <w:top w:val="none" w:sz="0" w:space="0"/>
            <w:left w:val="none" w:sz="0" w:space="0"/>
            <w:bottom w:val="none" w:sz="0" w:space="0"/>
            <w:right w:val="none" w:sz="0" w:space="0"/>
          </w:pgBorders>
          <w:pgNumType w:fmt="decimal"/>
          <w:cols w:space="720" w:num="1"/>
          <w:docGrid w:type="lines" w:linePitch="312" w:charSpace="0"/>
        </w:sectPr>
      </w:pPr>
    </w:p>
    <w:p w14:paraId="6CA4B173">
      <w:pPr>
        <w:pageBreakBefore w:val="0"/>
        <w:kinsoku/>
        <w:overflowPunct/>
        <w:bidi w:val="0"/>
        <w:spacing w:beforeLines="0" w:afterLines="0" w:line="360" w:lineRule="auto"/>
        <w:ind w:left="0" w:leftChars="0" w:righ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（本页无正文，为合同签署页）</w:t>
      </w:r>
    </w:p>
    <w:p w14:paraId="7F21F44F">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委托人：广东南海城建集团有限公司（盖章）</w:t>
      </w:r>
    </w:p>
    <w:p w14:paraId="54849BB9">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u w:val="single"/>
        </w:rPr>
      </w:pPr>
    </w:p>
    <w:p w14:paraId="376B285A">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p w14:paraId="047847F1">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或其委托代理人：</w:t>
      </w:r>
    </w:p>
    <w:p w14:paraId="21440B3E">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7050C319">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咨询人：（盖章）</w:t>
      </w:r>
    </w:p>
    <w:p w14:paraId="5CB6479C">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18D8ADF8">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p w14:paraId="580D86F3">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或其委托代理人：</w:t>
      </w:r>
    </w:p>
    <w:p w14:paraId="779D26AD">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7FF23337">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经办人：</w:t>
      </w:r>
    </w:p>
    <w:p w14:paraId="7F1BB9F4">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159875BC">
      <w:pPr>
        <w:pageBreakBefore w:val="0"/>
        <w:kinsoku/>
        <w:overflowPunct/>
        <w:bidi w:val="0"/>
        <w:spacing w:beforeLines="0" w:afterLines="0" w:line="360" w:lineRule="auto"/>
        <w:ind w:left="0" w:leftChars="0" w:right="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eastAsia="zh-CN"/>
        </w:rPr>
        <w:t>代建单位</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 xml:space="preserve">                          （盖章）</w:t>
      </w:r>
    </w:p>
    <w:p w14:paraId="2FD785EF">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4484F863">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p w14:paraId="259ABEAD">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或其委托代理人：</w:t>
      </w:r>
    </w:p>
    <w:p w14:paraId="3B160B3D">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50660395">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经办人：</w:t>
      </w:r>
    </w:p>
    <w:p w14:paraId="22C43C2B">
      <w:pPr>
        <w:pageBreakBefore w:val="0"/>
        <w:kinsoku/>
        <w:overflowPunct/>
        <w:bidi w:val="0"/>
        <w:spacing w:beforeLines="0" w:afterLines="0" w:line="360" w:lineRule="auto"/>
        <w:ind w:left="0" w:leftChars="0" w:right="0"/>
        <w:rPr>
          <w:rFonts w:hint="eastAsia" w:ascii="宋体" w:hAnsi="宋体" w:eastAsia="宋体" w:cs="宋体"/>
          <w:b/>
          <w:bCs/>
          <w:color w:val="auto"/>
          <w:sz w:val="24"/>
          <w:highlight w:val="none"/>
          <w:lang w:eastAsia="zh-CN"/>
        </w:rPr>
      </w:pPr>
    </w:p>
    <w:p w14:paraId="1003AF83">
      <w:pPr>
        <w:pageBreakBefore w:val="0"/>
        <w:kinsoku/>
        <w:overflowPunct/>
        <w:bidi w:val="0"/>
        <w:spacing w:beforeLines="0" w:afterLines="0" w:line="360" w:lineRule="auto"/>
        <w:ind w:left="0" w:leftChars="0" w:right="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出资人（建设单位）：</w:t>
      </w:r>
      <w:r>
        <w:rPr>
          <w:rFonts w:hint="eastAsia" w:ascii="宋体" w:hAnsi="宋体" w:eastAsia="宋体" w:cs="宋体"/>
          <w:b/>
          <w:bCs/>
          <w:color w:val="auto"/>
          <w:sz w:val="24"/>
          <w:highlight w:val="none"/>
          <w:lang w:val="en-US" w:eastAsia="zh-CN"/>
        </w:rPr>
        <w:t xml:space="preserve">                          （盖章）</w:t>
      </w:r>
    </w:p>
    <w:p w14:paraId="75C2394E">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742ABB88">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p w14:paraId="4D8EAC0A">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或其委托代理人：</w:t>
      </w:r>
    </w:p>
    <w:p w14:paraId="035848C5">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37C1DB11">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经办人：</w:t>
      </w:r>
    </w:p>
    <w:p w14:paraId="60E528C6">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28394176">
      <w:pPr>
        <w:pageBreakBefore w:val="0"/>
        <w:kinsoku/>
        <w:overflowPunct/>
        <w:bidi w:val="0"/>
        <w:spacing w:beforeLines="0" w:afterLines="0" w:line="360" w:lineRule="auto"/>
        <w:ind w:left="0" w:leftChars="0" w:right="0"/>
        <w:jc w:val="right"/>
        <w:rPr>
          <w:rFonts w:hint="eastAsia" w:ascii="宋体" w:hAnsi="宋体" w:eastAsia="宋体" w:cs="宋体"/>
          <w:b/>
          <w:bCs/>
          <w:color w:val="auto"/>
          <w:sz w:val="24"/>
          <w:highlight w:val="none"/>
        </w:rPr>
      </w:pPr>
      <w:bookmarkStart w:id="220" w:name="_Toc23351"/>
      <w:bookmarkStart w:id="221" w:name="_Toc20274"/>
      <w:bookmarkStart w:id="222" w:name="_Toc25656"/>
    </w:p>
    <w:p w14:paraId="3CCE39A8">
      <w:pPr>
        <w:pageBreakBefore w:val="0"/>
        <w:kinsoku/>
        <w:overflowPunct/>
        <w:bidi w:val="0"/>
        <w:spacing w:beforeLines="0" w:afterLines="0" w:line="360" w:lineRule="auto"/>
        <w:ind w:left="0" w:leftChars="0" w:right="0"/>
        <w:jc w:val="righ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时  间：202</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年   月   日</w:t>
      </w:r>
      <w:bookmarkStart w:id="223" w:name="_Toc489278519"/>
      <w:bookmarkStart w:id="224" w:name="_Toc490753353"/>
    </w:p>
    <w:p w14:paraId="2E9BB718">
      <w:pPr>
        <w:pageBreakBefore w:val="0"/>
        <w:widowControl w:val="0"/>
        <w:kinsoku/>
        <w:overflowPunct/>
        <w:bidi w:val="0"/>
        <w:spacing w:beforeLines="0" w:afterLines="0" w:line="360" w:lineRule="auto"/>
        <w:ind w:left="0" w:leftChars="0" w:right="0" w:firstLine="420" w:firstLineChars="200"/>
        <w:jc w:val="both"/>
        <w:rPr>
          <w:rFonts w:hint="eastAsia" w:ascii="宋体" w:hAnsi="宋体" w:eastAsia="宋体" w:cs="宋体"/>
          <w:color w:val="auto"/>
          <w:kern w:val="2"/>
          <w:sz w:val="21"/>
          <w:szCs w:val="24"/>
          <w:highlight w:val="none"/>
          <w:lang w:val="en-US" w:eastAsia="zh-CN" w:bidi="ar-SA"/>
        </w:rPr>
      </w:pPr>
    </w:p>
    <w:p w14:paraId="7C8AB22C">
      <w:pPr>
        <w:pageBreakBefore w:val="0"/>
        <w:widowControl/>
        <w:kinsoku/>
        <w:overflowPunct/>
        <w:bidi w:val="0"/>
        <w:spacing w:beforeLines="0" w:afterLines="0" w:line="360" w:lineRule="auto"/>
        <w:ind w:left="0" w:leftChars="0" w:right="0"/>
        <w:jc w:val="center"/>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bookmarkStart w:id="225" w:name="_Toc14867"/>
      <w:bookmarkStart w:id="226" w:name="_Toc3720"/>
      <w:r>
        <w:rPr>
          <w:rFonts w:hint="eastAsia" w:ascii="宋体" w:hAnsi="宋体" w:eastAsia="宋体" w:cs="宋体"/>
          <w:b/>
          <w:color w:val="auto"/>
          <w:sz w:val="30"/>
          <w:szCs w:val="30"/>
          <w:highlight w:val="none"/>
        </w:rPr>
        <w:t>第二部分　通用条件</w:t>
      </w:r>
      <w:bookmarkEnd w:id="218"/>
      <w:bookmarkEnd w:id="219"/>
      <w:bookmarkEnd w:id="220"/>
      <w:bookmarkEnd w:id="221"/>
      <w:bookmarkEnd w:id="222"/>
      <w:bookmarkEnd w:id="223"/>
      <w:bookmarkEnd w:id="224"/>
      <w:bookmarkEnd w:id="225"/>
      <w:bookmarkEnd w:id="226"/>
    </w:p>
    <w:p w14:paraId="1B226885">
      <w:pPr>
        <w:pageBreakBefore w:val="0"/>
        <w:widowControl w:val="0"/>
        <w:kinsoku/>
        <w:overflowPunct/>
        <w:bidi w:val="0"/>
        <w:adjustRightInd w:val="0"/>
        <w:spacing w:beforeLines="0" w:afterLines="0" w:line="360" w:lineRule="auto"/>
        <w:ind w:left="0" w:leftChars="0" w:right="0"/>
        <w:jc w:val="left"/>
        <w:outlineLvl w:val="0"/>
        <w:rPr>
          <w:rFonts w:hint="eastAsia" w:ascii="宋体" w:hAnsi="宋体" w:eastAsia="宋体" w:cs="宋体"/>
          <w:b/>
          <w:color w:val="auto"/>
          <w:kern w:val="2"/>
          <w:sz w:val="24"/>
          <w:szCs w:val="24"/>
          <w:highlight w:val="none"/>
          <w:lang w:val="en-US" w:eastAsia="zh-CN" w:bidi="ar-SA"/>
        </w:rPr>
      </w:pPr>
      <w:bookmarkStart w:id="227" w:name="_Toc31021"/>
      <w:bookmarkStart w:id="228" w:name="_Toc419045067"/>
      <w:bookmarkStart w:id="229" w:name="_Toc490753354"/>
      <w:bookmarkStart w:id="230" w:name="_Toc3774"/>
      <w:bookmarkStart w:id="231" w:name="_Toc31572"/>
      <w:bookmarkStart w:id="232" w:name="_Toc16237"/>
      <w:bookmarkStart w:id="233" w:name="_Toc25140"/>
      <w:bookmarkStart w:id="234" w:name="_Toc4636"/>
      <w:bookmarkStart w:id="235" w:name="_Toc28863"/>
      <w:bookmarkStart w:id="236" w:name="_Toc422322482"/>
      <w:bookmarkStart w:id="237" w:name="_Toc489278520"/>
      <w:bookmarkStart w:id="238" w:name="_Toc30663"/>
      <w:r>
        <w:rPr>
          <w:rFonts w:hint="eastAsia" w:ascii="宋体" w:hAnsi="宋体" w:eastAsia="宋体" w:cs="宋体"/>
          <w:b/>
          <w:color w:val="auto"/>
          <w:kern w:val="2"/>
          <w:sz w:val="24"/>
          <w:szCs w:val="24"/>
          <w:highlight w:val="none"/>
          <w:lang w:val="en-US" w:eastAsia="zh-CN" w:bidi="ar-SA"/>
        </w:rPr>
        <w:t>1.词语定义、语言、解释顺序与适用法律</w:t>
      </w:r>
      <w:bookmarkEnd w:id="227"/>
      <w:bookmarkEnd w:id="228"/>
      <w:bookmarkEnd w:id="229"/>
      <w:bookmarkEnd w:id="230"/>
      <w:bookmarkEnd w:id="231"/>
      <w:bookmarkEnd w:id="232"/>
      <w:bookmarkEnd w:id="233"/>
      <w:bookmarkEnd w:id="234"/>
      <w:bookmarkEnd w:id="235"/>
      <w:bookmarkEnd w:id="236"/>
      <w:bookmarkEnd w:id="237"/>
      <w:bookmarkEnd w:id="238"/>
    </w:p>
    <w:p w14:paraId="7074353E">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239" w:name="_Toc422322483"/>
      <w:bookmarkStart w:id="240" w:name="_Toc489278521"/>
      <w:bookmarkStart w:id="241" w:name="_Toc490753355"/>
      <w:bookmarkStart w:id="242" w:name="_Toc419045068"/>
      <w:bookmarkStart w:id="243" w:name="_Toc20041"/>
      <w:bookmarkStart w:id="244" w:name="_Toc18420"/>
      <w:r>
        <w:rPr>
          <w:rFonts w:hint="eastAsia" w:ascii="宋体" w:hAnsi="宋体" w:eastAsia="宋体" w:cs="宋体"/>
          <w:b w:val="0"/>
          <w:color w:val="auto"/>
          <w:kern w:val="28"/>
          <w:sz w:val="24"/>
          <w:szCs w:val="24"/>
          <w:highlight w:val="none"/>
          <w:lang w:val="en-US" w:eastAsia="zh-CN" w:bidi="ar-SA"/>
        </w:rPr>
        <w:t>1.1词语定义</w:t>
      </w:r>
      <w:bookmarkEnd w:id="239"/>
      <w:bookmarkEnd w:id="240"/>
      <w:bookmarkEnd w:id="241"/>
      <w:bookmarkEnd w:id="242"/>
      <w:bookmarkEnd w:id="243"/>
      <w:bookmarkEnd w:id="244"/>
    </w:p>
    <w:p w14:paraId="606775E9">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组成本合同的全部文件中的下列名词和用语应具有本款所赋予的含义：</w:t>
      </w:r>
    </w:p>
    <w:p w14:paraId="71F341FE">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1.1.1“工程”是指按照本合同约定实施造价咨询与其他服务的建设工程。    </w:t>
      </w:r>
    </w:p>
    <w:p w14:paraId="087D9089">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1.1.2“工程造价”是指工程项目建设过程中预计或实际支出的全部费用。</w:t>
      </w:r>
    </w:p>
    <w:p w14:paraId="6062E997">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1.1.3“委托人”是指本合同中委托造价咨询与其他服务的一方，及其合法的继承人或受让人。</w:t>
      </w:r>
    </w:p>
    <w:p w14:paraId="14C2BF03">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1.1.4“咨询人”是指本合同中提供造价咨询与其他服务的一方</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及其合法的继承人。</w:t>
      </w:r>
    </w:p>
    <w:p w14:paraId="7ADD884F">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1.1.5“第三人”是指除委托人、咨询人以外与本咨询业务有关的当事人。</w:t>
      </w:r>
    </w:p>
    <w:p w14:paraId="633F7E2D">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1.1.6“正常工作”是指本合同订立时通用条件和专用条件中约定的咨询人的工作。</w:t>
      </w:r>
    </w:p>
    <w:p w14:paraId="0587D1C6">
      <w:pPr>
        <w:pageBreakBefore w:val="0"/>
        <w:widowControl/>
        <w:kinsoku/>
        <w:overflowPunct/>
        <w:bidi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1.1.7“附加工作”是指咨询人根据合同条件完成的正常工作以外的工作。</w:t>
      </w:r>
    </w:p>
    <w:p w14:paraId="37891F8A">
      <w:pPr>
        <w:pageBreakBefore w:val="0"/>
        <w:widowControl/>
        <w:kinsoku/>
        <w:overflowPunct/>
        <w:bidi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1.1.8“项目咨询团队”是指咨询人指派负责履行本合同的团队，其团队成员为本合同的项目咨询人员。</w:t>
      </w:r>
    </w:p>
    <w:p w14:paraId="7C76F24F">
      <w:pPr>
        <w:pageBreakBefore w:val="0"/>
        <w:widowControl/>
        <w:kinsoku/>
        <w:overflowPunct/>
        <w:bidi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1.1.9“项目负责人”是指由咨询人的法定代表人书面授权，在授权范围内负责履行本合同、主持项目咨询团队工作的负责人。</w:t>
      </w:r>
    </w:p>
    <w:p w14:paraId="16AAC419">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1.1.10“委托人代表”是指由委托人的法定代表人书面授权，在授权范围内行使委托人权利的人。</w:t>
      </w:r>
    </w:p>
    <w:p w14:paraId="17EF5E2E">
      <w:pPr>
        <w:pageBreakBefore w:val="0"/>
        <w:widowControl/>
        <w:kinsoku/>
        <w:overflowPunct/>
        <w:bidi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1.1.11“酬金”是指咨询人履行本合同义务，按照本合同约定给付咨询人的金额。</w:t>
      </w:r>
    </w:p>
    <w:p w14:paraId="6A666779">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1.1.12“正常工作酬金”是指在协议书中载明的，咨询人完成正常工作，应给付咨询人的酬金。</w:t>
      </w:r>
    </w:p>
    <w:p w14:paraId="350468C1">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1.1.13“附加工作酬金”是指咨询人完成附加工作，应给付咨询人的酬金。</w:t>
      </w:r>
    </w:p>
    <w:p w14:paraId="03765E17">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1.1.14 “书面形式”是指合同书、信件和数据电文（包括电报、电传、传真、电子数据交换和电子邮件）等可以有形地表现所载内容的形式。</w:t>
      </w:r>
    </w:p>
    <w:p w14:paraId="30B4362C">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1.1.15 “不可抗力”是指委托人和咨询人在订立本合同时不可预见，在合同履行过程中不可避免并不能克服的自然灾害和社会性突发事件，如地震、海啸、瘟疫、水灾、骚乱、暴动、战争等情形。</w:t>
      </w:r>
    </w:p>
    <w:p w14:paraId="5CA3EA7C">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245" w:name="_Toc10983"/>
      <w:bookmarkStart w:id="246" w:name="_Toc490753356"/>
      <w:bookmarkStart w:id="247" w:name="_Toc489278522"/>
      <w:bookmarkStart w:id="248" w:name="_Toc422322484"/>
      <w:bookmarkStart w:id="249" w:name="_Toc28832"/>
      <w:bookmarkStart w:id="250" w:name="_Toc419045069"/>
      <w:r>
        <w:rPr>
          <w:rFonts w:hint="eastAsia" w:ascii="宋体" w:hAnsi="宋体" w:eastAsia="宋体" w:cs="宋体"/>
          <w:b w:val="0"/>
          <w:color w:val="auto"/>
          <w:kern w:val="28"/>
          <w:sz w:val="24"/>
          <w:szCs w:val="24"/>
          <w:highlight w:val="none"/>
          <w:lang w:val="en-US" w:eastAsia="zh-CN" w:bidi="ar-SA"/>
        </w:rPr>
        <w:t>1.2语言</w:t>
      </w:r>
      <w:bookmarkEnd w:id="245"/>
      <w:bookmarkEnd w:id="246"/>
      <w:bookmarkEnd w:id="247"/>
      <w:bookmarkEnd w:id="248"/>
      <w:bookmarkEnd w:id="249"/>
      <w:bookmarkEnd w:id="250"/>
    </w:p>
    <w:p w14:paraId="48530BA8">
      <w:pPr>
        <w:pageBreakBefore w:val="0"/>
        <w:widowControl/>
        <w:kinsoku/>
        <w:overflowPunct/>
        <w:bidi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本合同使用中文书写、解释和说明。如专用条件约定使用两种及以上语言文字时，应以中文为准。</w:t>
      </w:r>
    </w:p>
    <w:p w14:paraId="3C507CC7">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251" w:name="_Toc489278523"/>
      <w:bookmarkStart w:id="252" w:name="_Toc422322485"/>
      <w:bookmarkStart w:id="253" w:name="_Toc490753357"/>
      <w:bookmarkStart w:id="254" w:name="_Toc419045070"/>
      <w:bookmarkStart w:id="255" w:name="_Toc19424"/>
      <w:bookmarkStart w:id="256" w:name="_Toc31118"/>
      <w:r>
        <w:rPr>
          <w:rFonts w:hint="eastAsia" w:ascii="宋体" w:hAnsi="宋体" w:eastAsia="宋体" w:cs="宋体"/>
          <w:b w:val="0"/>
          <w:color w:val="auto"/>
          <w:kern w:val="28"/>
          <w:sz w:val="24"/>
          <w:szCs w:val="24"/>
          <w:highlight w:val="none"/>
          <w:lang w:val="en-US" w:eastAsia="zh-CN" w:bidi="ar-SA"/>
        </w:rPr>
        <w:t>1.3合同文件的优先顺序</w:t>
      </w:r>
      <w:bookmarkEnd w:id="251"/>
      <w:bookmarkEnd w:id="252"/>
      <w:bookmarkEnd w:id="253"/>
      <w:bookmarkEnd w:id="254"/>
      <w:bookmarkEnd w:id="255"/>
      <w:bookmarkEnd w:id="256"/>
    </w:p>
    <w:p w14:paraId="0248C9D0">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组成本合同的下列文件彼此应能相互解释、互为说明。除专用条件另有约定外，本合同文件的解释顺序如下：</w:t>
      </w:r>
    </w:p>
    <w:p w14:paraId="634D8969">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1.协议书</w:t>
      </w:r>
    </w:p>
    <w:p w14:paraId="549C26D1">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2.中标通知书或委托书（如果有）；</w:t>
      </w:r>
    </w:p>
    <w:p w14:paraId="44F7AE19">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3.专用条件及附件；</w:t>
      </w:r>
    </w:p>
    <w:p w14:paraId="7493C359">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4.通用条件；</w:t>
      </w:r>
    </w:p>
    <w:p w14:paraId="4DDA3AF5">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5.投标函及投标函附录或造价咨询服务建议书（如果有）；</w:t>
      </w:r>
    </w:p>
    <w:p w14:paraId="155AACC1">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6.其他合同文件。</w:t>
      </w:r>
    </w:p>
    <w:p w14:paraId="7B19915D">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上述各项合同文件包括合同当事人就该项合同文件所作出的补充和修改，属于同一类内容的文件，应以最新签署的为准。</w:t>
      </w:r>
    </w:p>
    <w:p w14:paraId="3EEA5D41">
      <w:pPr>
        <w:pageBreakBefore w:val="0"/>
        <w:kinsoku/>
        <w:overflowPunct/>
        <w:bidi w:val="0"/>
        <w:spacing w:beforeLines="0" w:afterLines="0" w:line="360" w:lineRule="auto"/>
        <w:ind w:left="0" w:leftChars="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在合同订立及履行过程中形成的与合同有关的文件均构成合同文件的组成部分。</w:t>
      </w:r>
    </w:p>
    <w:p w14:paraId="68040176">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257" w:name="_Toc490753358"/>
      <w:bookmarkStart w:id="258" w:name="_Toc965"/>
      <w:bookmarkStart w:id="259" w:name="_Toc489278524"/>
      <w:bookmarkStart w:id="260" w:name="_Toc422322486"/>
      <w:bookmarkStart w:id="261" w:name="_Toc419045071"/>
      <w:bookmarkStart w:id="262" w:name="_Toc22599"/>
      <w:r>
        <w:rPr>
          <w:rFonts w:hint="eastAsia" w:ascii="宋体" w:hAnsi="宋体" w:eastAsia="宋体" w:cs="宋体"/>
          <w:b w:val="0"/>
          <w:color w:val="auto"/>
          <w:kern w:val="28"/>
          <w:sz w:val="24"/>
          <w:szCs w:val="24"/>
          <w:highlight w:val="none"/>
          <w:lang w:val="en-US" w:eastAsia="zh-CN" w:bidi="ar-SA"/>
        </w:rPr>
        <w:t>1.4适用法律</w:t>
      </w:r>
      <w:bookmarkEnd w:id="257"/>
      <w:bookmarkEnd w:id="258"/>
      <w:bookmarkEnd w:id="259"/>
      <w:bookmarkEnd w:id="260"/>
      <w:bookmarkEnd w:id="261"/>
      <w:bookmarkEnd w:id="262"/>
    </w:p>
    <w:p w14:paraId="3893758A">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本合同适用中华人民共和国法律、行政法规、部门规章以及工程所在地的地方性法规、自治条例、单行条例和地方政府规章等。</w:t>
      </w:r>
    </w:p>
    <w:p w14:paraId="6BBA3CDD">
      <w:pPr>
        <w:pageBreakBefore w:val="0"/>
        <w:kinsoku/>
        <w:overflowPunct/>
        <w:bidi w:val="0"/>
        <w:spacing w:beforeLines="0" w:afterLines="0" w:line="360" w:lineRule="auto"/>
        <w:ind w:left="0" w:leftChars="0" w:right="0" w:firstLine="480" w:firstLineChars="200"/>
        <w:rPr>
          <w:rStyle w:val="227"/>
          <w:rFonts w:hint="eastAsia" w:ascii="宋体" w:hAnsi="宋体" w:eastAsia="宋体" w:cs="宋体"/>
          <w:color w:val="auto"/>
          <w:sz w:val="24"/>
          <w:highlight w:val="none"/>
        </w:rPr>
      </w:pPr>
      <w:r>
        <w:rPr>
          <w:rFonts w:hint="eastAsia" w:ascii="宋体" w:hAnsi="宋体" w:eastAsia="宋体" w:cs="宋体"/>
          <w:color w:val="auto"/>
          <w:sz w:val="24"/>
          <w:highlight w:val="none"/>
        </w:rPr>
        <w:t>合同当事人可以在专用条件中约定本合同适用的其他规范、规程、定额、技术标准等规范性文件。</w:t>
      </w:r>
    </w:p>
    <w:p w14:paraId="2B39C1C2">
      <w:pPr>
        <w:pageBreakBefore w:val="0"/>
        <w:widowControl w:val="0"/>
        <w:kinsoku/>
        <w:overflowPunct/>
        <w:bidi w:val="0"/>
        <w:adjustRightInd w:val="0"/>
        <w:spacing w:beforeLines="0" w:afterLines="0" w:line="360" w:lineRule="auto"/>
        <w:ind w:left="0" w:leftChars="0" w:right="0"/>
        <w:jc w:val="left"/>
        <w:outlineLvl w:val="0"/>
        <w:rPr>
          <w:rFonts w:hint="eastAsia" w:ascii="宋体" w:hAnsi="宋体" w:eastAsia="宋体" w:cs="宋体"/>
          <w:b/>
          <w:color w:val="auto"/>
          <w:kern w:val="2"/>
          <w:sz w:val="32"/>
          <w:szCs w:val="20"/>
          <w:highlight w:val="none"/>
          <w:lang w:val="en-US" w:eastAsia="zh-CN" w:bidi="ar-SA"/>
        </w:rPr>
      </w:pPr>
      <w:bookmarkStart w:id="263" w:name="_Toc25302"/>
      <w:bookmarkStart w:id="264" w:name="_Toc18505"/>
      <w:bookmarkStart w:id="265" w:name="_Toc25209"/>
      <w:bookmarkStart w:id="266" w:name="_Toc20067"/>
      <w:bookmarkStart w:id="267" w:name="_Toc490753359"/>
      <w:bookmarkStart w:id="268" w:name="_Toc13182"/>
      <w:bookmarkStart w:id="269" w:name="_Toc8603"/>
      <w:bookmarkStart w:id="270" w:name="_Toc489278525"/>
      <w:bookmarkStart w:id="271" w:name="_Toc8886"/>
      <w:bookmarkStart w:id="272" w:name="_Toc30587"/>
      <w:bookmarkStart w:id="273" w:name="_Toc422322487"/>
      <w:r>
        <w:rPr>
          <w:rFonts w:hint="eastAsia" w:ascii="宋体" w:hAnsi="宋体" w:eastAsia="宋体" w:cs="宋体"/>
          <w:b/>
          <w:color w:val="auto"/>
          <w:kern w:val="2"/>
          <w:sz w:val="24"/>
          <w:szCs w:val="24"/>
          <w:highlight w:val="none"/>
          <w:lang w:val="en-US" w:eastAsia="zh-CN" w:bidi="ar-SA"/>
        </w:rPr>
        <w:t>2.委托人的义务</w:t>
      </w:r>
      <w:bookmarkEnd w:id="263"/>
      <w:bookmarkEnd w:id="264"/>
      <w:bookmarkEnd w:id="265"/>
      <w:bookmarkEnd w:id="266"/>
      <w:bookmarkEnd w:id="267"/>
      <w:bookmarkEnd w:id="268"/>
      <w:bookmarkEnd w:id="269"/>
      <w:bookmarkEnd w:id="270"/>
      <w:bookmarkEnd w:id="271"/>
      <w:bookmarkEnd w:id="272"/>
      <w:bookmarkEnd w:id="273"/>
    </w:p>
    <w:p w14:paraId="666F8FEA">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274" w:name="_Toc422322488"/>
      <w:bookmarkStart w:id="275" w:name="_Toc30049"/>
      <w:bookmarkStart w:id="276" w:name="_Toc489278526"/>
      <w:bookmarkStart w:id="277" w:name="_Toc419045072"/>
      <w:bookmarkStart w:id="278" w:name="_Toc490753360"/>
      <w:bookmarkStart w:id="279" w:name="_Toc18003"/>
      <w:r>
        <w:rPr>
          <w:rFonts w:hint="eastAsia" w:ascii="宋体" w:hAnsi="宋体" w:eastAsia="宋体" w:cs="宋体"/>
          <w:b w:val="0"/>
          <w:color w:val="auto"/>
          <w:kern w:val="28"/>
          <w:sz w:val="24"/>
          <w:szCs w:val="24"/>
          <w:highlight w:val="none"/>
          <w:lang w:val="en-US" w:eastAsia="zh-CN" w:bidi="ar-SA"/>
        </w:rPr>
        <w:t>2.1提供资料</w:t>
      </w:r>
      <w:bookmarkEnd w:id="274"/>
      <w:bookmarkEnd w:id="275"/>
      <w:bookmarkEnd w:id="276"/>
      <w:bookmarkEnd w:id="277"/>
      <w:bookmarkEnd w:id="278"/>
      <w:bookmarkEnd w:id="279"/>
    </w:p>
    <w:p w14:paraId="3DF08DDA">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035703F0">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280" w:name="_Toc18448"/>
      <w:bookmarkStart w:id="281" w:name="_Toc490753361"/>
      <w:bookmarkStart w:id="282" w:name="_Toc6911"/>
      <w:bookmarkStart w:id="283" w:name="_Toc419045073"/>
      <w:bookmarkStart w:id="284" w:name="_Toc489278527"/>
      <w:bookmarkStart w:id="285" w:name="_Toc422322489"/>
      <w:r>
        <w:rPr>
          <w:rFonts w:hint="eastAsia" w:ascii="宋体" w:hAnsi="宋体" w:eastAsia="宋体" w:cs="宋体"/>
          <w:b w:val="0"/>
          <w:color w:val="auto"/>
          <w:kern w:val="28"/>
          <w:sz w:val="24"/>
          <w:szCs w:val="24"/>
          <w:highlight w:val="none"/>
          <w:lang w:val="en-US" w:eastAsia="zh-CN" w:bidi="ar-SA"/>
        </w:rPr>
        <w:t>2.2提供工作条件</w:t>
      </w:r>
      <w:bookmarkEnd w:id="280"/>
      <w:bookmarkEnd w:id="281"/>
      <w:bookmarkEnd w:id="282"/>
      <w:bookmarkEnd w:id="283"/>
      <w:bookmarkEnd w:id="284"/>
      <w:bookmarkEnd w:id="285"/>
    </w:p>
    <w:p w14:paraId="5092348F">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委托人应为咨询人完成造价咨询提供必要的条件。</w:t>
      </w:r>
    </w:p>
    <w:p w14:paraId="499D4DFB">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2.2.1委托人需要咨询人派驻项目现场咨询人员的，除专用条件另有约定外，项目咨询人员有权无偿使用附录D中由委托人提供的房屋及设备。</w:t>
      </w:r>
    </w:p>
    <w:p w14:paraId="12BBC6B3">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2.2.2委托人应负责与本工程造价咨询业务有关的所有外部关系的协调，为咨询人履行本合同提供必要的外部条件。</w:t>
      </w:r>
    </w:p>
    <w:p w14:paraId="716177D9">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286" w:name="_Toc419045074"/>
      <w:bookmarkStart w:id="287" w:name="_Toc23550"/>
      <w:bookmarkStart w:id="288" w:name="_Toc489278528"/>
      <w:bookmarkStart w:id="289" w:name="_Toc3629"/>
      <w:bookmarkStart w:id="290" w:name="_Toc490753362"/>
      <w:bookmarkStart w:id="291" w:name="_Toc422322490"/>
      <w:r>
        <w:rPr>
          <w:rFonts w:hint="eastAsia" w:ascii="宋体" w:hAnsi="宋体" w:eastAsia="宋体" w:cs="宋体"/>
          <w:b w:val="0"/>
          <w:color w:val="auto"/>
          <w:kern w:val="28"/>
          <w:sz w:val="24"/>
          <w:szCs w:val="24"/>
          <w:highlight w:val="none"/>
          <w:lang w:val="en-US" w:eastAsia="zh-CN" w:bidi="ar-SA"/>
        </w:rPr>
        <w:t>2.3合理工作时限</w:t>
      </w:r>
      <w:bookmarkEnd w:id="286"/>
      <w:bookmarkEnd w:id="287"/>
      <w:bookmarkEnd w:id="288"/>
      <w:bookmarkEnd w:id="289"/>
      <w:bookmarkEnd w:id="290"/>
      <w:bookmarkEnd w:id="291"/>
    </w:p>
    <w:p w14:paraId="50C56CDF">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委托人应当为咨询人完成其咨询工作，设定合理的工作时限。</w:t>
      </w:r>
    </w:p>
    <w:p w14:paraId="66D1AB94">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292" w:name="_Toc489278529"/>
      <w:bookmarkStart w:id="293" w:name="_Toc422322491"/>
      <w:bookmarkStart w:id="294" w:name="_Toc11214"/>
      <w:bookmarkStart w:id="295" w:name="_Toc419045075"/>
      <w:bookmarkStart w:id="296" w:name="_Toc26282"/>
      <w:bookmarkStart w:id="297" w:name="_Toc490753363"/>
      <w:r>
        <w:rPr>
          <w:rFonts w:hint="eastAsia" w:ascii="宋体" w:hAnsi="宋体" w:eastAsia="宋体" w:cs="宋体"/>
          <w:b w:val="0"/>
          <w:color w:val="auto"/>
          <w:kern w:val="28"/>
          <w:sz w:val="24"/>
          <w:szCs w:val="24"/>
          <w:highlight w:val="none"/>
          <w:lang w:val="en-US" w:eastAsia="zh-CN" w:bidi="ar-SA"/>
        </w:rPr>
        <w:t>2.4委托人代表</w:t>
      </w:r>
      <w:bookmarkEnd w:id="292"/>
      <w:bookmarkEnd w:id="293"/>
      <w:bookmarkEnd w:id="294"/>
      <w:bookmarkEnd w:id="295"/>
      <w:bookmarkEnd w:id="296"/>
      <w:bookmarkEnd w:id="297"/>
    </w:p>
    <w:p w14:paraId="3136E45D">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委托人应授权一名代表负责本合同的履行。委托人应在双方签订本合同7日内，将委托人代表的姓名和权限范围书面告知咨询人。委托人更换委托人代表时，应提前7日书面通知咨询人。</w:t>
      </w:r>
    </w:p>
    <w:p w14:paraId="5B84761B">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298" w:name="_Toc32160"/>
      <w:bookmarkStart w:id="299" w:name="_Toc17328"/>
      <w:bookmarkStart w:id="300" w:name="_Toc419045076"/>
      <w:bookmarkStart w:id="301" w:name="_Toc489278530"/>
      <w:bookmarkStart w:id="302" w:name="_Toc422322492"/>
      <w:bookmarkStart w:id="303" w:name="_Toc490753364"/>
      <w:r>
        <w:rPr>
          <w:rFonts w:hint="eastAsia" w:ascii="宋体" w:hAnsi="宋体" w:eastAsia="宋体" w:cs="宋体"/>
          <w:b w:val="0"/>
          <w:color w:val="auto"/>
          <w:kern w:val="28"/>
          <w:sz w:val="24"/>
          <w:szCs w:val="24"/>
          <w:highlight w:val="none"/>
          <w:lang w:val="en-US" w:eastAsia="zh-CN" w:bidi="ar-SA"/>
        </w:rPr>
        <w:t>2.5答复</w:t>
      </w:r>
      <w:bookmarkEnd w:id="298"/>
      <w:bookmarkEnd w:id="299"/>
      <w:bookmarkEnd w:id="300"/>
      <w:bookmarkEnd w:id="301"/>
      <w:bookmarkEnd w:id="302"/>
      <w:bookmarkEnd w:id="303"/>
    </w:p>
    <w:p w14:paraId="4EA7FC69">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委托人应当在专用条件约定的时间内就咨询人以书面形式提交并要求做出答复的事宜给予书面答复。逾期未答复的，由此造成的工作延误和损失由委托人承担。</w:t>
      </w:r>
    </w:p>
    <w:p w14:paraId="422961FA">
      <w:pPr>
        <w:pageBreakBefore w:val="0"/>
        <w:widowControl w:val="0"/>
        <w:kinsoku/>
        <w:overflowPunct/>
        <w:bidi w:val="0"/>
        <w:adjustRightInd w:val="0"/>
        <w:spacing w:beforeLines="0" w:afterLines="0" w:line="360" w:lineRule="auto"/>
        <w:ind w:left="0" w:leftChars="0" w:right="0"/>
        <w:jc w:val="left"/>
        <w:outlineLvl w:val="0"/>
        <w:rPr>
          <w:rFonts w:hint="eastAsia" w:ascii="宋体" w:hAnsi="宋体" w:eastAsia="宋体" w:cs="宋体"/>
          <w:b/>
          <w:color w:val="auto"/>
          <w:kern w:val="2"/>
          <w:sz w:val="24"/>
          <w:szCs w:val="24"/>
          <w:highlight w:val="none"/>
          <w:lang w:val="en-US" w:eastAsia="zh-CN" w:bidi="ar-SA"/>
        </w:rPr>
      </w:pPr>
      <w:bookmarkStart w:id="304" w:name="_Toc422322494"/>
      <w:bookmarkStart w:id="305" w:name="_Toc12889"/>
      <w:bookmarkStart w:id="306" w:name="_Toc32400"/>
      <w:bookmarkStart w:id="307" w:name="_Toc29635"/>
      <w:bookmarkStart w:id="308" w:name="_Toc26833"/>
      <w:bookmarkStart w:id="309" w:name="_Toc490753366"/>
      <w:bookmarkStart w:id="310" w:name="_Toc31087"/>
      <w:bookmarkStart w:id="311" w:name="_Toc6754"/>
      <w:bookmarkStart w:id="312" w:name="_Toc16159"/>
      <w:bookmarkStart w:id="313" w:name="_Toc489278532"/>
      <w:bookmarkStart w:id="314" w:name="_Toc6330"/>
      <w:bookmarkStart w:id="315" w:name="_Toc419045078"/>
      <w:r>
        <w:rPr>
          <w:rFonts w:hint="eastAsia" w:ascii="宋体" w:hAnsi="宋体" w:eastAsia="宋体" w:cs="宋体"/>
          <w:b/>
          <w:color w:val="auto"/>
          <w:kern w:val="2"/>
          <w:sz w:val="24"/>
          <w:szCs w:val="24"/>
          <w:highlight w:val="none"/>
          <w:lang w:val="en-US" w:eastAsia="zh-CN" w:bidi="ar-SA"/>
        </w:rPr>
        <w:t>3.咨询人的义务</w:t>
      </w:r>
      <w:bookmarkEnd w:id="304"/>
      <w:bookmarkEnd w:id="305"/>
      <w:bookmarkEnd w:id="306"/>
      <w:bookmarkEnd w:id="307"/>
      <w:bookmarkEnd w:id="308"/>
      <w:bookmarkEnd w:id="309"/>
      <w:bookmarkEnd w:id="310"/>
      <w:bookmarkEnd w:id="311"/>
      <w:bookmarkEnd w:id="312"/>
      <w:bookmarkEnd w:id="313"/>
      <w:bookmarkEnd w:id="314"/>
      <w:bookmarkEnd w:id="315"/>
    </w:p>
    <w:p w14:paraId="7B62580E">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316" w:name="_Toc422322495"/>
      <w:bookmarkStart w:id="317" w:name="_Toc30597"/>
      <w:bookmarkStart w:id="318" w:name="_Toc7183"/>
      <w:bookmarkStart w:id="319" w:name="_Toc490753367"/>
      <w:bookmarkStart w:id="320" w:name="_Toc489278533"/>
      <w:bookmarkStart w:id="321" w:name="_Toc419045080"/>
      <w:r>
        <w:rPr>
          <w:rFonts w:hint="eastAsia" w:ascii="宋体" w:hAnsi="宋体" w:eastAsia="宋体" w:cs="宋体"/>
          <w:b w:val="0"/>
          <w:color w:val="auto"/>
          <w:kern w:val="28"/>
          <w:sz w:val="24"/>
          <w:szCs w:val="24"/>
          <w:highlight w:val="none"/>
          <w:lang w:val="en-US" w:eastAsia="zh-CN" w:bidi="ar-SA"/>
        </w:rPr>
        <w:t>3.1 项目咨询团队及人员</w:t>
      </w:r>
      <w:bookmarkEnd w:id="316"/>
      <w:bookmarkEnd w:id="317"/>
      <w:bookmarkEnd w:id="318"/>
      <w:bookmarkEnd w:id="319"/>
      <w:bookmarkEnd w:id="320"/>
      <w:bookmarkEnd w:id="321"/>
    </w:p>
    <w:p w14:paraId="30BFA421">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3.1.1项目咨询团队的主要人员应具有专用条件约定的资格条件，团队人员的数量应符合专用条件的约定。</w:t>
      </w:r>
    </w:p>
    <w:p w14:paraId="49EEE6A2">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3.1.2项目负责人</w:t>
      </w:r>
    </w:p>
    <w:p w14:paraId="32BC26DF">
      <w:pPr>
        <w:pageBreakBefore w:val="0"/>
        <w:widowControl/>
        <w:kinsoku/>
        <w:overflowPunct/>
        <w:bidi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咨询人应以书面形式授权一名项目负责人负责履行本合同、主持项目咨询团队工作。采用招标程序签署本合同的，项目负责人应当与投标文件载明的一致。</w:t>
      </w:r>
    </w:p>
    <w:p w14:paraId="68799BA1">
      <w:pPr>
        <w:pageBreakBefore w:val="0"/>
        <w:widowControl/>
        <w:kinsoku/>
        <w:overflowPunct/>
        <w:bidi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3.1.3在本合同履行过程中，咨询人员应保持相对稳定，以保证咨询工作正常进行。</w:t>
      </w:r>
    </w:p>
    <w:p w14:paraId="404925B8">
      <w:pPr>
        <w:pageBreakBefore w:val="0"/>
        <w:widowControl/>
        <w:kinsoku/>
        <w:overflowPunct/>
        <w:bidi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6F49B643">
      <w:pPr>
        <w:pageBreakBefore w:val="0"/>
        <w:widowControl/>
        <w:kinsoku/>
        <w:overflowPunct/>
        <w:bidi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3.1.4咨询人员有下列情形之一，委托人要求咨询人更换的，咨询人应当更换：</w:t>
      </w:r>
    </w:p>
    <w:p w14:paraId="39577F58">
      <w:pPr>
        <w:pageBreakBefore w:val="0"/>
        <w:widowControl/>
        <w:kinsoku/>
        <w:overflowPunct/>
        <w:bidi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（1）存在严重过失行为的；</w:t>
      </w:r>
    </w:p>
    <w:p w14:paraId="6C0F4354">
      <w:pPr>
        <w:pageBreakBefore w:val="0"/>
        <w:widowControl/>
        <w:kinsoku/>
        <w:overflowPunct/>
        <w:bidi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（2）存在违法行为不能履行职责的；</w:t>
      </w:r>
    </w:p>
    <w:p w14:paraId="39F132D0">
      <w:pPr>
        <w:pageBreakBefore w:val="0"/>
        <w:widowControl/>
        <w:kinsoku/>
        <w:overflowPunct/>
        <w:bidi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（3）涉嫌犯罪的；</w:t>
      </w:r>
    </w:p>
    <w:p w14:paraId="31A55833">
      <w:pPr>
        <w:pageBreakBefore w:val="0"/>
        <w:widowControl/>
        <w:kinsoku/>
        <w:overflowPunct/>
        <w:bidi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（4）不能胜任岗位职责的；</w:t>
      </w:r>
    </w:p>
    <w:p w14:paraId="60619600">
      <w:pPr>
        <w:pageBreakBefore w:val="0"/>
        <w:widowControl/>
        <w:kinsoku/>
        <w:overflowPunct/>
        <w:bidi w:val="0"/>
        <w:spacing w:beforeLines="0" w:afterLines="0" w:line="360" w:lineRule="auto"/>
        <w:ind w:left="0" w:leftChars="0" w:righ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（5）严重违反职业道德的；</w:t>
      </w:r>
    </w:p>
    <w:p w14:paraId="509EAB63">
      <w:pPr>
        <w:pageBreakBefore w:val="0"/>
        <w:widowControl/>
        <w:kinsoku/>
        <w:overflowPunct/>
        <w:bidi w:val="0"/>
        <w:spacing w:beforeLines="0" w:afterLines="0" w:line="360" w:lineRule="auto"/>
        <w:ind w:left="0" w:leftChars="0" w:right="0" w:firstLine="480" w:firstLineChars="200"/>
        <w:jc w:val="both"/>
        <w:rPr>
          <w:rStyle w:val="228"/>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lang w:val="en-US" w:eastAsia="zh-CN" w:bidi="ar-SA"/>
        </w:rPr>
        <w:t>（6）专用条件约定的其他情形。</w:t>
      </w:r>
    </w:p>
    <w:p w14:paraId="4BDD9A75">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color w:val="auto"/>
          <w:kern w:val="28"/>
          <w:sz w:val="24"/>
          <w:szCs w:val="24"/>
          <w:highlight w:val="none"/>
          <w:lang w:val="en-US" w:eastAsia="zh-CN" w:bidi="ar-SA"/>
        </w:rPr>
      </w:pPr>
      <w:bookmarkStart w:id="322" w:name="_Toc489278534"/>
      <w:bookmarkStart w:id="323" w:name="_Toc490753368"/>
      <w:bookmarkStart w:id="324" w:name="_Toc4834"/>
      <w:bookmarkStart w:id="325" w:name="_Toc23961"/>
      <w:bookmarkStart w:id="326" w:name="_Toc422322496"/>
      <w:r>
        <w:rPr>
          <w:rFonts w:hint="eastAsia" w:ascii="宋体" w:hAnsi="宋体" w:eastAsia="宋体" w:cs="宋体"/>
          <w:b w:val="0"/>
          <w:color w:val="auto"/>
          <w:kern w:val="28"/>
          <w:sz w:val="24"/>
          <w:szCs w:val="24"/>
          <w:highlight w:val="none"/>
          <w:lang w:val="en-US" w:eastAsia="zh-CN" w:bidi="ar-SA"/>
        </w:rPr>
        <w:t>3.2 咨询人的工作要求</w:t>
      </w:r>
      <w:bookmarkEnd w:id="322"/>
      <w:bookmarkEnd w:id="323"/>
      <w:bookmarkEnd w:id="324"/>
      <w:bookmarkEnd w:id="325"/>
      <w:bookmarkEnd w:id="326"/>
    </w:p>
    <w:p w14:paraId="6D652BD9">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00BF51B7">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3.2.2咨询人应当在专用条件约定的时间内，按照专用条件约定的份数、组成向委托人提交咨询成果文件。</w:t>
      </w:r>
    </w:p>
    <w:p w14:paraId="64A59CED">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3706E3A4">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3.2.3咨询人提交的工程造价咨询成果文件，除加盖咨询人单位公章、工程造价咨询企业执业印章外，还必须按要求加盖参加咨询工作人员的执业（从业）资格印章。</w:t>
      </w:r>
    </w:p>
    <w:p w14:paraId="7ED1972F">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3.2.4咨询人应在专用条件约定的时间内，对委托人以书面形式提出的建议或者异议给予书面答复。</w:t>
      </w:r>
    </w:p>
    <w:p w14:paraId="7BE74AA0">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3.2.5咨询人从事工程造价咨询活动，应当遵循独立、客观、公正、诚实信用的原则，不得损害社会公共利益和他人的合法权益。</w:t>
      </w:r>
    </w:p>
    <w:p w14:paraId="4EE49463">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3.2.6咨询人承诺按照法律规定及合同约定，完成合同范围内的建设工程造价咨询服务，不转包承接的造价咨询服务业务。</w:t>
      </w:r>
    </w:p>
    <w:p w14:paraId="174C443A">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327" w:name="_Toc24181"/>
      <w:bookmarkStart w:id="328" w:name="_Toc489278535"/>
      <w:bookmarkStart w:id="329" w:name="_Toc422322497"/>
      <w:bookmarkStart w:id="330" w:name="_Toc419045081"/>
      <w:bookmarkStart w:id="331" w:name="_Toc10166"/>
      <w:bookmarkStart w:id="332" w:name="_Toc490753369"/>
      <w:r>
        <w:rPr>
          <w:rFonts w:hint="eastAsia" w:ascii="宋体" w:hAnsi="宋体" w:eastAsia="宋体" w:cs="宋体"/>
          <w:b w:val="0"/>
          <w:color w:val="auto"/>
          <w:kern w:val="28"/>
          <w:sz w:val="24"/>
          <w:szCs w:val="24"/>
          <w:highlight w:val="none"/>
          <w:lang w:val="en-US" w:eastAsia="zh-CN" w:bidi="ar-SA"/>
        </w:rPr>
        <w:t>3.3咨询人的工作依据</w:t>
      </w:r>
      <w:bookmarkEnd w:id="327"/>
      <w:bookmarkEnd w:id="328"/>
      <w:bookmarkEnd w:id="329"/>
      <w:bookmarkEnd w:id="330"/>
      <w:bookmarkEnd w:id="331"/>
      <w:bookmarkEnd w:id="332"/>
    </w:p>
    <w:p w14:paraId="7159EC28">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咨询人应在专用条件内与委托人协商明确履行本合同约定的咨询服务需要适用的技术标准、规范、定额等工作依据，但不得违反国家及工程所在地的强制性标准、规范。</w:t>
      </w:r>
    </w:p>
    <w:p w14:paraId="4DA183C3">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咨询人应自行配备本条所述的技术标准、规范、定额等相关资料。必须由委托人提供的资料，应在附录C中载明。需要委托人协助才能获得的资料，委托人应予以协助。</w:t>
      </w:r>
    </w:p>
    <w:p w14:paraId="1BBB899C">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333" w:name="_Toc489278536"/>
      <w:bookmarkStart w:id="334" w:name="_Toc422322498"/>
      <w:bookmarkStart w:id="335" w:name="_Toc490753370"/>
      <w:bookmarkStart w:id="336" w:name="_Toc8391"/>
      <w:bookmarkStart w:id="337" w:name="_Toc419045082"/>
      <w:bookmarkStart w:id="338" w:name="_Toc18113"/>
      <w:r>
        <w:rPr>
          <w:rFonts w:hint="eastAsia" w:ascii="宋体" w:hAnsi="宋体" w:eastAsia="宋体" w:cs="宋体"/>
          <w:b w:val="0"/>
          <w:color w:val="auto"/>
          <w:kern w:val="28"/>
          <w:sz w:val="24"/>
          <w:szCs w:val="24"/>
          <w:highlight w:val="none"/>
          <w:lang w:val="en-US" w:eastAsia="zh-CN" w:bidi="ar-SA"/>
        </w:rPr>
        <w:t>3.4使用委托人房屋及设备的返还</w:t>
      </w:r>
      <w:bookmarkEnd w:id="333"/>
      <w:bookmarkEnd w:id="334"/>
      <w:bookmarkEnd w:id="335"/>
      <w:bookmarkEnd w:id="336"/>
      <w:bookmarkEnd w:id="337"/>
      <w:bookmarkEnd w:id="338"/>
    </w:p>
    <w:p w14:paraId="041AC429">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项目咨询人员使用委托人提供的房屋及设备的，咨询人应妥善使用和保管，在本合同终止时将上述房屋及设备按专用条件约定的时间和方式返还委托人。</w:t>
      </w:r>
    </w:p>
    <w:p w14:paraId="5A3EB3A8">
      <w:pPr>
        <w:pageBreakBefore w:val="0"/>
        <w:kinsoku/>
        <w:overflowPunct/>
        <w:bidi w:val="0"/>
        <w:spacing w:beforeLines="0" w:afterLines="0" w:line="360" w:lineRule="auto"/>
        <w:ind w:left="0" w:leftChars="0" w:right="0"/>
        <w:outlineLvl w:val="0"/>
        <w:rPr>
          <w:rStyle w:val="227"/>
          <w:rFonts w:hint="eastAsia" w:ascii="宋体" w:hAnsi="宋体" w:eastAsia="宋体" w:cs="宋体"/>
          <w:color w:val="auto"/>
          <w:sz w:val="24"/>
          <w:szCs w:val="24"/>
          <w:highlight w:val="none"/>
        </w:rPr>
      </w:pPr>
      <w:bookmarkStart w:id="339" w:name="_Toc26055"/>
      <w:bookmarkStart w:id="340" w:name="_Toc1008"/>
      <w:bookmarkStart w:id="341" w:name="_Toc419045083"/>
      <w:bookmarkStart w:id="342" w:name="_Toc6944"/>
      <w:bookmarkStart w:id="343" w:name="_Toc23082"/>
      <w:bookmarkStart w:id="344" w:name="_Toc27762"/>
      <w:bookmarkStart w:id="345" w:name="_Toc4020"/>
      <w:bookmarkStart w:id="346" w:name="_Toc23657"/>
      <w:bookmarkStart w:id="347" w:name="_Toc422322499"/>
      <w:r>
        <w:rPr>
          <w:rStyle w:val="227"/>
          <w:rFonts w:hint="eastAsia" w:ascii="宋体" w:hAnsi="宋体" w:eastAsia="宋体" w:cs="宋体"/>
          <w:color w:val="auto"/>
          <w:sz w:val="24"/>
          <w:szCs w:val="24"/>
          <w:highlight w:val="none"/>
          <w:lang w:val="en-US" w:eastAsia="zh-CN"/>
        </w:rPr>
        <w:t>4</w:t>
      </w:r>
      <w:r>
        <w:rPr>
          <w:rStyle w:val="227"/>
          <w:rFonts w:hint="eastAsia" w:ascii="宋体" w:hAnsi="宋体" w:eastAsia="宋体" w:cs="宋体"/>
          <w:color w:val="auto"/>
          <w:sz w:val="24"/>
          <w:szCs w:val="24"/>
          <w:highlight w:val="none"/>
        </w:rPr>
        <w:t>.违约责任</w:t>
      </w:r>
      <w:bookmarkEnd w:id="339"/>
      <w:bookmarkEnd w:id="340"/>
      <w:bookmarkEnd w:id="341"/>
      <w:bookmarkEnd w:id="342"/>
      <w:bookmarkEnd w:id="343"/>
      <w:bookmarkEnd w:id="344"/>
      <w:bookmarkEnd w:id="345"/>
      <w:bookmarkEnd w:id="346"/>
      <w:bookmarkEnd w:id="347"/>
    </w:p>
    <w:p w14:paraId="51BC07EF">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348" w:name="_Toc422322500"/>
      <w:bookmarkStart w:id="349" w:name="_Toc21573"/>
      <w:bookmarkStart w:id="350" w:name="_Toc489278537"/>
      <w:bookmarkStart w:id="351" w:name="_Toc2841"/>
      <w:bookmarkStart w:id="352" w:name="_Toc490753371"/>
      <w:r>
        <w:rPr>
          <w:rFonts w:hint="eastAsia" w:ascii="宋体" w:hAnsi="宋体" w:eastAsia="宋体" w:cs="宋体"/>
          <w:b w:val="0"/>
          <w:color w:val="auto"/>
          <w:kern w:val="28"/>
          <w:sz w:val="24"/>
          <w:szCs w:val="24"/>
          <w:highlight w:val="none"/>
          <w:lang w:val="en-US" w:eastAsia="zh-CN" w:bidi="ar-SA"/>
        </w:rPr>
        <w:t>4.1委托人的违约责任</w:t>
      </w:r>
      <w:bookmarkEnd w:id="348"/>
      <w:bookmarkEnd w:id="349"/>
      <w:bookmarkEnd w:id="350"/>
      <w:bookmarkEnd w:id="351"/>
      <w:bookmarkEnd w:id="352"/>
    </w:p>
    <w:p w14:paraId="13C8B480">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4.1.1委托人（出资人（建设单位））不履行本合同义务或者履行义务不符合本合同约定的，应承担违约责任。</w:t>
      </w:r>
      <w:r>
        <w:rPr>
          <w:rFonts w:hint="eastAsia" w:ascii="宋体" w:hAnsi="宋体" w:cs="宋体"/>
          <w:color w:val="auto"/>
          <w:kern w:val="0"/>
          <w:sz w:val="24"/>
          <w:szCs w:val="24"/>
          <w:highlight w:val="none"/>
          <w:lang w:val="en-US" w:eastAsia="zh-CN" w:bidi="ar-SA"/>
        </w:rPr>
        <w:t>四方</w:t>
      </w:r>
      <w:r>
        <w:rPr>
          <w:rFonts w:hint="eastAsia" w:ascii="宋体" w:hAnsi="宋体" w:eastAsia="宋体" w:cs="宋体"/>
          <w:color w:val="auto"/>
          <w:kern w:val="0"/>
          <w:sz w:val="24"/>
          <w:szCs w:val="24"/>
          <w:highlight w:val="none"/>
          <w:lang w:val="en-US" w:eastAsia="zh-CN" w:bidi="ar-SA"/>
        </w:rPr>
        <w:t>可在专用条件中约定违约金的计算及支付方法。</w:t>
      </w:r>
    </w:p>
    <w:p w14:paraId="5CD64FDF">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4.1.2委托人（出资人（建设单位））违反本合同约定造成咨询人损失的，委托人（出资人（建设单位））应予以赔偿。</w:t>
      </w:r>
      <w:r>
        <w:rPr>
          <w:rFonts w:hint="eastAsia" w:ascii="宋体" w:hAnsi="宋体" w:cs="宋体"/>
          <w:color w:val="auto"/>
          <w:kern w:val="0"/>
          <w:sz w:val="24"/>
          <w:szCs w:val="24"/>
          <w:highlight w:val="none"/>
          <w:lang w:val="en-US" w:eastAsia="zh-CN" w:bidi="ar-SA"/>
        </w:rPr>
        <w:t>四方</w:t>
      </w:r>
      <w:r>
        <w:rPr>
          <w:rFonts w:hint="eastAsia" w:ascii="宋体" w:hAnsi="宋体" w:eastAsia="宋体" w:cs="宋体"/>
          <w:color w:val="auto"/>
          <w:kern w:val="0"/>
          <w:sz w:val="24"/>
          <w:szCs w:val="24"/>
          <w:highlight w:val="none"/>
          <w:lang w:val="en-US" w:eastAsia="zh-CN" w:bidi="ar-SA"/>
        </w:rPr>
        <w:t>可在专用条件中约定赔偿金额的确定及支付方法。</w:t>
      </w:r>
    </w:p>
    <w:p w14:paraId="7BCC0D62">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353" w:name="_Toc490753372"/>
      <w:bookmarkStart w:id="354" w:name="_Toc30496"/>
      <w:bookmarkStart w:id="355" w:name="_Toc5884"/>
      <w:bookmarkStart w:id="356" w:name="_Toc422322501"/>
      <w:bookmarkStart w:id="357" w:name="_Toc419045084"/>
      <w:bookmarkStart w:id="358" w:name="_Toc489278538"/>
      <w:r>
        <w:rPr>
          <w:rFonts w:hint="eastAsia" w:ascii="宋体" w:hAnsi="宋体" w:eastAsia="宋体" w:cs="宋体"/>
          <w:b w:val="0"/>
          <w:color w:val="auto"/>
          <w:kern w:val="28"/>
          <w:sz w:val="24"/>
          <w:szCs w:val="24"/>
          <w:highlight w:val="none"/>
          <w:lang w:val="en-US" w:eastAsia="zh-CN" w:bidi="ar-SA"/>
        </w:rPr>
        <w:t>4.2咨询人的违约责任</w:t>
      </w:r>
      <w:bookmarkEnd w:id="353"/>
      <w:bookmarkEnd w:id="354"/>
      <w:bookmarkEnd w:id="355"/>
      <w:bookmarkEnd w:id="356"/>
      <w:bookmarkEnd w:id="357"/>
      <w:bookmarkEnd w:id="358"/>
    </w:p>
    <w:p w14:paraId="1B239E17">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4.2.1咨询人不履行本合同义务或者履行义务不符合本合同约定的，应承担违约责任。</w:t>
      </w:r>
      <w:r>
        <w:rPr>
          <w:rFonts w:hint="eastAsia" w:ascii="宋体" w:hAnsi="宋体" w:cs="宋体"/>
          <w:color w:val="auto"/>
          <w:kern w:val="0"/>
          <w:sz w:val="24"/>
          <w:szCs w:val="24"/>
          <w:highlight w:val="none"/>
          <w:lang w:val="en-US" w:eastAsia="zh-CN" w:bidi="ar-SA"/>
        </w:rPr>
        <w:t>四方</w:t>
      </w:r>
      <w:r>
        <w:rPr>
          <w:rFonts w:hint="eastAsia" w:ascii="宋体" w:hAnsi="宋体" w:eastAsia="宋体" w:cs="宋体"/>
          <w:color w:val="auto"/>
          <w:kern w:val="0"/>
          <w:sz w:val="24"/>
          <w:szCs w:val="24"/>
          <w:highlight w:val="none"/>
          <w:lang w:val="en-US" w:eastAsia="zh-CN" w:bidi="ar-SA"/>
        </w:rPr>
        <w:t>可在专用条件中约定违约金的计算及支付方法。</w:t>
      </w:r>
    </w:p>
    <w:p w14:paraId="5B36DBDC">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4.2.2因咨询人违反本合同约定给委托人造成损失的，咨询人应当赔偿委托人损失。</w:t>
      </w:r>
      <w:r>
        <w:rPr>
          <w:rFonts w:hint="eastAsia" w:ascii="宋体" w:hAnsi="宋体" w:cs="宋体"/>
          <w:color w:val="auto"/>
          <w:kern w:val="0"/>
          <w:sz w:val="24"/>
          <w:szCs w:val="24"/>
          <w:highlight w:val="none"/>
          <w:lang w:val="en-US" w:eastAsia="zh-CN" w:bidi="ar-SA"/>
        </w:rPr>
        <w:t>四方</w:t>
      </w:r>
      <w:r>
        <w:rPr>
          <w:rFonts w:hint="eastAsia" w:ascii="宋体" w:hAnsi="宋体" w:eastAsia="宋体" w:cs="宋体"/>
          <w:color w:val="auto"/>
          <w:kern w:val="0"/>
          <w:sz w:val="24"/>
          <w:szCs w:val="24"/>
          <w:highlight w:val="none"/>
          <w:lang w:val="en-US" w:eastAsia="zh-CN" w:bidi="ar-SA"/>
        </w:rPr>
        <w:t>可在专用条件中约定赔偿金额的确定及支付方法。</w:t>
      </w:r>
    </w:p>
    <w:p w14:paraId="574A71D8">
      <w:pPr>
        <w:pageBreakBefore w:val="0"/>
        <w:kinsoku/>
        <w:overflowPunct/>
        <w:bidi w:val="0"/>
        <w:spacing w:beforeLines="0" w:afterLines="0" w:line="360" w:lineRule="auto"/>
        <w:ind w:left="0" w:leftChars="0" w:right="0"/>
        <w:outlineLvl w:val="0"/>
        <w:rPr>
          <w:rStyle w:val="227"/>
          <w:rFonts w:hint="eastAsia" w:ascii="宋体" w:hAnsi="宋体" w:eastAsia="宋体" w:cs="宋体"/>
          <w:bCs/>
          <w:color w:val="auto"/>
          <w:sz w:val="24"/>
          <w:szCs w:val="24"/>
          <w:highlight w:val="none"/>
        </w:rPr>
      </w:pPr>
      <w:bookmarkStart w:id="359" w:name="_Toc18335"/>
      <w:bookmarkStart w:id="360" w:name="_Toc32411"/>
      <w:bookmarkStart w:id="361" w:name="_Toc419045086"/>
      <w:bookmarkStart w:id="362" w:name="_Toc16548"/>
      <w:bookmarkStart w:id="363" w:name="_Toc11779"/>
      <w:bookmarkStart w:id="364" w:name="_Toc4212"/>
      <w:bookmarkStart w:id="365" w:name="_Toc808"/>
      <w:bookmarkStart w:id="366" w:name="_Toc2606"/>
      <w:bookmarkStart w:id="367" w:name="_Toc422322502"/>
      <w:r>
        <w:rPr>
          <w:rStyle w:val="227"/>
          <w:rFonts w:hint="eastAsia" w:ascii="宋体" w:hAnsi="宋体" w:eastAsia="宋体" w:cs="宋体"/>
          <w:bCs/>
          <w:color w:val="auto"/>
          <w:sz w:val="24"/>
          <w:szCs w:val="24"/>
          <w:highlight w:val="none"/>
          <w:lang w:val="en-US" w:eastAsia="zh-CN"/>
        </w:rPr>
        <w:t>5</w:t>
      </w:r>
      <w:r>
        <w:rPr>
          <w:rStyle w:val="227"/>
          <w:rFonts w:hint="eastAsia" w:ascii="宋体" w:hAnsi="宋体" w:eastAsia="宋体" w:cs="宋体"/>
          <w:bCs/>
          <w:color w:val="auto"/>
          <w:sz w:val="24"/>
          <w:szCs w:val="24"/>
          <w:highlight w:val="none"/>
        </w:rPr>
        <w:t>.支付</w:t>
      </w:r>
      <w:bookmarkEnd w:id="359"/>
      <w:bookmarkEnd w:id="360"/>
      <w:bookmarkEnd w:id="361"/>
      <w:bookmarkEnd w:id="362"/>
      <w:bookmarkEnd w:id="363"/>
      <w:bookmarkEnd w:id="364"/>
      <w:bookmarkEnd w:id="365"/>
      <w:bookmarkEnd w:id="366"/>
      <w:bookmarkEnd w:id="367"/>
    </w:p>
    <w:p w14:paraId="16473E1D">
      <w:pPr>
        <w:pageBreakBefore w:val="0"/>
        <w:kinsoku/>
        <w:overflowPunct/>
        <w:bidi w:val="0"/>
        <w:spacing w:beforeLines="0" w:afterLines="0" w:line="360" w:lineRule="auto"/>
        <w:ind w:left="0" w:leftChars="0" w:right="0" w:firstLine="480" w:firstLineChars="200"/>
        <w:outlineLvl w:val="1"/>
        <w:rPr>
          <w:rFonts w:hint="eastAsia" w:ascii="宋体" w:hAnsi="宋体" w:eastAsia="宋体" w:cs="宋体"/>
          <w:color w:val="auto"/>
          <w:sz w:val="24"/>
          <w:szCs w:val="24"/>
          <w:highlight w:val="none"/>
        </w:rPr>
      </w:pPr>
      <w:bookmarkStart w:id="368" w:name="_Toc24189"/>
      <w:bookmarkStart w:id="369" w:name="_Toc419045087"/>
      <w:bookmarkStart w:id="370" w:name="_Toc422322503"/>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.1支付货币</w:t>
      </w:r>
      <w:bookmarkEnd w:id="368"/>
      <w:bookmarkEnd w:id="369"/>
      <w:bookmarkEnd w:id="370"/>
    </w:p>
    <w:p w14:paraId="752AB850">
      <w:pPr>
        <w:pageBreakBefore w:val="0"/>
        <w:kinsoku/>
        <w:overflowPunct/>
        <w:bidi w:val="0"/>
        <w:spacing w:beforeLines="0" w:afterLines="0" w:line="360" w:lineRule="auto"/>
        <w:ind w:left="0" w:leftChars="0" w:right="0" w:firstLine="480" w:firstLineChars="200"/>
        <w:rPr>
          <w:rStyle w:val="228"/>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除专用条件另有约定外，酬金均以人民币支付。涉及外币支付的，所采用的货币种类和汇率等在专用条件中约定。</w:t>
      </w:r>
    </w:p>
    <w:p w14:paraId="47EA1233">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color w:val="auto"/>
          <w:kern w:val="28"/>
          <w:sz w:val="24"/>
          <w:szCs w:val="24"/>
          <w:highlight w:val="none"/>
          <w:lang w:val="en-US" w:eastAsia="zh-CN" w:bidi="ar-SA"/>
        </w:rPr>
      </w:pPr>
      <w:bookmarkStart w:id="371" w:name="_Toc14012"/>
      <w:bookmarkStart w:id="372" w:name="_Toc490753373"/>
      <w:bookmarkStart w:id="373" w:name="_Toc1862"/>
      <w:bookmarkStart w:id="374" w:name="_Toc489278539"/>
      <w:bookmarkStart w:id="375" w:name="_Toc422322504"/>
      <w:r>
        <w:rPr>
          <w:rFonts w:hint="eastAsia" w:ascii="宋体" w:hAnsi="宋体" w:eastAsia="宋体" w:cs="宋体"/>
          <w:b w:val="0"/>
          <w:color w:val="auto"/>
          <w:kern w:val="28"/>
          <w:sz w:val="24"/>
          <w:szCs w:val="24"/>
          <w:highlight w:val="none"/>
          <w:lang w:val="en-US" w:eastAsia="zh-CN" w:bidi="ar-SA"/>
        </w:rPr>
        <w:t>5.2支付申请</w:t>
      </w:r>
      <w:bookmarkEnd w:id="371"/>
      <w:bookmarkEnd w:id="372"/>
      <w:bookmarkEnd w:id="373"/>
      <w:bookmarkEnd w:id="374"/>
      <w:bookmarkEnd w:id="375"/>
    </w:p>
    <w:p w14:paraId="09F0BF7F">
      <w:pPr>
        <w:pageBreakBefore w:val="0"/>
        <w:kinsoku/>
        <w:overflowPunct/>
        <w:bidi w:val="0"/>
        <w:spacing w:beforeLines="0" w:afterLines="0" w:line="360" w:lineRule="auto"/>
        <w:ind w:left="0" w:leftChars="0" w:right="0" w:firstLine="480" w:firstLineChars="200"/>
        <w:rPr>
          <w:rStyle w:val="228"/>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咨询人应在本合同约定的每次应付款日期前，向</w:t>
      </w:r>
      <w:r>
        <w:rPr>
          <w:rFonts w:hint="eastAsia" w:ascii="宋体" w:hAnsi="宋体" w:cs="宋体"/>
          <w:color w:val="auto"/>
          <w:sz w:val="24"/>
          <w:szCs w:val="24"/>
          <w:highlight w:val="none"/>
          <w:lang w:val="en-US" w:eastAsia="zh-CN"/>
        </w:rPr>
        <w:t>代建单位及</w:t>
      </w: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提交支付申请书，支付申请书的提交日期由</w:t>
      </w: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在专用条件中约定。支付申请书应当说明当期应付款总额，并列出当期应支付的款项及其金额。</w:t>
      </w:r>
    </w:p>
    <w:p w14:paraId="5C989EB2">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color w:val="auto"/>
          <w:kern w:val="28"/>
          <w:sz w:val="24"/>
          <w:szCs w:val="24"/>
          <w:highlight w:val="none"/>
          <w:lang w:val="en-US" w:eastAsia="zh-CN" w:bidi="ar-SA"/>
        </w:rPr>
      </w:pPr>
      <w:bookmarkStart w:id="376" w:name="_Toc489278540"/>
      <w:bookmarkStart w:id="377" w:name="_Toc422322505"/>
      <w:bookmarkStart w:id="378" w:name="_Toc490753374"/>
      <w:bookmarkStart w:id="379" w:name="_Toc29035"/>
      <w:bookmarkStart w:id="380" w:name="_Toc24949"/>
      <w:r>
        <w:rPr>
          <w:rFonts w:hint="eastAsia" w:ascii="宋体" w:hAnsi="宋体" w:eastAsia="宋体" w:cs="宋体"/>
          <w:b w:val="0"/>
          <w:color w:val="auto"/>
          <w:kern w:val="28"/>
          <w:sz w:val="24"/>
          <w:szCs w:val="24"/>
          <w:highlight w:val="none"/>
          <w:lang w:val="en-US" w:eastAsia="zh-CN" w:bidi="ar-SA"/>
        </w:rPr>
        <w:t>5.3 支付酬金</w:t>
      </w:r>
      <w:bookmarkEnd w:id="376"/>
      <w:bookmarkEnd w:id="377"/>
      <w:bookmarkEnd w:id="378"/>
      <w:bookmarkEnd w:id="379"/>
      <w:bookmarkEnd w:id="380"/>
    </w:p>
    <w:p w14:paraId="314C89E6">
      <w:pPr>
        <w:pageBreakBefore w:val="0"/>
        <w:kinsoku/>
        <w:overflowPunct/>
        <w:bidi w:val="0"/>
        <w:spacing w:beforeLines="0" w:afterLines="0" w:line="360" w:lineRule="auto"/>
        <w:ind w:left="0" w:leftChars="0" w:right="0" w:firstLine="480" w:firstLineChars="200"/>
        <w:rPr>
          <w:rStyle w:val="228"/>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支付酬金包括正常工作酬金、附加工作酬金、合理化建议奖励金额及费用。</w:t>
      </w:r>
    </w:p>
    <w:p w14:paraId="5F34C7E7">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color w:val="auto"/>
          <w:kern w:val="28"/>
          <w:sz w:val="24"/>
          <w:szCs w:val="24"/>
          <w:highlight w:val="none"/>
          <w:lang w:val="en-US" w:eastAsia="zh-CN" w:bidi="ar-SA"/>
        </w:rPr>
      </w:pPr>
      <w:bookmarkStart w:id="381" w:name="_Toc28143"/>
      <w:bookmarkStart w:id="382" w:name="_Toc1741"/>
      <w:bookmarkStart w:id="383" w:name="_Toc490753375"/>
      <w:bookmarkStart w:id="384" w:name="_Toc489278541"/>
      <w:bookmarkStart w:id="385" w:name="_Toc422322506"/>
      <w:r>
        <w:rPr>
          <w:rFonts w:hint="eastAsia" w:ascii="宋体" w:hAnsi="宋体" w:eastAsia="宋体" w:cs="宋体"/>
          <w:b w:val="0"/>
          <w:color w:val="auto"/>
          <w:kern w:val="28"/>
          <w:sz w:val="24"/>
          <w:szCs w:val="24"/>
          <w:highlight w:val="none"/>
          <w:lang w:val="en-US" w:eastAsia="zh-CN" w:bidi="ar-SA"/>
        </w:rPr>
        <w:t>5.4有异议部分的支付</w:t>
      </w:r>
      <w:bookmarkEnd w:id="381"/>
      <w:bookmarkEnd w:id="382"/>
      <w:bookmarkEnd w:id="383"/>
      <w:bookmarkEnd w:id="384"/>
      <w:bookmarkEnd w:id="385"/>
    </w:p>
    <w:p w14:paraId="29291D84">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对咨询人提交的支付申请书有异议时，应当在收到咨询人提交的支付申请书后7日内，以书面形式向咨询人发出异议通知。无异议部分的款项应按期支付，有异议部分的款项按第</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条约定办理。</w:t>
      </w:r>
    </w:p>
    <w:p w14:paraId="789D303A">
      <w:pPr>
        <w:pageBreakBefore w:val="0"/>
        <w:kinsoku/>
        <w:overflowPunct/>
        <w:bidi w:val="0"/>
        <w:spacing w:beforeLines="0" w:afterLines="0" w:line="360" w:lineRule="auto"/>
        <w:ind w:left="0" w:leftChars="0" w:right="0" w:firstLine="480" w:firstLineChars="200"/>
        <w:outlineLvl w:val="0"/>
        <w:rPr>
          <w:rStyle w:val="227"/>
          <w:rFonts w:hint="eastAsia" w:ascii="宋体" w:hAnsi="宋体" w:eastAsia="宋体" w:cs="宋体"/>
          <w:color w:val="auto"/>
          <w:sz w:val="24"/>
          <w:szCs w:val="24"/>
          <w:highlight w:val="none"/>
        </w:rPr>
      </w:pPr>
      <w:bookmarkStart w:id="386" w:name="_Toc23499"/>
      <w:bookmarkStart w:id="387" w:name="_Toc31173"/>
      <w:bookmarkStart w:id="388" w:name="_Toc419045088"/>
      <w:bookmarkStart w:id="389" w:name="_Toc11907"/>
      <w:bookmarkStart w:id="390" w:name="_Toc8258"/>
      <w:bookmarkStart w:id="391" w:name="_Toc765"/>
      <w:bookmarkStart w:id="392" w:name="_Toc20027"/>
      <w:bookmarkStart w:id="393" w:name="_Toc422322507"/>
      <w:bookmarkStart w:id="394" w:name="_Toc19254"/>
      <w:r>
        <w:rPr>
          <w:rStyle w:val="227"/>
          <w:rFonts w:hint="eastAsia" w:ascii="宋体" w:hAnsi="宋体" w:eastAsia="宋体" w:cs="宋体"/>
          <w:color w:val="auto"/>
          <w:sz w:val="24"/>
          <w:szCs w:val="24"/>
          <w:highlight w:val="none"/>
          <w:lang w:val="en-US" w:eastAsia="zh-CN"/>
        </w:rPr>
        <w:t>6</w:t>
      </w:r>
      <w:r>
        <w:rPr>
          <w:rStyle w:val="227"/>
          <w:rFonts w:hint="eastAsia" w:ascii="宋体" w:hAnsi="宋体" w:eastAsia="宋体" w:cs="宋体"/>
          <w:color w:val="auto"/>
          <w:sz w:val="24"/>
          <w:szCs w:val="24"/>
          <w:highlight w:val="none"/>
        </w:rPr>
        <w:t>.合同变更、解除与终止</w:t>
      </w:r>
      <w:bookmarkEnd w:id="386"/>
      <w:bookmarkEnd w:id="387"/>
      <w:bookmarkEnd w:id="388"/>
      <w:bookmarkEnd w:id="389"/>
      <w:bookmarkEnd w:id="390"/>
      <w:bookmarkEnd w:id="391"/>
      <w:bookmarkEnd w:id="392"/>
      <w:bookmarkEnd w:id="393"/>
      <w:bookmarkEnd w:id="394"/>
    </w:p>
    <w:p w14:paraId="2A0C9CEB">
      <w:pPr>
        <w:pageBreakBefore w:val="0"/>
        <w:kinsoku/>
        <w:overflowPunct/>
        <w:bidi w:val="0"/>
        <w:spacing w:beforeLines="0" w:afterLines="0" w:line="360" w:lineRule="auto"/>
        <w:ind w:left="0" w:leftChars="0" w:right="0" w:firstLine="420" w:firstLineChars="175"/>
        <w:rPr>
          <w:rFonts w:hint="eastAsia" w:ascii="宋体" w:hAnsi="宋体" w:eastAsia="宋体" w:cs="宋体"/>
          <w:color w:val="auto"/>
          <w:sz w:val="24"/>
          <w:szCs w:val="24"/>
          <w:highlight w:val="none"/>
          <w:lang w:val="en-US" w:eastAsia="zh-CN"/>
        </w:rPr>
      </w:pPr>
      <w:bookmarkStart w:id="395" w:name="_Toc422322508"/>
      <w:bookmarkStart w:id="396" w:name="_Toc419045089"/>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.1合同变更</w:t>
      </w:r>
      <w:bookmarkEnd w:id="395"/>
      <w:bookmarkEnd w:id="396"/>
      <w:r>
        <w:rPr>
          <w:rFonts w:hint="eastAsia" w:ascii="宋体" w:hAnsi="宋体" w:eastAsia="宋体" w:cs="宋体"/>
          <w:color w:val="auto"/>
          <w:sz w:val="24"/>
          <w:szCs w:val="24"/>
          <w:highlight w:val="none"/>
        </w:rPr>
        <w:t xml:space="preserve"> </w:t>
      </w:r>
    </w:p>
    <w:p w14:paraId="054898EB">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.1.1 任何一方以书面形式提出变更请求时，</w:t>
      </w: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经协商一致后可进行变更。</w:t>
      </w:r>
    </w:p>
    <w:p w14:paraId="2400256C">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.1.2除不可抗力外，因非咨询人原因导致咨询人履行合同期限延长、内容增加时，咨询人应当将此情况与可能产生的影响及时通知委托人。增加的工作时间或工作内容应视为附加工作。附加工作酬金的确定方法由</w:t>
      </w: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根据委托的服务范围及工作内容在专用条件中约定。</w:t>
      </w:r>
    </w:p>
    <w:p w14:paraId="08D8ACE9">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.1.3合同履行过程中，遇有与工程相关的法律法规、强制性标准颁布或修订的，</w:t>
      </w: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应遵照执行。非强制性标准、规范、定额等发生变化的，</w:t>
      </w: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协商确定执行依据。由此引起造价咨询的服务范围及内容、服务期限、酬金变化的，</w:t>
      </w: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应通过协商确定。</w:t>
      </w:r>
    </w:p>
    <w:p w14:paraId="424CE91E">
      <w:pPr>
        <w:pageBreakBefore w:val="0"/>
        <w:kinsoku/>
        <w:overflowPunct/>
        <w:bidi w:val="0"/>
        <w:spacing w:beforeLines="0" w:afterLines="0" w:line="360" w:lineRule="auto"/>
        <w:ind w:left="0" w:leftChars="0" w:right="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.1.4 因工程规模、服务范围及工作内容的变化等导致咨询人的工作量增减时，服务酬金应作相应调整，调整方法由</w:t>
      </w: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在专用条件中约定。</w:t>
      </w:r>
    </w:p>
    <w:p w14:paraId="39718F9F">
      <w:pPr>
        <w:pageBreakBefore w:val="0"/>
        <w:kinsoku/>
        <w:overflowPunct/>
        <w:bidi w:val="0"/>
        <w:spacing w:beforeLines="0" w:afterLines="0" w:line="360" w:lineRule="auto"/>
        <w:ind w:left="0" w:leftChars="0" w:right="0" w:firstLine="480" w:firstLineChars="200"/>
        <w:rPr>
          <w:rStyle w:val="228"/>
          <w:rFonts w:hint="eastAsia" w:ascii="宋体" w:hAnsi="宋体" w:eastAsia="宋体" w:cs="宋体"/>
          <w:color w:val="auto"/>
          <w:sz w:val="24"/>
          <w:szCs w:val="24"/>
          <w:highlight w:val="none"/>
        </w:rPr>
      </w:pPr>
      <w:bookmarkStart w:id="397" w:name="_Toc422322509"/>
      <w:bookmarkStart w:id="398" w:name="_Toc419045090"/>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.2合同解除</w:t>
      </w:r>
      <w:bookmarkEnd w:id="397"/>
      <w:bookmarkEnd w:id="398"/>
    </w:p>
    <w:p w14:paraId="71483F24">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.2.1 委托人</w:t>
      </w: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与咨询人协商一致，可以解除合同。</w:t>
      </w:r>
    </w:p>
    <w:p w14:paraId="60CFF233">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.2.2 有下列情形之一的，合同当事人一方或</w:t>
      </w: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可以解除合同：</w:t>
      </w:r>
    </w:p>
    <w:p w14:paraId="641D311A">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（1）咨询人将本合同约定的工程造价咨询服务工作全部或部分转包给他人，委托人可以解除合同；</w:t>
      </w:r>
    </w:p>
    <w:p w14:paraId="07120873">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（2）咨询人提供的造价咨询服务不符合合同约定的要求，经委托人催告仍不能达到合同约定要求的，委托人可以解除合同；</w:t>
      </w:r>
    </w:p>
    <w:p w14:paraId="58CA71D7">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（3）未按合同约定支付服务酬金，经咨询人催告后，在28天内仍未支付的，咨询人可以解除合同；</w:t>
      </w:r>
    </w:p>
    <w:p w14:paraId="2F2F8733">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（4）因不可抗力致使合同无法履行；</w:t>
      </w:r>
    </w:p>
    <w:p w14:paraId="003D8ABF">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（5）因一方违约致使合同无法实际履行或实际履行已无必要。</w:t>
      </w:r>
    </w:p>
    <w:p w14:paraId="5BFD5DC0">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除上述情形外，</w:t>
      </w: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可以根据委托的服务范围及工作内容，在专用条件中约定解除合同的其他条件。</w:t>
      </w:r>
    </w:p>
    <w:p w14:paraId="48490A9E">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.2.3 任何一方提出解除合同的，应提前30天书面通知对方。</w:t>
      </w:r>
    </w:p>
    <w:p w14:paraId="39630228">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.2.4合同解除后，应按照合同约定向咨询人支付已完成部分的咨询服务酬金。</w:t>
      </w:r>
    </w:p>
    <w:p w14:paraId="688FFB4E">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因不可抗力导致的合同解除，其损失的分担按照合理分担的原则由合同当事人在专用条件中自行约定。除不可抗力外因非咨询人原因导致的合同解除，其损失由委托人</w:t>
      </w: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承担。因咨询人自身原因导致的合同解除，按照违约责任处理。</w:t>
      </w:r>
    </w:p>
    <w:p w14:paraId="4A3124B8">
      <w:pPr>
        <w:pageBreakBefore w:val="0"/>
        <w:kinsoku/>
        <w:overflowPunct/>
        <w:bidi w:val="0"/>
        <w:spacing w:beforeLines="0" w:afterLines="0" w:line="360" w:lineRule="auto"/>
        <w:ind w:left="0" w:leftChars="0" w:right="0" w:firstLine="480" w:firstLineChars="200"/>
        <w:rPr>
          <w:rFonts w:hint="eastAsia" w:ascii="宋体" w:hAnsi="宋体" w:eastAsia="宋体" w:cs="宋体"/>
          <w:smallCaps/>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.2.5本合同解除后，本合同约定的有关结算、争议解决方式的条款仍然有效。</w:t>
      </w:r>
    </w:p>
    <w:p w14:paraId="42E5EB07">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bookmarkStart w:id="399" w:name="_Toc422322510"/>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 合同终止</w:t>
      </w:r>
      <w:bookmarkEnd w:id="399"/>
    </w:p>
    <w:p w14:paraId="3EC6839C">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smallCaps/>
          <w:color w:val="auto"/>
          <w:sz w:val="24"/>
          <w:szCs w:val="24"/>
          <w:highlight w:val="none"/>
        </w:rPr>
        <w:t>除合同解除外，以下条</w:t>
      </w:r>
      <w:r>
        <w:rPr>
          <w:rFonts w:hint="eastAsia" w:ascii="宋体" w:hAnsi="宋体" w:eastAsia="宋体" w:cs="宋体"/>
          <w:color w:val="auto"/>
          <w:sz w:val="24"/>
          <w:szCs w:val="24"/>
          <w:highlight w:val="none"/>
        </w:rPr>
        <w:t>件全部满足时，本合同终止：</w:t>
      </w:r>
    </w:p>
    <w:p w14:paraId="1A7DC09A">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（1）咨询人完成本合同约定的全部工作；</w:t>
      </w:r>
    </w:p>
    <w:p w14:paraId="2877F79D">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w:t>
      </w: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与咨询人结清并支付酬金；</w:t>
      </w:r>
    </w:p>
    <w:p w14:paraId="66A78058">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（3）咨询人将委托人提供的资料交还。</w:t>
      </w:r>
    </w:p>
    <w:p w14:paraId="0AC89CB0">
      <w:pPr>
        <w:pageBreakBefore w:val="0"/>
        <w:kinsoku/>
        <w:overflowPunct/>
        <w:bidi w:val="0"/>
        <w:spacing w:beforeLines="0" w:afterLines="0" w:line="360" w:lineRule="auto"/>
        <w:ind w:left="0" w:leftChars="0" w:right="0"/>
        <w:outlineLvl w:val="0"/>
        <w:rPr>
          <w:rStyle w:val="227"/>
          <w:rFonts w:hint="eastAsia" w:ascii="宋体" w:hAnsi="宋体" w:eastAsia="宋体" w:cs="宋体"/>
          <w:bCs/>
          <w:color w:val="auto"/>
          <w:sz w:val="24"/>
          <w:szCs w:val="24"/>
          <w:highlight w:val="none"/>
        </w:rPr>
      </w:pPr>
      <w:bookmarkStart w:id="400" w:name="_Toc29707"/>
      <w:bookmarkStart w:id="401" w:name="_Toc22457"/>
      <w:bookmarkStart w:id="402" w:name="_Toc11601"/>
      <w:bookmarkStart w:id="403" w:name="_Toc21028"/>
      <w:bookmarkStart w:id="404" w:name="_Toc31790"/>
      <w:bookmarkStart w:id="405" w:name="_Toc419045091"/>
      <w:bookmarkStart w:id="406" w:name="_Toc5309"/>
      <w:bookmarkStart w:id="407" w:name="_Toc1283"/>
      <w:bookmarkStart w:id="408" w:name="_Toc422322511"/>
      <w:r>
        <w:rPr>
          <w:rStyle w:val="227"/>
          <w:rFonts w:hint="eastAsia" w:ascii="宋体" w:hAnsi="宋体" w:eastAsia="宋体" w:cs="宋体"/>
          <w:bCs/>
          <w:color w:val="auto"/>
          <w:sz w:val="24"/>
          <w:szCs w:val="24"/>
          <w:highlight w:val="none"/>
          <w:lang w:val="en-US" w:eastAsia="zh-CN"/>
        </w:rPr>
        <w:t>7</w:t>
      </w:r>
      <w:r>
        <w:rPr>
          <w:rStyle w:val="227"/>
          <w:rFonts w:hint="eastAsia" w:ascii="宋体" w:hAnsi="宋体" w:eastAsia="宋体" w:cs="宋体"/>
          <w:bCs/>
          <w:color w:val="auto"/>
          <w:sz w:val="24"/>
          <w:szCs w:val="24"/>
          <w:highlight w:val="none"/>
        </w:rPr>
        <w:t>.争议解决</w:t>
      </w:r>
      <w:bookmarkEnd w:id="400"/>
      <w:bookmarkEnd w:id="401"/>
      <w:bookmarkEnd w:id="402"/>
      <w:bookmarkEnd w:id="403"/>
      <w:bookmarkEnd w:id="404"/>
      <w:bookmarkEnd w:id="405"/>
      <w:bookmarkEnd w:id="406"/>
      <w:bookmarkEnd w:id="407"/>
      <w:bookmarkEnd w:id="408"/>
      <w:bookmarkStart w:id="409" w:name="19"/>
      <w:bookmarkEnd w:id="409"/>
    </w:p>
    <w:p w14:paraId="701DB979">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bookmarkStart w:id="410" w:name="_Toc419045092"/>
      <w:bookmarkStart w:id="411" w:name="_Toc422322512"/>
      <w:r>
        <w:rPr>
          <w:rFonts w:hint="eastAsia" w:ascii="宋体" w:hAnsi="宋体" w:eastAsia="宋体" w:cs="宋体"/>
          <w:color w:val="auto"/>
          <w:kern w:val="0"/>
          <w:sz w:val="24"/>
          <w:szCs w:val="24"/>
          <w:highlight w:val="none"/>
          <w:lang w:val="en-US" w:eastAsia="zh-CN" w:bidi="ar-SA"/>
        </w:rPr>
        <w:t>7.1协商</w:t>
      </w:r>
      <w:bookmarkEnd w:id="410"/>
      <w:bookmarkEnd w:id="411"/>
    </w:p>
    <w:p w14:paraId="62397855">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四方</w:t>
      </w:r>
      <w:r>
        <w:rPr>
          <w:rFonts w:hint="eastAsia" w:ascii="宋体" w:hAnsi="宋体" w:eastAsia="宋体" w:cs="宋体"/>
          <w:color w:val="auto"/>
          <w:kern w:val="0"/>
          <w:sz w:val="24"/>
          <w:szCs w:val="24"/>
          <w:highlight w:val="none"/>
          <w:lang w:val="en-US" w:eastAsia="zh-CN" w:bidi="ar-SA"/>
        </w:rPr>
        <w:t>应本着诚实信用的原则协商解决本合同履行过程中发生的争议。</w:t>
      </w:r>
    </w:p>
    <w:p w14:paraId="366EA906">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bookmarkStart w:id="412" w:name="_Toc422322513"/>
      <w:bookmarkStart w:id="413" w:name="_Toc419045093"/>
      <w:r>
        <w:rPr>
          <w:rFonts w:hint="eastAsia" w:ascii="宋体" w:hAnsi="宋体" w:eastAsia="宋体" w:cs="宋体"/>
          <w:color w:val="auto"/>
          <w:kern w:val="0"/>
          <w:sz w:val="24"/>
          <w:szCs w:val="24"/>
          <w:highlight w:val="none"/>
          <w:lang w:val="en-US" w:eastAsia="zh-CN" w:bidi="ar-SA"/>
        </w:rPr>
        <w:t>7.2</w:t>
      </w:r>
      <w:bookmarkStart w:id="414" w:name="37"/>
      <w:bookmarkEnd w:id="414"/>
      <w:r>
        <w:rPr>
          <w:rFonts w:hint="eastAsia" w:ascii="宋体" w:hAnsi="宋体" w:eastAsia="宋体" w:cs="宋体"/>
          <w:color w:val="auto"/>
          <w:kern w:val="0"/>
          <w:sz w:val="24"/>
          <w:szCs w:val="24"/>
          <w:highlight w:val="none"/>
          <w:lang w:val="en-US" w:eastAsia="zh-CN" w:bidi="ar-SA"/>
        </w:rPr>
        <w:t>调解</w:t>
      </w:r>
      <w:bookmarkEnd w:id="412"/>
      <w:bookmarkEnd w:id="413"/>
    </w:p>
    <w:p w14:paraId="14CBBAC9">
      <w:pPr>
        <w:pageBreakBefore w:val="0"/>
        <w:widowControl/>
        <w:kinsoku/>
        <w:overflowPunct/>
        <w:bidi w:val="0"/>
        <w:spacing w:beforeLines="0" w:afterLines="0" w:line="360" w:lineRule="auto"/>
        <w:ind w:left="0" w:leftChars="0" w:right="0" w:firstLine="480" w:firstLineChars="200"/>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如果</w:t>
      </w:r>
      <w:r>
        <w:rPr>
          <w:rFonts w:hint="eastAsia" w:ascii="宋体" w:hAnsi="宋体" w:cs="宋体"/>
          <w:color w:val="auto"/>
          <w:kern w:val="0"/>
          <w:sz w:val="24"/>
          <w:szCs w:val="24"/>
          <w:highlight w:val="none"/>
          <w:lang w:val="en-US" w:eastAsia="zh-CN" w:bidi="ar-SA"/>
        </w:rPr>
        <w:t>四方</w:t>
      </w:r>
      <w:r>
        <w:rPr>
          <w:rFonts w:hint="eastAsia" w:ascii="宋体" w:hAnsi="宋体" w:eastAsia="宋体" w:cs="宋体"/>
          <w:color w:val="auto"/>
          <w:kern w:val="0"/>
          <w:sz w:val="24"/>
          <w:szCs w:val="24"/>
          <w:highlight w:val="none"/>
          <w:lang w:val="en-US" w:eastAsia="zh-CN" w:bidi="ar-SA"/>
        </w:rPr>
        <w:t>不能在14日内或双方商定的其他时间内解决本合同争议，可以将其提交给专用条件约定的或事后达成协议的调解人进行调解。</w:t>
      </w:r>
    </w:p>
    <w:p w14:paraId="595CEDE4">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bookmarkStart w:id="415" w:name="38"/>
      <w:bookmarkStart w:id="416" w:name="_Toc422322514"/>
      <w:bookmarkStart w:id="417" w:name="_Toc419045094"/>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bookmarkEnd w:id="415"/>
      <w:r>
        <w:rPr>
          <w:rFonts w:hint="eastAsia" w:ascii="宋体" w:hAnsi="宋体" w:eastAsia="宋体" w:cs="宋体"/>
          <w:color w:val="auto"/>
          <w:sz w:val="24"/>
          <w:szCs w:val="24"/>
          <w:highlight w:val="none"/>
        </w:rPr>
        <w:t>3仲裁或诉讼</w:t>
      </w:r>
      <w:bookmarkEnd w:id="416"/>
      <w:bookmarkEnd w:id="417"/>
    </w:p>
    <w:p w14:paraId="543BF3E1">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均有权不经调解直接向专用条件约定的仲裁机构申请仲裁或向有管辖权的人民法院提起诉讼。</w:t>
      </w:r>
    </w:p>
    <w:p w14:paraId="337104A5">
      <w:pPr>
        <w:pageBreakBefore w:val="0"/>
        <w:kinsoku/>
        <w:overflowPunct/>
        <w:bidi w:val="0"/>
        <w:spacing w:beforeLines="0" w:afterLines="0" w:line="360" w:lineRule="auto"/>
        <w:ind w:left="0" w:leftChars="0" w:right="0"/>
        <w:outlineLvl w:val="0"/>
        <w:rPr>
          <w:rStyle w:val="227"/>
          <w:rFonts w:hint="eastAsia" w:ascii="宋体" w:hAnsi="宋体" w:eastAsia="宋体" w:cs="宋体"/>
          <w:color w:val="auto"/>
          <w:sz w:val="24"/>
          <w:szCs w:val="24"/>
          <w:highlight w:val="none"/>
        </w:rPr>
      </w:pPr>
      <w:bookmarkStart w:id="418" w:name="_Toc30795"/>
      <w:bookmarkStart w:id="419" w:name="_Toc419045095"/>
      <w:bookmarkStart w:id="420" w:name="_Toc19527"/>
      <w:bookmarkStart w:id="421" w:name="_Toc1233"/>
      <w:bookmarkStart w:id="422" w:name="_Toc12758"/>
      <w:bookmarkStart w:id="423" w:name="_Toc18217"/>
      <w:bookmarkStart w:id="424" w:name="_Toc5556"/>
      <w:bookmarkStart w:id="425" w:name="_Toc422322515"/>
      <w:bookmarkStart w:id="426" w:name="_Toc8456"/>
      <w:r>
        <w:rPr>
          <w:rStyle w:val="227"/>
          <w:rFonts w:hint="eastAsia" w:ascii="宋体" w:hAnsi="宋体" w:eastAsia="宋体" w:cs="宋体"/>
          <w:color w:val="auto"/>
          <w:sz w:val="24"/>
          <w:szCs w:val="24"/>
          <w:highlight w:val="none"/>
          <w:lang w:val="en-US" w:eastAsia="zh-CN"/>
        </w:rPr>
        <w:t>8</w:t>
      </w:r>
      <w:r>
        <w:rPr>
          <w:rStyle w:val="227"/>
          <w:rFonts w:hint="eastAsia" w:ascii="宋体" w:hAnsi="宋体" w:eastAsia="宋体" w:cs="宋体"/>
          <w:color w:val="auto"/>
          <w:sz w:val="24"/>
          <w:szCs w:val="24"/>
          <w:highlight w:val="none"/>
        </w:rPr>
        <w:t>.其他</w:t>
      </w:r>
      <w:bookmarkEnd w:id="418"/>
      <w:bookmarkEnd w:id="419"/>
      <w:bookmarkEnd w:id="420"/>
      <w:bookmarkEnd w:id="421"/>
      <w:bookmarkEnd w:id="422"/>
      <w:bookmarkEnd w:id="423"/>
      <w:bookmarkEnd w:id="424"/>
      <w:bookmarkEnd w:id="425"/>
      <w:bookmarkEnd w:id="426"/>
    </w:p>
    <w:p w14:paraId="0E634519">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427" w:name="_Toc27362"/>
      <w:bookmarkStart w:id="428" w:name="_Toc7150"/>
      <w:bookmarkStart w:id="429" w:name="_Toc489278542"/>
      <w:bookmarkStart w:id="430" w:name="_Toc419045096"/>
      <w:bookmarkStart w:id="431" w:name="_Toc490753376"/>
      <w:bookmarkStart w:id="432" w:name="_Toc422322516"/>
      <w:r>
        <w:rPr>
          <w:rFonts w:hint="eastAsia" w:ascii="宋体" w:hAnsi="宋体" w:eastAsia="宋体" w:cs="宋体"/>
          <w:b w:val="0"/>
          <w:smallCaps/>
          <w:color w:val="auto"/>
          <w:kern w:val="28"/>
          <w:sz w:val="24"/>
          <w:szCs w:val="24"/>
          <w:highlight w:val="none"/>
          <w:lang w:val="en-US" w:eastAsia="zh-CN" w:bidi="ar-SA"/>
        </w:rPr>
        <w:t>8.1</w:t>
      </w:r>
      <w:bookmarkStart w:id="433" w:name="39"/>
      <w:bookmarkEnd w:id="433"/>
      <w:r>
        <w:rPr>
          <w:rFonts w:hint="eastAsia" w:ascii="宋体" w:hAnsi="宋体" w:eastAsia="宋体" w:cs="宋体"/>
          <w:b w:val="0"/>
          <w:color w:val="auto"/>
          <w:kern w:val="28"/>
          <w:sz w:val="24"/>
          <w:szCs w:val="24"/>
          <w:highlight w:val="none"/>
          <w:lang w:val="en-US" w:eastAsia="zh-CN" w:bidi="ar-SA"/>
        </w:rPr>
        <w:t>考察及相关费用</w:t>
      </w:r>
      <w:bookmarkEnd w:id="427"/>
      <w:bookmarkEnd w:id="428"/>
      <w:bookmarkEnd w:id="429"/>
      <w:bookmarkEnd w:id="430"/>
      <w:bookmarkEnd w:id="431"/>
      <w:bookmarkEnd w:id="432"/>
      <w:r>
        <w:rPr>
          <w:rFonts w:hint="eastAsia" w:ascii="宋体" w:hAnsi="宋体" w:eastAsia="宋体" w:cs="宋体"/>
          <w:b w:val="0"/>
          <w:color w:val="auto"/>
          <w:kern w:val="28"/>
          <w:sz w:val="24"/>
          <w:szCs w:val="24"/>
          <w:highlight w:val="none"/>
          <w:lang w:val="en-US" w:eastAsia="zh-CN" w:bidi="ar-SA"/>
        </w:rPr>
        <w:t>（本项目不适用）</w:t>
      </w:r>
    </w:p>
    <w:p w14:paraId="0CA68EA7">
      <w:pPr>
        <w:pageBreakBefore w:val="0"/>
        <w:kinsoku/>
        <w:overflowPunct/>
        <w:bidi w:val="0"/>
        <w:spacing w:beforeLines="0" w:afterLines="0" w:line="360" w:lineRule="auto"/>
        <w:ind w:left="0" w:leftChars="0" w:right="0" w:firstLine="480" w:firstLineChars="200"/>
        <w:rPr>
          <w:rStyle w:val="228"/>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除专用条件另有约定外，咨询人经委托人</w:t>
      </w: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同意进行考察发生的费用由委托人</w:t>
      </w: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审核后另行支付。差旅费及相关费用的承担由</w:t>
      </w: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在专用条件中约定。</w:t>
      </w:r>
    </w:p>
    <w:p w14:paraId="2BB9E1F0">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color w:val="auto"/>
          <w:kern w:val="28"/>
          <w:sz w:val="24"/>
          <w:szCs w:val="24"/>
          <w:highlight w:val="none"/>
          <w:lang w:val="en-US" w:eastAsia="zh-CN" w:bidi="ar-SA"/>
        </w:rPr>
      </w:pPr>
      <w:bookmarkStart w:id="434" w:name="_Toc11260"/>
      <w:bookmarkStart w:id="435" w:name="_Toc489278543"/>
      <w:bookmarkStart w:id="436" w:name="_Toc13289"/>
      <w:bookmarkStart w:id="437" w:name="_Toc422322517"/>
      <w:bookmarkStart w:id="438" w:name="_Toc490753377"/>
      <w:r>
        <w:rPr>
          <w:rFonts w:hint="eastAsia" w:ascii="宋体" w:hAnsi="宋体" w:eastAsia="宋体" w:cs="宋体"/>
          <w:b w:val="0"/>
          <w:color w:val="auto"/>
          <w:kern w:val="28"/>
          <w:sz w:val="24"/>
          <w:szCs w:val="24"/>
          <w:highlight w:val="none"/>
          <w:lang w:val="en-US" w:eastAsia="zh-CN" w:bidi="ar-SA"/>
        </w:rPr>
        <w:t>8.2奖励</w:t>
      </w:r>
      <w:bookmarkEnd w:id="434"/>
      <w:bookmarkEnd w:id="435"/>
      <w:bookmarkEnd w:id="436"/>
      <w:bookmarkEnd w:id="437"/>
      <w:bookmarkEnd w:id="438"/>
      <w:r>
        <w:rPr>
          <w:rFonts w:hint="eastAsia" w:ascii="宋体" w:hAnsi="宋体" w:eastAsia="宋体" w:cs="宋体"/>
          <w:b w:val="0"/>
          <w:color w:val="auto"/>
          <w:kern w:val="28"/>
          <w:sz w:val="24"/>
          <w:szCs w:val="24"/>
          <w:highlight w:val="none"/>
          <w:lang w:val="en-US" w:eastAsia="zh-CN" w:bidi="ar-SA"/>
        </w:rPr>
        <w:t>（本项目不适用）</w:t>
      </w:r>
    </w:p>
    <w:p w14:paraId="1ED0A1E1">
      <w:pPr>
        <w:pageBreakBefore w:val="0"/>
        <w:kinsoku/>
        <w:overflowPunct/>
        <w:bidi w:val="0"/>
        <w:spacing w:beforeLines="0" w:afterLines="0" w:line="360" w:lineRule="auto"/>
        <w:ind w:left="0" w:leftChars="0" w:right="0" w:firstLine="480" w:firstLineChars="200"/>
        <w:rPr>
          <w:rStyle w:val="228"/>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对于咨询人在服务过程中提出合理化建议，使委托人</w:t>
      </w: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获得效益的，</w:t>
      </w: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在专用条件中约定奖励金额的确定方法。奖励金额在合理化建议被采纳后，与最近一期的正常工作酬金同期支付。</w:t>
      </w:r>
    </w:p>
    <w:p w14:paraId="03D02757">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color w:val="auto"/>
          <w:kern w:val="28"/>
          <w:sz w:val="24"/>
          <w:szCs w:val="24"/>
          <w:highlight w:val="none"/>
          <w:lang w:val="en-US" w:eastAsia="zh-CN" w:bidi="ar-SA"/>
        </w:rPr>
      </w:pPr>
      <w:bookmarkStart w:id="439" w:name="_Toc489278544"/>
      <w:bookmarkStart w:id="440" w:name="_Toc23902"/>
      <w:bookmarkStart w:id="441" w:name="_Toc422322518"/>
      <w:bookmarkStart w:id="442" w:name="_Toc12467"/>
      <w:bookmarkStart w:id="443" w:name="_Toc490753378"/>
      <w:r>
        <w:rPr>
          <w:rFonts w:hint="eastAsia" w:ascii="宋体" w:hAnsi="宋体" w:eastAsia="宋体" w:cs="宋体"/>
          <w:b w:val="0"/>
          <w:color w:val="auto"/>
          <w:kern w:val="28"/>
          <w:sz w:val="24"/>
          <w:szCs w:val="24"/>
          <w:highlight w:val="none"/>
          <w:lang w:val="en-US" w:eastAsia="zh-CN" w:bidi="ar-SA"/>
        </w:rPr>
        <w:t>8.3保密</w:t>
      </w:r>
      <w:bookmarkEnd w:id="439"/>
      <w:bookmarkEnd w:id="440"/>
      <w:bookmarkEnd w:id="441"/>
      <w:bookmarkEnd w:id="442"/>
      <w:bookmarkEnd w:id="443"/>
    </w:p>
    <w:p w14:paraId="63F88989">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在本合同履行期间或专用条件约定的期限内，</w:t>
      </w: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不得泄露对方申明的保密资料，亦不得泄露与实施工程有关的第三人所提供的保密资料。保密事项在专用条件中约定。</w:t>
      </w:r>
    </w:p>
    <w:p w14:paraId="63AEADCC">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444" w:name="_Toc419045097"/>
      <w:bookmarkStart w:id="445" w:name="_Toc24211"/>
      <w:bookmarkStart w:id="446" w:name="_Toc490753379"/>
      <w:bookmarkStart w:id="447" w:name="_Toc23127"/>
      <w:bookmarkStart w:id="448" w:name="_Toc489278545"/>
      <w:bookmarkStart w:id="449" w:name="_Toc422322519"/>
      <w:r>
        <w:rPr>
          <w:rFonts w:hint="eastAsia" w:ascii="宋体" w:hAnsi="宋体" w:eastAsia="宋体" w:cs="宋体"/>
          <w:b w:val="0"/>
          <w:color w:val="auto"/>
          <w:kern w:val="28"/>
          <w:sz w:val="24"/>
          <w:szCs w:val="24"/>
          <w:highlight w:val="none"/>
          <w:lang w:val="en-US" w:eastAsia="zh-CN" w:bidi="ar-SA"/>
        </w:rPr>
        <w:t>8.4</w:t>
      </w:r>
      <w:bookmarkEnd w:id="444"/>
      <w:r>
        <w:rPr>
          <w:rFonts w:hint="eastAsia" w:ascii="宋体" w:hAnsi="宋体" w:eastAsia="宋体" w:cs="宋体"/>
          <w:b w:val="0"/>
          <w:color w:val="auto"/>
          <w:kern w:val="28"/>
          <w:sz w:val="24"/>
          <w:szCs w:val="24"/>
          <w:highlight w:val="none"/>
          <w:lang w:val="en-US" w:eastAsia="zh-CN" w:bidi="ar-SA"/>
        </w:rPr>
        <w:t>联络</w:t>
      </w:r>
      <w:bookmarkEnd w:id="445"/>
      <w:bookmarkEnd w:id="446"/>
      <w:bookmarkEnd w:id="447"/>
      <w:bookmarkEnd w:id="448"/>
      <w:bookmarkEnd w:id="449"/>
    </w:p>
    <w:p w14:paraId="0338D2A0">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.4.1与合同有关的通知、指示、要求、决定等，均应采用书面形式，并应在专用条件约定的期限内送达接收人和送达地点。</w:t>
      </w:r>
    </w:p>
    <w:p w14:paraId="7400EDD6">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.4.2委托人和咨询人应在专用条件中约定各自的送达接收人、送达地点、电子邮箱。任何一方指定的接收人或送达地点或电子邮箱发生变动的，应提前3天以书面形式通知对方，否则视为未发生变动。</w:t>
      </w:r>
    </w:p>
    <w:p w14:paraId="642590DE">
      <w:pPr>
        <w:pageBreakBefore w:val="0"/>
        <w:tabs>
          <w:tab w:val="left" w:pos="5085"/>
        </w:tabs>
        <w:kinsoku/>
        <w:overflowPunct/>
        <w:bidi w:val="0"/>
        <w:spacing w:beforeLines="0" w:afterLines="0" w:line="360" w:lineRule="auto"/>
        <w:ind w:left="0" w:leftChars="0" w:right="0" w:firstLine="480" w:firstLineChars="200"/>
        <w:rPr>
          <w:rStyle w:val="228"/>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.4.3委托人和咨询人应当及时签收另一方送达至送达地点和指定接收人的往来函件，如确有充分证据证明一方无正当理由拒不签收的，视为认可往来函件的内容。</w:t>
      </w:r>
    </w:p>
    <w:p w14:paraId="2F7FB9C1">
      <w:pPr>
        <w:pageBreakBefore w:val="0"/>
        <w:widowControl w:val="0"/>
        <w:kinsoku/>
        <w:overflowPunct/>
        <w:bidi w:val="0"/>
        <w:spacing w:beforeLines="0" w:afterLines="0" w:line="360" w:lineRule="auto"/>
        <w:ind w:left="0" w:leftChars="0" w:right="0" w:firstLine="480" w:firstLineChars="200"/>
        <w:jc w:val="left"/>
        <w:outlineLvl w:val="1"/>
        <w:rPr>
          <w:rFonts w:hint="eastAsia" w:ascii="宋体" w:hAnsi="宋体" w:eastAsia="宋体" w:cs="宋体"/>
          <w:b/>
          <w:color w:val="auto"/>
          <w:kern w:val="28"/>
          <w:sz w:val="24"/>
          <w:szCs w:val="24"/>
          <w:highlight w:val="none"/>
          <w:lang w:val="en-US" w:eastAsia="zh-CN" w:bidi="ar-SA"/>
        </w:rPr>
      </w:pPr>
      <w:bookmarkStart w:id="450" w:name="_Toc165"/>
      <w:bookmarkStart w:id="451" w:name="_Toc489278546"/>
      <w:bookmarkStart w:id="452" w:name="_Toc422322520"/>
      <w:bookmarkStart w:id="453" w:name="_Toc490753380"/>
      <w:bookmarkStart w:id="454" w:name="_Toc29381"/>
      <w:r>
        <w:rPr>
          <w:rFonts w:hint="eastAsia" w:ascii="宋体" w:hAnsi="宋体" w:eastAsia="宋体" w:cs="宋体"/>
          <w:b w:val="0"/>
          <w:color w:val="auto"/>
          <w:kern w:val="28"/>
          <w:sz w:val="24"/>
          <w:szCs w:val="24"/>
          <w:highlight w:val="none"/>
          <w:lang w:val="en-US" w:eastAsia="zh-CN" w:bidi="ar-SA"/>
        </w:rPr>
        <w:t>8.5知识产权</w:t>
      </w:r>
      <w:bookmarkEnd w:id="450"/>
      <w:bookmarkEnd w:id="451"/>
      <w:bookmarkEnd w:id="452"/>
      <w:bookmarkEnd w:id="453"/>
      <w:bookmarkEnd w:id="454"/>
    </w:p>
    <w:p w14:paraId="77DF54C5">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除专用条件另有约定外，委托人</w:t>
      </w: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提供给咨询人的图纸、委托人</w:t>
      </w: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为实施工程自行编制或委托编制的技术规范以及反映委托人</w:t>
      </w: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要求的或其他类似性质文件的著作权属于委托人</w:t>
      </w: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，咨询人可以为实现本合同目的而复制或者以其他方式使用此类文件，但不能用于与本合同无关的其他事项。未经委托人</w:t>
      </w: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书面同意，咨询人不得为了本合同以外的目的而复制或者以其他方式使用上述文件或将之提供给任何第三方。</w:t>
      </w:r>
    </w:p>
    <w:p w14:paraId="442F6A9A">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除专用条件另有约定外，咨询人为履行本合同约定而编制的成果文件，其著作权属于咨询人。委托人</w:t>
      </w: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可以为实现合同目的而复制、使用此类文件，但不能擅自修改或用于与本合同无关的其他事项。未经咨询人书面同意，委托人</w:t>
      </w: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不得为了本合同以外的目的而复制或者以其他方式使用上述文件或将之提供给任何第三方。</w:t>
      </w:r>
    </w:p>
    <w:p w14:paraId="56E7D674">
      <w:pPr>
        <w:pageBreakBefore w:val="0"/>
        <w:kinsoku/>
        <w:overflowPunct/>
        <w:autoSpaceDE w:val="0"/>
        <w:autoSpaceDN w:val="0"/>
        <w:bidi w:val="0"/>
        <w:adjustRightIn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保证在履行本合同过程中不侵犯对方及第三方的知识产权。因咨询人侵犯他人知识产权所引起的责任，由咨询人承担；因委托人</w:t>
      </w: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提供的基础资料导致侵权的，由委托人</w:t>
      </w:r>
      <w:r>
        <w:rPr>
          <w:rFonts w:hint="eastAsia" w:ascii="宋体" w:hAnsi="宋体" w:eastAsia="宋体" w:cs="宋体"/>
          <w:color w:val="auto"/>
          <w:kern w:val="0"/>
          <w:sz w:val="24"/>
          <w:szCs w:val="24"/>
          <w:highlight w:val="none"/>
          <w:lang w:val="en-US" w:eastAsia="zh-CN" w:bidi="ar-SA"/>
        </w:rPr>
        <w:t>（出资人（建设单位））</w:t>
      </w:r>
      <w:r>
        <w:rPr>
          <w:rFonts w:hint="eastAsia" w:ascii="宋体" w:hAnsi="宋体" w:eastAsia="宋体" w:cs="宋体"/>
          <w:color w:val="auto"/>
          <w:sz w:val="24"/>
          <w:szCs w:val="24"/>
          <w:highlight w:val="none"/>
        </w:rPr>
        <w:t>承担责任。</w:t>
      </w:r>
    </w:p>
    <w:p w14:paraId="709C5418">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除专用条件另有约定外，</w:t>
      </w: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均有权在履行本合同保密义务并且不损害对方利益的</w:t>
      </w:r>
      <w:r>
        <w:rPr>
          <w:rFonts w:hint="eastAsia" w:ascii="宋体" w:hAnsi="宋体" w:eastAsia="宋体" w:cs="宋体"/>
          <w:color w:val="auto"/>
          <w:sz w:val="24"/>
          <w:highlight w:val="none"/>
        </w:rPr>
        <w:t>情况下，将履行本合同形成的有关成果文件用于企业宣传、申报奖项以及接受上级主管部门的检查。</w:t>
      </w:r>
    </w:p>
    <w:p w14:paraId="445E65F9">
      <w:pPr>
        <w:pageBreakBefore w:val="0"/>
        <w:kinsoku/>
        <w:overflowPunct/>
        <w:bidi w:val="0"/>
        <w:spacing w:beforeLines="0" w:afterLines="0" w:line="360" w:lineRule="auto"/>
        <w:ind w:left="0" w:leftChars="0" w:right="0"/>
        <w:rPr>
          <w:rFonts w:hint="eastAsia" w:ascii="宋体" w:hAnsi="宋体" w:eastAsia="宋体" w:cs="宋体"/>
          <w:color w:val="auto"/>
          <w:highlight w:val="none"/>
        </w:rPr>
      </w:pPr>
    </w:p>
    <w:p w14:paraId="67910557">
      <w:pPr>
        <w:keepNext/>
        <w:keepLines/>
        <w:pageBreakBefore w:val="0"/>
        <w:widowControl w:val="0"/>
        <w:kinsoku/>
        <w:overflowPunct/>
        <w:bidi w:val="0"/>
        <w:snapToGrid w:val="0"/>
        <w:spacing w:beforeLines="0" w:afterLines="0" w:line="360" w:lineRule="auto"/>
        <w:ind w:left="0" w:leftChars="0" w:right="0"/>
        <w:jc w:val="center"/>
        <w:outlineLvl w:val="0"/>
        <w:rPr>
          <w:rFonts w:hint="eastAsia" w:ascii="宋体" w:hAnsi="宋体" w:eastAsia="宋体" w:cs="宋体"/>
          <w:b/>
          <w:bCs/>
          <w:color w:val="auto"/>
          <w:kern w:val="44"/>
          <w:sz w:val="30"/>
          <w:szCs w:val="30"/>
          <w:highlight w:val="none"/>
          <w:lang w:val="en-US" w:eastAsia="zh-CN" w:bidi="ar-SA"/>
        </w:rPr>
      </w:pPr>
      <w:r>
        <w:rPr>
          <w:rFonts w:hint="eastAsia" w:ascii="宋体" w:hAnsi="宋体" w:eastAsia="宋体" w:cs="宋体"/>
          <w:b w:val="0"/>
          <w:bCs w:val="0"/>
          <w:color w:val="auto"/>
          <w:kern w:val="44"/>
          <w:sz w:val="30"/>
          <w:szCs w:val="30"/>
          <w:highlight w:val="none"/>
          <w:lang w:val="en-US" w:eastAsia="zh-CN" w:bidi="ar-SA"/>
        </w:rPr>
        <w:br w:type="page"/>
      </w:r>
      <w:bookmarkStart w:id="455" w:name="_Toc422322521"/>
      <w:bookmarkStart w:id="456" w:name="_Toc30573"/>
      <w:bookmarkStart w:id="457" w:name="_Toc20192"/>
      <w:bookmarkStart w:id="458" w:name="_Toc29532"/>
      <w:bookmarkStart w:id="459" w:name="_Toc2163"/>
      <w:bookmarkStart w:id="460" w:name="_Toc17030"/>
      <w:bookmarkStart w:id="461" w:name="_Toc419045098"/>
      <w:bookmarkStart w:id="462" w:name="_Toc489278547"/>
      <w:bookmarkStart w:id="463" w:name="_Toc490753381"/>
      <w:bookmarkStart w:id="464" w:name="_Toc13168"/>
      <w:bookmarkStart w:id="465" w:name="_Toc3594"/>
      <w:bookmarkStart w:id="466" w:name="_Toc1733"/>
      <w:r>
        <w:rPr>
          <w:rFonts w:hint="eastAsia" w:ascii="宋体" w:hAnsi="宋体" w:eastAsia="宋体" w:cs="宋体"/>
          <w:b/>
          <w:bCs/>
          <w:color w:val="auto"/>
          <w:kern w:val="44"/>
          <w:sz w:val="30"/>
          <w:szCs w:val="30"/>
          <w:highlight w:val="none"/>
          <w:lang w:val="en-US" w:eastAsia="zh-CN" w:bidi="ar-SA"/>
        </w:rPr>
        <w:t>第三部分　专用条件</w:t>
      </w:r>
      <w:bookmarkEnd w:id="455"/>
      <w:bookmarkEnd w:id="456"/>
      <w:bookmarkEnd w:id="457"/>
      <w:bookmarkEnd w:id="458"/>
      <w:bookmarkEnd w:id="459"/>
      <w:bookmarkEnd w:id="460"/>
      <w:bookmarkEnd w:id="461"/>
      <w:bookmarkEnd w:id="462"/>
      <w:bookmarkEnd w:id="463"/>
      <w:bookmarkEnd w:id="464"/>
      <w:bookmarkEnd w:id="465"/>
      <w:bookmarkEnd w:id="466"/>
    </w:p>
    <w:p w14:paraId="1820EA53">
      <w:pPr>
        <w:pageBreakBefore w:val="0"/>
        <w:widowControl w:val="0"/>
        <w:kinsoku/>
        <w:overflowPunct/>
        <w:bidi w:val="0"/>
        <w:adjustRightInd w:val="0"/>
        <w:snapToGrid w:val="0"/>
        <w:spacing w:beforeLines="0" w:afterLines="0" w:line="360" w:lineRule="auto"/>
        <w:ind w:left="0" w:leftChars="0" w:right="0"/>
        <w:jc w:val="left"/>
        <w:outlineLvl w:val="9"/>
        <w:rPr>
          <w:rFonts w:hint="eastAsia" w:ascii="宋体" w:hAnsi="宋体" w:eastAsia="宋体" w:cs="宋体"/>
          <w:b/>
          <w:color w:val="auto"/>
          <w:kern w:val="2"/>
          <w:sz w:val="24"/>
          <w:szCs w:val="24"/>
          <w:highlight w:val="none"/>
          <w:lang w:val="en-US" w:eastAsia="zh-CN" w:bidi="ar-SA"/>
        </w:rPr>
      </w:pPr>
      <w:bookmarkStart w:id="467" w:name="45"/>
      <w:bookmarkEnd w:id="467"/>
      <w:bookmarkStart w:id="468" w:name="_Toc422322522"/>
      <w:bookmarkStart w:id="469" w:name="_Toc489278548"/>
      <w:bookmarkStart w:id="470" w:name="_Toc490753382"/>
      <w:bookmarkStart w:id="471" w:name="_Toc419045099"/>
    </w:p>
    <w:p w14:paraId="481A15D1">
      <w:pPr>
        <w:pageBreakBefore w:val="0"/>
        <w:widowControl w:val="0"/>
        <w:kinsoku/>
        <w:overflowPunct/>
        <w:bidi w:val="0"/>
        <w:adjustRightInd w:val="0"/>
        <w:snapToGrid w:val="0"/>
        <w:spacing w:beforeLines="0" w:afterLines="0" w:line="360" w:lineRule="auto"/>
        <w:ind w:left="0" w:leftChars="0" w:right="0"/>
        <w:jc w:val="left"/>
        <w:outlineLvl w:val="1"/>
        <w:rPr>
          <w:rFonts w:hint="eastAsia" w:ascii="宋体" w:hAnsi="宋体" w:eastAsia="宋体" w:cs="宋体"/>
          <w:b/>
          <w:color w:val="auto"/>
          <w:kern w:val="2"/>
          <w:sz w:val="24"/>
          <w:szCs w:val="24"/>
          <w:highlight w:val="none"/>
          <w:lang w:val="en-US" w:eastAsia="zh-CN" w:bidi="ar-SA"/>
        </w:rPr>
      </w:pPr>
      <w:bookmarkStart w:id="472" w:name="_Toc11346"/>
      <w:bookmarkStart w:id="473" w:name="_Toc10749"/>
      <w:bookmarkStart w:id="474" w:name="_Toc7417"/>
      <w:bookmarkStart w:id="475" w:name="_Toc13855"/>
      <w:bookmarkStart w:id="476" w:name="_Toc12012"/>
      <w:r>
        <w:rPr>
          <w:rFonts w:hint="eastAsia" w:ascii="宋体" w:hAnsi="宋体" w:eastAsia="宋体" w:cs="宋体"/>
          <w:b/>
          <w:color w:val="auto"/>
          <w:kern w:val="2"/>
          <w:sz w:val="24"/>
          <w:szCs w:val="24"/>
          <w:highlight w:val="none"/>
          <w:lang w:val="en-US" w:eastAsia="zh-CN" w:bidi="ar-SA"/>
        </w:rPr>
        <w:t>1.词语定义、语言、解释顺序与适用法律</w:t>
      </w:r>
      <w:bookmarkEnd w:id="468"/>
      <w:bookmarkEnd w:id="469"/>
      <w:bookmarkEnd w:id="470"/>
      <w:bookmarkEnd w:id="471"/>
      <w:bookmarkEnd w:id="472"/>
      <w:bookmarkEnd w:id="473"/>
      <w:bookmarkEnd w:id="474"/>
      <w:bookmarkEnd w:id="475"/>
      <w:bookmarkEnd w:id="476"/>
    </w:p>
    <w:p w14:paraId="03EC2A00">
      <w:pPr>
        <w:pageBreakBefore w:val="0"/>
        <w:kinsoku/>
        <w:overflowPunct/>
        <w:bidi w:val="0"/>
        <w:snapToGrid w:val="0"/>
        <w:spacing w:beforeLines="0" w:afterLines="0" w:line="360" w:lineRule="auto"/>
        <w:ind w:left="0" w:leftChars="0" w:right="0" w:firstLine="468"/>
        <w:rPr>
          <w:rFonts w:hint="eastAsia" w:ascii="宋体" w:hAnsi="宋体" w:eastAsia="宋体" w:cs="宋体"/>
          <w:b/>
          <w:bCs/>
          <w:color w:val="auto"/>
          <w:sz w:val="24"/>
          <w:szCs w:val="24"/>
          <w:highlight w:val="none"/>
          <w:lang w:eastAsia="zh-CN"/>
        </w:rPr>
      </w:pPr>
      <w:bookmarkStart w:id="477" w:name="_Toc422322524"/>
      <w:bookmarkStart w:id="478" w:name="_Toc419045101"/>
      <w:r>
        <w:rPr>
          <w:rFonts w:hint="eastAsia" w:ascii="宋体" w:hAnsi="宋体" w:eastAsia="宋体" w:cs="宋体"/>
          <w:b/>
          <w:bCs/>
          <w:color w:val="auto"/>
          <w:sz w:val="24"/>
          <w:szCs w:val="24"/>
          <w:highlight w:val="none"/>
        </w:rPr>
        <w:t>1.2 语言</w:t>
      </w:r>
      <w:bookmarkEnd w:id="477"/>
      <w:bookmarkEnd w:id="478"/>
    </w:p>
    <w:p w14:paraId="7BB238CB">
      <w:pPr>
        <w:pageBreakBefore w:val="0"/>
        <w:kinsoku/>
        <w:overflowPunct/>
        <w:bidi w:val="0"/>
        <w:snapToGrid w:val="0"/>
        <w:spacing w:beforeLines="0" w:afterLines="0" w:line="360" w:lineRule="auto"/>
        <w:ind w:left="0" w:leftChars="0" w:right="0" w:firstLine="468"/>
        <w:rPr>
          <w:rStyle w:val="228"/>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本合同文件除使用中文外，还可用</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53E55E6">
      <w:pPr>
        <w:pageBreakBefore w:val="0"/>
        <w:widowControl w:val="0"/>
        <w:kinsoku/>
        <w:overflowPunct/>
        <w:bidi w:val="0"/>
        <w:snapToGrid w:val="0"/>
        <w:spacing w:beforeLines="0" w:afterLines="0" w:line="360" w:lineRule="auto"/>
        <w:ind w:left="0" w:leftChars="0" w:right="0" w:firstLine="482" w:firstLineChars="200"/>
        <w:jc w:val="left"/>
        <w:outlineLvl w:val="1"/>
        <w:rPr>
          <w:rFonts w:hint="eastAsia" w:ascii="宋体" w:hAnsi="宋体" w:eastAsia="宋体" w:cs="宋体"/>
          <w:b/>
          <w:bCs/>
          <w:color w:val="auto"/>
          <w:kern w:val="28"/>
          <w:sz w:val="24"/>
          <w:szCs w:val="24"/>
          <w:highlight w:val="none"/>
          <w:lang w:val="en-US" w:eastAsia="zh-CN" w:bidi="ar-SA"/>
        </w:rPr>
      </w:pPr>
      <w:bookmarkStart w:id="479" w:name="_Toc490753383"/>
      <w:bookmarkStart w:id="480" w:name="_Toc489278549"/>
      <w:bookmarkStart w:id="481" w:name="_Toc31151"/>
      <w:bookmarkStart w:id="482" w:name="_Toc21766"/>
      <w:bookmarkStart w:id="483" w:name="_Toc422322525"/>
      <w:r>
        <w:rPr>
          <w:rFonts w:hint="eastAsia" w:ascii="宋体" w:hAnsi="宋体" w:eastAsia="宋体" w:cs="宋体"/>
          <w:b/>
          <w:bCs/>
          <w:color w:val="auto"/>
          <w:kern w:val="28"/>
          <w:sz w:val="24"/>
          <w:szCs w:val="24"/>
          <w:highlight w:val="none"/>
          <w:lang w:val="en-US" w:eastAsia="zh-CN" w:bidi="ar-SA"/>
        </w:rPr>
        <w:t>1.3合同文件的优先顺序</w:t>
      </w:r>
      <w:bookmarkEnd w:id="479"/>
      <w:bookmarkEnd w:id="480"/>
      <w:bookmarkEnd w:id="481"/>
      <w:bookmarkEnd w:id="482"/>
      <w:bookmarkEnd w:id="483"/>
    </w:p>
    <w:p w14:paraId="0B0DA3D0">
      <w:pPr>
        <w:pageBreakBefore w:val="0"/>
        <w:kinsoku/>
        <w:overflowPunct/>
        <w:bidi w:val="0"/>
        <w:snapToGrid w:val="0"/>
        <w:spacing w:beforeLines="0" w:afterLines="0" w:line="360" w:lineRule="auto"/>
        <w:ind w:left="0" w:leftChars="0" w:right="0" w:firstLine="4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本合同文件的解释顺序为：</w:t>
      </w:r>
      <w:r>
        <w:rPr>
          <w:rFonts w:hint="eastAsia" w:ascii="宋体" w:hAnsi="宋体" w:eastAsia="宋体" w:cs="宋体"/>
          <w:color w:val="auto"/>
          <w:sz w:val="24"/>
          <w:szCs w:val="24"/>
          <w:highlight w:val="none"/>
          <w:u w:val="single"/>
        </w:rPr>
        <w:t xml:space="preserve"> 按通用条件 </w:t>
      </w:r>
      <w:r>
        <w:rPr>
          <w:rFonts w:hint="eastAsia" w:ascii="宋体" w:hAnsi="宋体" w:eastAsia="宋体" w:cs="宋体"/>
          <w:color w:val="auto"/>
          <w:sz w:val="24"/>
          <w:szCs w:val="24"/>
          <w:highlight w:val="none"/>
        </w:rPr>
        <w:t>。</w:t>
      </w:r>
    </w:p>
    <w:p w14:paraId="7C25F666">
      <w:pPr>
        <w:pageBreakBefore w:val="0"/>
        <w:kinsoku/>
        <w:overflowPunct/>
        <w:bidi w:val="0"/>
        <w:snapToGrid w:val="0"/>
        <w:spacing w:beforeLines="0" w:afterLines="0" w:line="360" w:lineRule="auto"/>
        <w:ind w:left="0" w:leftChars="0" w:right="0" w:firstLine="468"/>
        <w:rPr>
          <w:rFonts w:hint="eastAsia" w:ascii="宋体" w:hAnsi="宋体" w:eastAsia="宋体" w:cs="宋体"/>
          <w:b/>
          <w:bCs/>
          <w:color w:val="auto"/>
          <w:sz w:val="24"/>
          <w:szCs w:val="24"/>
          <w:highlight w:val="none"/>
        </w:rPr>
      </w:pPr>
      <w:bookmarkStart w:id="484" w:name="_Toc422322526"/>
      <w:bookmarkStart w:id="485" w:name="_Toc419045102"/>
      <w:r>
        <w:rPr>
          <w:rFonts w:hint="eastAsia" w:ascii="宋体" w:hAnsi="宋体" w:eastAsia="宋体" w:cs="宋体"/>
          <w:b/>
          <w:bCs/>
          <w:color w:val="auto"/>
          <w:sz w:val="24"/>
          <w:szCs w:val="24"/>
          <w:highlight w:val="none"/>
        </w:rPr>
        <w:t>1.4适用法律</w:t>
      </w:r>
      <w:bookmarkEnd w:id="484"/>
      <w:bookmarkEnd w:id="485"/>
    </w:p>
    <w:p w14:paraId="52846F12">
      <w:pPr>
        <w:pageBreakBefore w:val="0"/>
        <w:kinsoku/>
        <w:overflowPunct/>
        <w:bidi w:val="0"/>
        <w:snapToGrid w:val="0"/>
        <w:spacing w:beforeLines="0" w:afterLines="0" w:line="360" w:lineRule="auto"/>
        <w:ind w:left="0" w:leftChars="0" w:right="0" w:firstLine="360" w:firstLineChars="1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本合同适用的其他规范性文件包括:</w:t>
      </w:r>
      <w:r>
        <w:rPr>
          <w:rFonts w:hint="eastAsia" w:ascii="宋体" w:hAnsi="宋体" w:eastAsia="宋体" w:cs="宋体"/>
          <w:color w:val="auto"/>
          <w:sz w:val="24"/>
          <w:szCs w:val="24"/>
          <w:highlight w:val="none"/>
          <w:u w:val="single"/>
        </w:rPr>
        <w:t xml:space="preserve"> 按通用条件 </w:t>
      </w:r>
      <w:r>
        <w:rPr>
          <w:rFonts w:hint="eastAsia" w:ascii="宋体" w:hAnsi="宋体" w:eastAsia="宋体" w:cs="宋体"/>
          <w:color w:val="auto"/>
          <w:sz w:val="24"/>
          <w:szCs w:val="24"/>
          <w:highlight w:val="none"/>
        </w:rPr>
        <w:t>。</w:t>
      </w:r>
    </w:p>
    <w:p w14:paraId="408A486A">
      <w:pPr>
        <w:pageBreakBefore w:val="0"/>
        <w:kinsoku/>
        <w:overflowPunct/>
        <w:bidi w:val="0"/>
        <w:spacing w:beforeLines="0" w:afterLines="0" w:line="360" w:lineRule="auto"/>
        <w:ind w:left="0" w:leftChars="0" w:right="0"/>
        <w:outlineLvl w:val="1"/>
        <w:rPr>
          <w:rFonts w:hint="eastAsia" w:ascii="宋体" w:hAnsi="宋体" w:eastAsia="宋体" w:cs="宋体"/>
          <w:b/>
          <w:color w:val="auto"/>
          <w:sz w:val="24"/>
          <w:highlight w:val="none"/>
        </w:rPr>
      </w:pPr>
      <w:bookmarkStart w:id="486" w:name="_Toc8130"/>
      <w:bookmarkStart w:id="487" w:name="_Toc422322527"/>
      <w:bookmarkStart w:id="488" w:name="_Toc419045103"/>
      <w:r>
        <w:rPr>
          <w:rFonts w:hint="eastAsia" w:ascii="宋体" w:hAnsi="宋体" w:eastAsia="宋体" w:cs="宋体"/>
          <w:b/>
          <w:color w:val="auto"/>
          <w:sz w:val="24"/>
          <w:highlight w:val="none"/>
        </w:rPr>
        <w:t>2.委托人的义务</w:t>
      </w:r>
      <w:bookmarkEnd w:id="486"/>
      <w:bookmarkEnd w:id="487"/>
      <w:bookmarkEnd w:id="488"/>
    </w:p>
    <w:p w14:paraId="33F79683">
      <w:pPr>
        <w:pageBreakBefore w:val="0"/>
        <w:kinsoku/>
        <w:overflowPunct/>
        <w:bidi w:val="0"/>
        <w:snapToGrid w:val="0"/>
        <w:spacing w:beforeLines="0" w:afterLines="0" w:line="360" w:lineRule="auto"/>
        <w:ind w:left="0" w:leftChars="0" w:right="0" w:firstLine="468"/>
        <w:rPr>
          <w:rFonts w:hint="eastAsia" w:ascii="宋体" w:hAnsi="宋体" w:eastAsia="宋体" w:cs="宋体"/>
          <w:b/>
          <w:bCs/>
          <w:color w:val="auto"/>
          <w:sz w:val="24"/>
          <w:highlight w:val="none"/>
        </w:rPr>
      </w:pPr>
      <w:bookmarkStart w:id="489" w:name="_Toc422322528"/>
      <w:bookmarkStart w:id="490" w:name="_Toc419045104"/>
      <w:r>
        <w:rPr>
          <w:rFonts w:hint="eastAsia" w:ascii="宋体" w:hAnsi="宋体" w:eastAsia="宋体" w:cs="宋体"/>
          <w:b/>
          <w:bCs/>
          <w:color w:val="auto"/>
          <w:sz w:val="24"/>
          <w:highlight w:val="none"/>
        </w:rPr>
        <w:t>2.1提供资料</w:t>
      </w:r>
      <w:bookmarkEnd w:id="489"/>
      <w:bookmarkEnd w:id="490"/>
    </w:p>
    <w:p w14:paraId="0C5FE1FB">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委托人提供工程项目所需设计方案、图纸资料、相关资料以及由委托人提供设备清单。具体资料参照</w:t>
      </w:r>
      <w:r>
        <w:rPr>
          <w:rFonts w:hint="eastAsia" w:ascii="宋体" w:hAnsi="宋体" w:eastAsia="宋体" w:cs="宋体"/>
          <w:color w:val="auto"/>
          <w:sz w:val="24"/>
          <w:highlight w:val="none"/>
          <w:lang w:eastAsia="zh-CN"/>
        </w:rPr>
        <w:t>委托人投资评审</w:t>
      </w:r>
      <w:r>
        <w:rPr>
          <w:rFonts w:hint="eastAsia" w:ascii="宋体" w:hAnsi="宋体" w:eastAsia="宋体" w:cs="宋体"/>
          <w:color w:val="auto"/>
          <w:sz w:val="24"/>
          <w:highlight w:val="none"/>
        </w:rPr>
        <w:t>管理办法。</w:t>
      </w:r>
    </w:p>
    <w:p w14:paraId="17308C8B">
      <w:pPr>
        <w:pageBreakBefore w:val="0"/>
        <w:kinsoku/>
        <w:overflowPunct/>
        <w:bidi w:val="0"/>
        <w:snapToGrid w:val="0"/>
        <w:spacing w:beforeLines="0" w:afterLines="0" w:line="360" w:lineRule="auto"/>
        <w:ind w:left="0" w:leftChars="0" w:right="0" w:firstLine="482" w:firstLineChars="200"/>
        <w:rPr>
          <w:rFonts w:hint="eastAsia" w:ascii="宋体" w:hAnsi="宋体" w:eastAsia="宋体" w:cs="宋体"/>
          <w:b/>
          <w:bCs/>
          <w:color w:val="auto"/>
          <w:sz w:val="24"/>
          <w:highlight w:val="none"/>
          <w:lang w:eastAsia="zh-CN"/>
        </w:rPr>
      </w:pPr>
      <w:bookmarkStart w:id="491" w:name="_Toc419045106"/>
      <w:bookmarkStart w:id="492" w:name="_Toc422322530"/>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委托人代表</w:t>
      </w:r>
      <w:bookmarkEnd w:id="491"/>
      <w:bookmarkEnd w:id="492"/>
    </w:p>
    <w:p w14:paraId="5AECDE7B">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委托人代表为：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74F3C1F">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委托人对委托人代表的授权范围如下：</w:t>
      </w:r>
      <w:r>
        <w:rPr>
          <w:rFonts w:hint="eastAsia" w:ascii="宋体" w:hAnsi="宋体" w:eastAsia="宋体" w:cs="宋体"/>
          <w:color w:val="auto"/>
          <w:sz w:val="24"/>
          <w:highlight w:val="none"/>
          <w:lang w:eastAsia="zh-CN"/>
        </w:rPr>
        <w:t>无。</w:t>
      </w:r>
    </w:p>
    <w:p w14:paraId="7B35F066">
      <w:pPr>
        <w:pageBreakBefore w:val="0"/>
        <w:widowControl w:val="0"/>
        <w:kinsoku/>
        <w:overflowPunct/>
        <w:bidi w:val="0"/>
        <w:snapToGrid w:val="0"/>
        <w:spacing w:beforeLines="0" w:afterLines="0" w:line="360" w:lineRule="auto"/>
        <w:ind w:left="0" w:leftChars="0" w:right="0" w:firstLine="482" w:firstLineChars="200"/>
        <w:jc w:val="left"/>
        <w:outlineLvl w:val="1"/>
        <w:rPr>
          <w:rFonts w:hint="eastAsia" w:ascii="宋体" w:hAnsi="宋体" w:eastAsia="宋体" w:cs="宋体"/>
          <w:b/>
          <w:bCs/>
          <w:color w:val="auto"/>
          <w:kern w:val="28"/>
          <w:sz w:val="24"/>
          <w:szCs w:val="24"/>
          <w:highlight w:val="none"/>
          <w:lang w:val="en-US" w:eastAsia="zh-CN" w:bidi="ar-SA"/>
        </w:rPr>
      </w:pPr>
      <w:bookmarkStart w:id="493" w:name="_Toc490753384"/>
      <w:bookmarkStart w:id="494" w:name="_Toc489278550"/>
      <w:bookmarkStart w:id="495" w:name="_Toc17045"/>
      <w:bookmarkStart w:id="496" w:name="_Toc16163"/>
      <w:bookmarkStart w:id="497" w:name="_Toc422322531"/>
      <w:r>
        <w:rPr>
          <w:rFonts w:hint="eastAsia" w:ascii="宋体" w:hAnsi="宋体" w:eastAsia="宋体" w:cs="宋体"/>
          <w:b/>
          <w:bCs/>
          <w:color w:val="auto"/>
          <w:kern w:val="28"/>
          <w:sz w:val="24"/>
          <w:szCs w:val="24"/>
          <w:highlight w:val="none"/>
          <w:lang w:val="en-US" w:eastAsia="zh-CN" w:bidi="ar-SA"/>
        </w:rPr>
        <w:t>2.3答复</w:t>
      </w:r>
      <w:bookmarkEnd w:id="493"/>
      <w:bookmarkEnd w:id="494"/>
      <w:bookmarkEnd w:id="495"/>
      <w:bookmarkEnd w:id="496"/>
      <w:bookmarkEnd w:id="497"/>
    </w:p>
    <w:p w14:paraId="6E752526">
      <w:pPr>
        <w:pageBreakBefore w:val="0"/>
        <w:kinsoku/>
        <w:overflowPunct/>
        <w:bidi w:val="0"/>
        <w:snapToGrid w:val="0"/>
        <w:spacing w:beforeLines="0" w:afterLines="0" w:line="360" w:lineRule="auto"/>
        <w:ind w:left="0" w:leftChars="0" w:righ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委托人对咨询人书面提交并要求做出决定的事宜给予书面答复。</w:t>
      </w:r>
    </w:p>
    <w:p w14:paraId="3DDF2C2C">
      <w:pPr>
        <w:pageBreakBefore w:val="0"/>
        <w:widowControl w:val="0"/>
        <w:kinsoku/>
        <w:overflowPunct/>
        <w:bidi w:val="0"/>
        <w:adjustRightInd w:val="0"/>
        <w:snapToGrid w:val="0"/>
        <w:spacing w:beforeLines="0" w:afterLines="0" w:line="360" w:lineRule="auto"/>
        <w:ind w:left="0" w:leftChars="0" w:right="0"/>
        <w:jc w:val="left"/>
        <w:outlineLvl w:val="1"/>
        <w:rPr>
          <w:rFonts w:hint="eastAsia" w:ascii="宋体" w:hAnsi="宋体" w:eastAsia="宋体" w:cs="宋体"/>
          <w:b/>
          <w:color w:val="auto"/>
          <w:kern w:val="2"/>
          <w:sz w:val="24"/>
          <w:szCs w:val="24"/>
          <w:highlight w:val="none"/>
          <w:lang w:val="en-US" w:eastAsia="zh-CN" w:bidi="ar-SA"/>
        </w:rPr>
      </w:pPr>
      <w:bookmarkStart w:id="498" w:name="_Toc419045107"/>
      <w:bookmarkStart w:id="499" w:name="_Toc25419"/>
      <w:bookmarkStart w:id="500" w:name="_Toc27835"/>
      <w:bookmarkStart w:id="501" w:name="_Toc490753385"/>
      <w:bookmarkStart w:id="502" w:name="_Toc27769"/>
      <w:bookmarkStart w:id="503" w:name="_Toc422322532"/>
      <w:bookmarkStart w:id="504" w:name="_Toc13544"/>
      <w:bookmarkStart w:id="505" w:name="_Toc489278551"/>
      <w:bookmarkStart w:id="506" w:name="_Toc6506"/>
      <w:r>
        <w:rPr>
          <w:rFonts w:hint="eastAsia" w:ascii="宋体" w:hAnsi="宋体" w:eastAsia="宋体" w:cs="宋体"/>
          <w:b/>
          <w:color w:val="auto"/>
          <w:kern w:val="2"/>
          <w:sz w:val="24"/>
          <w:szCs w:val="24"/>
          <w:highlight w:val="none"/>
          <w:lang w:val="en-US" w:eastAsia="zh-CN" w:bidi="ar-SA"/>
        </w:rPr>
        <w:t>3.咨询人的义务</w:t>
      </w:r>
      <w:bookmarkEnd w:id="498"/>
      <w:bookmarkEnd w:id="499"/>
      <w:bookmarkEnd w:id="500"/>
      <w:bookmarkEnd w:id="501"/>
      <w:bookmarkEnd w:id="502"/>
      <w:bookmarkEnd w:id="503"/>
      <w:bookmarkEnd w:id="504"/>
      <w:bookmarkEnd w:id="505"/>
      <w:bookmarkEnd w:id="506"/>
    </w:p>
    <w:p w14:paraId="23DF0216">
      <w:pPr>
        <w:pageBreakBefore w:val="0"/>
        <w:widowControl w:val="0"/>
        <w:kinsoku/>
        <w:overflowPunct/>
        <w:bidi w:val="0"/>
        <w:snapToGrid w:val="0"/>
        <w:spacing w:beforeLines="0" w:afterLines="0" w:line="360" w:lineRule="auto"/>
        <w:ind w:left="0" w:leftChars="0" w:right="0" w:firstLine="482" w:firstLineChars="200"/>
        <w:jc w:val="left"/>
        <w:outlineLvl w:val="1"/>
        <w:rPr>
          <w:rFonts w:hint="eastAsia" w:ascii="宋体" w:hAnsi="宋体" w:eastAsia="宋体" w:cs="宋体"/>
          <w:b/>
          <w:bCs/>
          <w:color w:val="auto"/>
          <w:kern w:val="28"/>
          <w:sz w:val="24"/>
          <w:szCs w:val="24"/>
          <w:highlight w:val="none"/>
          <w:lang w:val="en-US" w:eastAsia="zh-CN" w:bidi="ar-SA"/>
        </w:rPr>
      </w:pPr>
      <w:bookmarkStart w:id="507" w:name="_Toc489278552"/>
      <w:bookmarkStart w:id="508" w:name="_Toc490753386"/>
      <w:bookmarkStart w:id="509" w:name="_Toc422322533"/>
      <w:bookmarkStart w:id="510" w:name="_Toc419045109"/>
      <w:bookmarkStart w:id="511" w:name="_Toc27258"/>
      <w:r>
        <w:rPr>
          <w:rFonts w:hint="eastAsia" w:ascii="宋体" w:hAnsi="宋体" w:eastAsia="宋体" w:cs="宋体"/>
          <w:b/>
          <w:bCs/>
          <w:color w:val="auto"/>
          <w:kern w:val="28"/>
          <w:sz w:val="24"/>
          <w:szCs w:val="24"/>
          <w:highlight w:val="none"/>
          <w:lang w:val="en-US" w:eastAsia="zh-CN" w:bidi="ar-SA"/>
        </w:rPr>
        <w:t>3.1项目咨询团队及人员</w:t>
      </w:r>
      <w:bookmarkEnd w:id="507"/>
      <w:bookmarkEnd w:id="508"/>
      <w:bookmarkEnd w:id="509"/>
      <w:bookmarkEnd w:id="510"/>
      <w:bookmarkEnd w:id="511"/>
    </w:p>
    <w:p w14:paraId="6FBDF19A">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3.1.1项目负责人为：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rPr>
        <w:t>，项目负责人为履行本合同的权限为：代表咨询人行使合同约定的权力，履行合同约定的职责。咨询人的要求、通知，均以书面形式由咨询人项目负责人签字后递交委托人。咨询人每周一定期提交盖章的台帐。</w:t>
      </w:r>
    </w:p>
    <w:p w14:paraId="74E182C1">
      <w:pPr>
        <w:pageBreakBefore w:val="0"/>
        <w:widowControl/>
        <w:kinsoku/>
        <w:overflowPunct/>
        <w:bidi w:val="0"/>
        <w:snapToGrid w:val="0"/>
        <w:spacing w:beforeLines="0" w:afterLines="0" w:line="360" w:lineRule="auto"/>
        <w:ind w:left="0" w:leftChars="0" w:right="0"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3.1.2咨询人更换项目咨询团队其他咨询人员的约定：经双方确定的建设工程造价咨询服务人员，未经委托人同意不得调整，否则委托人有权终止合同。若咨询人需更换服务人员必须得到委托人的书面同意，如委托人不同意则不能更换，如未经委托人同意更换服务人员则咨询人必须按以下金额支付违约金：更换项目负责人，委托人有权扣除咨询人1万元/人作为违约金；更换其他咨询服务人员，委托人有权扣除咨询人0.5万元/人作为违约金。</w:t>
      </w:r>
    </w:p>
    <w:p w14:paraId="67E5CCB1">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委托人要求更换咨询人员的情形还包括：委托人若发现咨询人服务人员存在职业道德、工作态度和能力等问题不能胜任本项目造价咨询服务工作要求的，委托人有权要求咨询人更换能胜任相关工作的服务人员，咨询人需无条件按要求做好相关的人员安排以保证相关工作的顺利推进，如因此未能完成本合同要求的相关工作或完成质量不理想而影响本工程进度、质量或成本的控制，则委托人有权扣除咨询人0.5％合同总价的款项作为违约金。</w:t>
      </w:r>
    </w:p>
    <w:p w14:paraId="35C43A21">
      <w:pPr>
        <w:pageBreakBefore w:val="0"/>
        <w:widowControl w:val="0"/>
        <w:kinsoku/>
        <w:overflowPunct/>
        <w:bidi w:val="0"/>
        <w:snapToGrid w:val="0"/>
        <w:spacing w:beforeLines="0" w:afterLines="0" w:line="360" w:lineRule="auto"/>
        <w:ind w:left="0" w:leftChars="0" w:right="0" w:firstLine="482" w:firstLineChars="200"/>
        <w:jc w:val="left"/>
        <w:outlineLvl w:val="1"/>
        <w:rPr>
          <w:rFonts w:hint="eastAsia" w:ascii="宋体" w:hAnsi="宋体" w:eastAsia="宋体" w:cs="宋体"/>
          <w:b/>
          <w:bCs/>
          <w:color w:val="auto"/>
          <w:kern w:val="28"/>
          <w:sz w:val="24"/>
          <w:szCs w:val="24"/>
          <w:highlight w:val="none"/>
          <w:lang w:val="en-US" w:eastAsia="zh-CN" w:bidi="ar-SA"/>
        </w:rPr>
      </w:pPr>
      <w:bookmarkStart w:id="512" w:name="_Toc489278553"/>
      <w:bookmarkStart w:id="513" w:name="_Toc419045110"/>
      <w:bookmarkStart w:id="514" w:name="_Toc422322534"/>
      <w:bookmarkStart w:id="515" w:name="_Toc26278"/>
      <w:bookmarkStart w:id="516" w:name="_Toc490753387"/>
      <w:bookmarkStart w:id="517" w:name="_Toc18022"/>
      <w:r>
        <w:rPr>
          <w:rFonts w:hint="eastAsia" w:ascii="宋体" w:hAnsi="宋体" w:eastAsia="宋体" w:cs="宋体"/>
          <w:b/>
          <w:bCs/>
          <w:color w:val="auto"/>
          <w:kern w:val="28"/>
          <w:sz w:val="24"/>
          <w:szCs w:val="24"/>
          <w:highlight w:val="none"/>
          <w:lang w:val="en-US" w:eastAsia="zh-CN" w:bidi="ar-SA"/>
        </w:rPr>
        <w:t>3.2咨询人的工作要求</w:t>
      </w:r>
      <w:bookmarkEnd w:id="512"/>
      <w:bookmarkEnd w:id="513"/>
      <w:bookmarkEnd w:id="514"/>
      <w:bookmarkEnd w:id="515"/>
      <w:bookmarkEnd w:id="516"/>
      <w:bookmarkEnd w:id="517"/>
    </w:p>
    <w:p w14:paraId="0B24D8AF">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（1）服务要求：</w:t>
      </w:r>
    </w:p>
    <w:p w14:paraId="0EE020AC">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①咨询人对形成的成果文件征询有关各方的意见后，经委托人审核确定后由咨询人按规定盖章的成果文件有效。</w:t>
      </w:r>
    </w:p>
    <w:p w14:paraId="6B7F66C0">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eastAsia="zh-CN"/>
        </w:rPr>
        <w:t>②</w:t>
      </w:r>
      <w:r>
        <w:rPr>
          <w:rFonts w:hint="eastAsia" w:ascii="宋体" w:hAnsi="宋体" w:eastAsia="宋体" w:cs="宋体"/>
          <w:color w:val="auto"/>
          <w:sz w:val="24"/>
          <w:highlight w:val="none"/>
        </w:rPr>
        <w:t>咨询成果交付与资料交接、整理归档，咨询服务回访与总结等实行信息化处理。</w:t>
      </w:r>
    </w:p>
    <w:p w14:paraId="28BCC416">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eastAsia="zh-CN"/>
        </w:rPr>
        <w:t>③</w:t>
      </w:r>
      <w:r>
        <w:rPr>
          <w:rFonts w:hint="eastAsia" w:ascii="宋体" w:hAnsi="宋体" w:eastAsia="宋体" w:cs="宋体"/>
          <w:color w:val="auto"/>
          <w:sz w:val="24"/>
          <w:highlight w:val="none"/>
        </w:rPr>
        <w:t>咨询人应对咨询服务专业人员的岗位职责、业务质量、投资造价控制的程序、方法、手段等进行有效管理。</w:t>
      </w:r>
    </w:p>
    <w:p w14:paraId="60771632">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eastAsia="zh-CN"/>
        </w:rPr>
        <w:t>④</w:t>
      </w:r>
      <w:r>
        <w:rPr>
          <w:rFonts w:hint="eastAsia" w:ascii="宋体" w:hAnsi="宋体" w:eastAsia="宋体" w:cs="宋体"/>
          <w:color w:val="auto"/>
          <w:sz w:val="24"/>
          <w:highlight w:val="none"/>
        </w:rPr>
        <w:t>咨询人应严格按照国家和省、市、区有关财政、财务、基建管理、工程造价的法规、政策文件的有关规定、以及委托人有关建设工程管理的规定对服务成果文件的要求，本着合理、合规、节约投资的原则，客观、公正地开展造价咨询工作，按时按质按量提供咨询服务，对工作成果的真实性、准确性、完整性、合法性、合理性负责，并负有保密责任。</w:t>
      </w:r>
    </w:p>
    <w:p w14:paraId="160A420B">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eastAsia="zh-CN"/>
        </w:rPr>
        <w:t>⑤</w:t>
      </w:r>
      <w:r>
        <w:rPr>
          <w:rFonts w:hint="eastAsia" w:ascii="宋体" w:hAnsi="宋体" w:eastAsia="宋体" w:cs="宋体"/>
          <w:color w:val="auto"/>
          <w:sz w:val="24"/>
          <w:highlight w:val="none"/>
        </w:rPr>
        <w:t>咨询人派出的参与造价咨询服务人员，应完整、准确、真实地反映并记录项目实施过程中的工作情况，做好各类资料、工作底稿整理、归集工作，并按规定格式和质量要求提供成果文件。</w:t>
      </w:r>
    </w:p>
    <w:p w14:paraId="0424D8B3">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⑥</w:t>
      </w:r>
      <w:r>
        <w:rPr>
          <w:rFonts w:hint="eastAsia" w:ascii="宋体" w:hAnsi="宋体" w:eastAsia="宋体" w:cs="宋体"/>
          <w:b w:val="0"/>
          <w:bCs w:val="0"/>
          <w:color w:val="auto"/>
          <w:sz w:val="24"/>
          <w:szCs w:val="24"/>
          <w:highlight w:val="none"/>
          <w:lang w:eastAsia="zh-CN"/>
        </w:rPr>
        <w:t>咨询人应按委托人的有关规章制度开展工作。</w:t>
      </w:r>
    </w:p>
    <w:p w14:paraId="42F546C7">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eastAsia="zh-CN"/>
        </w:rPr>
        <w:t>⑦咨询人在项目实施过程中，配合完成委托人提出的与本项目工程</w:t>
      </w:r>
      <w:r>
        <w:rPr>
          <w:rFonts w:hint="eastAsia" w:ascii="宋体" w:hAnsi="宋体" w:eastAsia="宋体" w:cs="宋体"/>
          <w:b w:val="0"/>
          <w:bCs w:val="0"/>
          <w:color w:val="auto"/>
          <w:sz w:val="24"/>
          <w:szCs w:val="24"/>
          <w:highlight w:val="none"/>
          <w:lang w:val="en-US" w:eastAsia="zh-CN"/>
        </w:rPr>
        <w:t>预算复审</w:t>
      </w:r>
      <w:r>
        <w:rPr>
          <w:rFonts w:hint="eastAsia" w:ascii="宋体" w:hAnsi="宋体" w:eastAsia="宋体" w:cs="宋体"/>
          <w:b w:val="0"/>
          <w:bCs w:val="0"/>
          <w:color w:val="auto"/>
          <w:sz w:val="24"/>
          <w:szCs w:val="24"/>
          <w:highlight w:val="none"/>
          <w:lang w:eastAsia="zh-CN"/>
        </w:rPr>
        <w:t>咨</w:t>
      </w:r>
      <w:r>
        <w:rPr>
          <w:rFonts w:hint="eastAsia" w:ascii="宋体" w:hAnsi="宋体" w:eastAsia="宋体" w:cs="宋体"/>
          <w:color w:val="auto"/>
          <w:kern w:val="2"/>
          <w:sz w:val="24"/>
          <w:szCs w:val="24"/>
          <w:highlight w:val="none"/>
        </w:rPr>
        <w:t>询</w:t>
      </w:r>
      <w:r>
        <w:rPr>
          <w:rFonts w:hint="eastAsia" w:ascii="宋体" w:hAnsi="宋体" w:eastAsia="宋体" w:cs="宋体"/>
          <w:color w:val="auto"/>
          <w:sz w:val="24"/>
          <w:highlight w:val="none"/>
        </w:rPr>
        <w:t>相关的其他工作。</w:t>
      </w:r>
    </w:p>
    <w:p w14:paraId="435D98DB">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⑧质量保证。根据国家和省、市有关工程造价的法规、政策、文件，以及基建财务管理的有关规定，本着为政府节约投资的原则，科学、客观、公正地开展评审工作，按委托人的要求，按时按质按量提供评审报告，并对评审结论的真实性、准确性、完整性和合法性负责。对审核和抽查发现有重大质量问题或较大幅度漏审的，以及因项目评审结论不实，引起诉讼和纠纷的，同意承担相关责任并接受委托人作出的通报批评、扣减咨询服务费用和解除委托合同等处罚。</w:t>
      </w:r>
    </w:p>
    <w:p w14:paraId="7042316C">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（2）响应性要求：</w:t>
      </w:r>
    </w:p>
    <w:p w14:paraId="047DFC29">
      <w:pPr>
        <w:pStyle w:val="2"/>
        <w:pageBreakBefore w:val="0"/>
        <w:kinsoku/>
        <w:overflowPunct/>
        <w:bidi w:val="0"/>
        <w:spacing w:beforeLines="0" w:afterLines="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①</w:t>
      </w:r>
      <w:r>
        <w:rPr>
          <w:rFonts w:hint="eastAsia" w:ascii="宋体" w:hAnsi="宋体" w:eastAsia="宋体" w:cs="宋体"/>
          <w:color w:val="auto"/>
          <w:sz w:val="24"/>
          <w:szCs w:val="24"/>
          <w:highlight w:val="none"/>
        </w:rPr>
        <w:t>咨询人在开展每单项咨询业务时，一般情况下应按以下时限要求完成每单项咨询业务，如遇特殊情况，咨询人应根据招标人提出的完成时间节点要求制定工作计划并满足预算复审的实际工作需要。</w:t>
      </w:r>
    </w:p>
    <w:tbl>
      <w:tblPr>
        <w:tblStyle w:val="63"/>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694"/>
        <w:gridCol w:w="2662"/>
        <w:gridCol w:w="3755"/>
      </w:tblGrid>
      <w:tr w14:paraId="35C2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50" w:type="dxa"/>
            <w:shd w:val="clear" w:color="auto" w:fill="F3F3F3"/>
            <w:vAlign w:val="center"/>
          </w:tcPr>
          <w:p w14:paraId="005EC920">
            <w:pPr>
              <w:keepNext w:val="0"/>
              <w:keepLines w:val="0"/>
              <w:pageBreakBefore w:val="0"/>
              <w:suppressLineNumbers w:val="0"/>
              <w:kinsoku/>
              <w:overflowPunct/>
              <w:bidi w:val="0"/>
              <w:spacing w:beforeLines="0" w:beforeAutospacing="0" w:afterLines="0" w:afterAutospacing="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94" w:type="dxa"/>
            <w:shd w:val="clear" w:color="auto" w:fill="F3F3F3"/>
            <w:vAlign w:val="center"/>
          </w:tcPr>
          <w:p w14:paraId="39511ED3">
            <w:pPr>
              <w:keepNext w:val="0"/>
              <w:keepLines w:val="0"/>
              <w:pageBreakBefore w:val="0"/>
              <w:suppressLineNumbers w:val="0"/>
              <w:kinsoku/>
              <w:overflowPunct/>
              <w:bidi w:val="0"/>
              <w:spacing w:beforeLines="0" w:beforeAutospacing="0" w:afterLines="0" w:afterAutospacing="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咨询业务类别</w:t>
            </w:r>
          </w:p>
        </w:tc>
        <w:tc>
          <w:tcPr>
            <w:tcW w:w="2662" w:type="dxa"/>
            <w:shd w:val="clear" w:color="auto" w:fill="F3F3F3"/>
            <w:vAlign w:val="center"/>
          </w:tcPr>
          <w:p w14:paraId="76745ADD">
            <w:pPr>
              <w:keepNext w:val="0"/>
              <w:keepLines w:val="0"/>
              <w:pageBreakBefore w:val="0"/>
              <w:suppressLineNumbers w:val="0"/>
              <w:kinsoku/>
              <w:overflowPunct/>
              <w:bidi w:val="0"/>
              <w:spacing w:beforeLines="0" w:beforeAutospacing="0" w:afterLines="0" w:afterAutospacing="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咨询业务规模</w:t>
            </w:r>
          </w:p>
        </w:tc>
        <w:tc>
          <w:tcPr>
            <w:tcW w:w="3755" w:type="dxa"/>
            <w:shd w:val="clear" w:color="auto" w:fill="F3F3F3"/>
            <w:vAlign w:val="center"/>
          </w:tcPr>
          <w:p w14:paraId="2EC5D212">
            <w:pPr>
              <w:keepNext w:val="0"/>
              <w:keepLines w:val="0"/>
              <w:pageBreakBefore w:val="0"/>
              <w:suppressLineNumbers w:val="0"/>
              <w:kinsoku/>
              <w:overflowPunct/>
              <w:bidi w:val="0"/>
              <w:spacing w:beforeLines="0" w:beforeAutospacing="0" w:afterLines="0" w:afterAutospacing="0" w:line="360" w:lineRule="auto"/>
              <w:ind w:left="0" w:leftChars="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完成时限</w:t>
            </w:r>
          </w:p>
        </w:tc>
      </w:tr>
      <w:tr w14:paraId="4888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50" w:type="dxa"/>
            <w:vMerge w:val="restart"/>
            <w:vAlign w:val="center"/>
          </w:tcPr>
          <w:p w14:paraId="3BC57DF8">
            <w:pPr>
              <w:keepNext w:val="0"/>
              <w:keepLines w:val="0"/>
              <w:pageBreakBefore w:val="0"/>
              <w:suppressLineNumbers w:val="0"/>
              <w:kinsoku/>
              <w:overflowPunct/>
              <w:bidi w:val="0"/>
              <w:spacing w:beforeLines="0" w:beforeAutospacing="0" w:afterLines="0" w:afterAutospacing="0" w:line="360" w:lineRule="auto"/>
              <w:ind w:left="0" w:leftChars="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94" w:type="dxa"/>
            <w:vMerge w:val="restart"/>
            <w:vAlign w:val="center"/>
          </w:tcPr>
          <w:p w14:paraId="227AF17C">
            <w:pPr>
              <w:keepNext w:val="0"/>
              <w:keepLines w:val="0"/>
              <w:pageBreakBefore w:val="0"/>
              <w:suppressLineNumbers w:val="0"/>
              <w:kinsoku/>
              <w:overflowPunct/>
              <w:bidi w:val="0"/>
              <w:spacing w:beforeLines="0" w:beforeAutospacing="0" w:afterLines="0" w:afterAutospacing="0" w:line="360" w:lineRule="auto"/>
              <w:ind w:left="0" w:leftChars="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预算</w:t>
            </w:r>
            <w:r>
              <w:rPr>
                <w:rFonts w:hint="eastAsia" w:ascii="宋体" w:hAnsi="宋体" w:eastAsia="宋体" w:cs="宋体"/>
                <w:color w:val="auto"/>
                <w:sz w:val="21"/>
                <w:szCs w:val="21"/>
                <w:highlight w:val="none"/>
                <w:lang w:eastAsia="zh-CN"/>
              </w:rPr>
              <w:t>审核</w:t>
            </w:r>
          </w:p>
        </w:tc>
        <w:tc>
          <w:tcPr>
            <w:tcW w:w="2662" w:type="dxa"/>
            <w:vAlign w:val="center"/>
          </w:tcPr>
          <w:p w14:paraId="68501118">
            <w:pPr>
              <w:keepNext w:val="0"/>
              <w:keepLines w:val="0"/>
              <w:pageBreakBefore w:val="0"/>
              <w:suppressLineNumbers w:val="0"/>
              <w:kinsoku/>
              <w:overflowPunct/>
              <w:bidi w:val="0"/>
              <w:spacing w:beforeLines="0" w:beforeAutospacing="0" w:afterLines="0" w:afterAutospacing="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500万元（不含）内的</w:t>
            </w:r>
          </w:p>
        </w:tc>
        <w:tc>
          <w:tcPr>
            <w:tcW w:w="3755" w:type="dxa"/>
            <w:vAlign w:val="center"/>
          </w:tcPr>
          <w:p w14:paraId="6CA21988">
            <w:pPr>
              <w:keepNext w:val="0"/>
              <w:keepLines w:val="0"/>
              <w:pageBreakBefore w:val="0"/>
              <w:suppressLineNumbers w:val="0"/>
              <w:kinsoku/>
              <w:overflowPunct/>
              <w:bidi w:val="0"/>
              <w:spacing w:beforeLines="0" w:beforeAutospacing="0" w:afterLines="0" w:afterAutospacing="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第一阶段完成时限为</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个工作日，第二阶段完成时限为2个工作日</w:t>
            </w:r>
          </w:p>
        </w:tc>
      </w:tr>
      <w:tr w14:paraId="1258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vMerge w:val="continue"/>
            <w:vAlign w:val="center"/>
          </w:tcPr>
          <w:p w14:paraId="315B1D7E">
            <w:pPr>
              <w:keepNext w:val="0"/>
              <w:keepLines w:val="0"/>
              <w:pageBreakBefore w:val="0"/>
              <w:suppressLineNumbers w:val="0"/>
              <w:kinsoku/>
              <w:overflowPunct/>
              <w:bidi w:val="0"/>
              <w:spacing w:beforeLines="0" w:beforeAutospacing="0" w:afterLines="0" w:afterAutospacing="0" w:line="360" w:lineRule="auto"/>
              <w:ind w:left="0" w:leftChars="0" w:right="0"/>
              <w:jc w:val="center"/>
              <w:rPr>
                <w:rFonts w:hint="eastAsia" w:ascii="宋体" w:hAnsi="宋体" w:eastAsia="宋体" w:cs="宋体"/>
                <w:color w:val="auto"/>
                <w:sz w:val="21"/>
                <w:szCs w:val="21"/>
                <w:highlight w:val="none"/>
                <w:lang w:val="en-US" w:eastAsia="zh-CN"/>
              </w:rPr>
            </w:pPr>
          </w:p>
        </w:tc>
        <w:tc>
          <w:tcPr>
            <w:tcW w:w="1694" w:type="dxa"/>
            <w:vMerge w:val="continue"/>
            <w:vAlign w:val="center"/>
          </w:tcPr>
          <w:p w14:paraId="0C364F92">
            <w:pPr>
              <w:keepNext w:val="0"/>
              <w:keepLines w:val="0"/>
              <w:pageBreakBefore w:val="0"/>
              <w:suppressLineNumbers w:val="0"/>
              <w:kinsoku/>
              <w:overflowPunct/>
              <w:bidi w:val="0"/>
              <w:spacing w:beforeLines="0" w:beforeAutospacing="0" w:afterLines="0" w:afterAutospacing="0" w:line="360" w:lineRule="auto"/>
              <w:ind w:left="0" w:leftChars="0" w:right="0"/>
              <w:rPr>
                <w:rFonts w:hint="eastAsia" w:ascii="宋体" w:hAnsi="宋体" w:eastAsia="宋体" w:cs="宋体"/>
                <w:color w:val="auto"/>
                <w:sz w:val="21"/>
                <w:szCs w:val="21"/>
                <w:highlight w:val="none"/>
                <w:lang w:eastAsia="zh-CN"/>
              </w:rPr>
            </w:pPr>
          </w:p>
        </w:tc>
        <w:tc>
          <w:tcPr>
            <w:tcW w:w="2662" w:type="dxa"/>
            <w:vAlign w:val="center"/>
          </w:tcPr>
          <w:p w14:paraId="26D58082">
            <w:pPr>
              <w:keepNext w:val="0"/>
              <w:keepLines w:val="0"/>
              <w:pageBreakBefore w:val="0"/>
              <w:suppressLineNumbers w:val="0"/>
              <w:kinsoku/>
              <w:overflowPunct/>
              <w:bidi w:val="0"/>
              <w:spacing w:beforeLines="0" w:beforeAutospacing="0" w:afterLines="0" w:afterAutospacing="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500万元（含）-5000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rPr>
              <w:t>的</w:t>
            </w:r>
          </w:p>
        </w:tc>
        <w:tc>
          <w:tcPr>
            <w:tcW w:w="3755" w:type="dxa"/>
            <w:vAlign w:val="center"/>
          </w:tcPr>
          <w:p w14:paraId="568A5A4D">
            <w:pPr>
              <w:keepNext w:val="0"/>
              <w:keepLines w:val="0"/>
              <w:pageBreakBefore w:val="0"/>
              <w:suppressLineNumbers w:val="0"/>
              <w:kinsoku/>
              <w:overflowPunct/>
              <w:bidi w:val="0"/>
              <w:spacing w:beforeLines="0" w:beforeAutospacing="0" w:afterLines="0" w:afterAutospacing="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第一阶段完成时限为</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个工作日，第二阶段完成时限为</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w:t>
            </w:r>
          </w:p>
        </w:tc>
      </w:tr>
      <w:tr w14:paraId="1011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vMerge w:val="continue"/>
            <w:vAlign w:val="center"/>
          </w:tcPr>
          <w:p w14:paraId="1C6D710F">
            <w:pPr>
              <w:keepNext w:val="0"/>
              <w:keepLines w:val="0"/>
              <w:pageBreakBefore w:val="0"/>
              <w:suppressLineNumbers w:val="0"/>
              <w:kinsoku/>
              <w:overflowPunct/>
              <w:bidi w:val="0"/>
              <w:spacing w:beforeLines="0" w:beforeAutospacing="0" w:afterLines="0" w:afterAutospacing="0" w:line="360" w:lineRule="auto"/>
              <w:ind w:left="0" w:leftChars="0" w:right="0"/>
              <w:jc w:val="center"/>
              <w:rPr>
                <w:rFonts w:hint="eastAsia" w:ascii="宋体" w:hAnsi="宋体" w:eastAsia="宋体" w:cs="宋体"/>
                <w:color w:val="auto"/>
                <w:sz w:val="21"/>
                <w:szCs w:val="21"/>
                <w:highlight w:val="none"/>
                <w:lang w:val="en-US" w:eastAsia="zh-CN"/>
              </w:rPr>
            </w:pPr>
          </w:p>
        </w:tc>
        <w:tc>
          <w:tcPr>
            <w:tcW w:w="1694" w:type="dxa"/>
            <w:vMerge w:val="continue"/>
            <w:vAlign w:val="center"/>
          </w:tcPr>
          <w:p w14:paraId="157877B7">
            <w:pPr>
              <w:keepNext w:val="0"/>
              <w:keepLines w:val="0"/>
              <w:pageBreakBefore w:val="0"/>
              <w:suppressLineNumbers w:val="0"/>
              <w:kinsoku/>
              <w:overflowPunct/>
              <w:bidi w:val="0"/>
              <w:spacing w:beforeLines="0" w:beforeAutospacing="0" w:afterLines="0" w:afterAutospacing="0" w:line="360" w:lineRule="auto"/>
              <w:ind w:left="0" w:leftChars="0" w:right="0"/>
              <w:rPr>
                <w:rFonts w:hint="eastAsia" w:ascii="宋体" w:hAnsi="宋体" w:eastAsia="宋体" w:cs="宋体"/>
                <w:color w:val="auto"/>
                <w:sz w:val="21"/>
                <w:szCs w:val="21"/>
                <w:highlight w:val="none"/>
                <w:lang w:eastAsia="zh-CN"/>
              </w:rPr>
            </w:pPr>
          </w:p>
        </w:tc>
        <w:tc>
          <w:tcPr>
            <w:tcW w:w="2662" w:type="dxa"/>
            <w:vAlign w:val="center"/>
          </w:tcPr>
          <w:p w14:paraId="0945338D">
            <w:pPr>
              <w:keepNext w:val="0"/>
              <w:keepLines w:val="0"/>
              <w:pageBreakBefore w:val="0"/>
              <w:suppressLineNumbers w:val="0"/>
              <w:kinsoku/>
              <w:overflowPunct/>
              <w:bidi w:val="0"/>
              <w:spacing w:beforeLines="0" w:beforeAutospacing="0" w:afterLines="0" w:afterAutospacing="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5000万元（含）-1亿</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p>
        </w:tc>
        <w:tc>
          <w:tcPr>
            <w:tcW w:w="3755" w:type="dxa"/>
            <w:vAlign w:val="center"/>
          </w:tcPr>
          <w:p w14:paraId="6D4A4E2B">
            <w:pPr>
              <w:keepNext w:val="0"/>
              <w:keepLines w:val="0"/>
              <w:pageBreakBefore w:val="0"/>
              <w:suppressLineNumbers w:val="0"/>
              <w:kinsoku/>
              <w:overflowPunct/>
              <w:bidi w:val="0"/>
              <w:spacing w:beforeLines="0" w:beforeAutospacing="0" w:afterLines="0" w:afterAutospacing="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第一阶段完成时限为</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个工作日，第二阶段完成时限为</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w:t>
            </w:r>
          </w:p>
        </w:tc>
      </w:tr>
      <w:tr w14:paraId="0837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vMerge w:val="continue"/>
            <w:vAlign w:val="center"/>
          </w:tcPr>
          <w:p w14:paraId="63ABA09B">
            <w:pPr>
              <w:keepNext w:val="0"/>
              <w:keepLines w:val="0"/>
              <w:pageBreakBefore w:val="0"/>
              <w:suppressLineNumbers w:val="0"/>
              <w:kinsoku/>
              <w:overflowPunct/>
              <w:bidi w:val="0"/>
              <w:spacing w:beforeLines="0" w:beforeAutospacing="0" w:afterLines="0" w:afterAutospacing="0" w:line="360" w:lineRule="auto"/>
              <w:ind w:left="0" w:leftChars="0" w:right="0"/>
              <w:jc w:val="center"/>
              <w:rPr>
                <w:rFonts w:hint="eastAsia" w:ascii="宋体" w:hAnsi="宋体" w:eastAsia="宋体" w:cs="宋体"/>
                <w:color w:val="auto"/>
                <w:sz w:val="21"/>
                <w:szCs w:val="21"/>
                <w:highlight w:val="none"/>
                <w:lang w:val="en-US" w:eastAsia="zh-CN"/>
              </w:rPr>
            </w:pPr>
          </w:p>
        </w:tc>
        <w:tc>
          <w:tcPr>
            <w:tcW w:w="1694" w:type="dxa"/>
            <w:vMerge w:val="continue"/>
            <w:vAlign w:val="center"/>
          </w:tcPr>
          <w:p w14:paraId="33694BB6">
            <w:pPr>
              <w:keepNext w:val="0"/>
              <w:keepLines w:val="0"/>
              <w:pageBreakBefore w:val="0"/>
              <w:suppressLineNumbers w:val="0"/>
              <w:kinsoku/>
              <w:overflowPunct/>
              <w:bidi w:val="0"/>
              <w:spacing w:beforeLines="0" w:beforeAutospacing="0" w:afterLines="0" w:afterAutospacing="0" w:line="360" w:lineRule="auto"/>
              <w:ind w:left="0" w:leftChars="0" w:right="0"/>
              <w:rPr>
                <w:rFonts w:hint="eastAsia" w:ascii="宋体" w:hAnsi="宋体" w:eastAsia="宋体" w:cs="宋体"/>
                <w:color w:val="auto"/>
                <w:sz w:val="21"/>
                <w:szCs w:val="21"/>
                <w:highlight w:val="none"/>
                <w:lang w:eastAsia="zh-CN"/>
              </w:rPr>
            </w:pPr>
          </w:p>
        </w:tc>
        <w:tc>
          <w:tcPr>
            <w:tcW w:w="2662" w:type="dxa"/>
            <w:vAlign w:val="center"/>
          </w:tcPr>
          <w:p w14:paraId="483E360C">
            <w:pPr>
              <w:keepNext w:val="0"/>
              <w:keepLines w:val="0"/>
              <w:pageBreakBefore w:val="0"/>
              <w:suppressLineNumbers w:val="0"/>
              <w:kinsoku/>
              <w:overflowPunct/>
              <w:bidi w:val="0"/>
              <w:spacing w:beforeLines="0" w:beforeAutospacing="0" w:afterLines="0" w:afterAutospacing="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1亿元（含）-3亿元（不含）的</w:t>
            </w:r>
          </w:p>
        </w:tc>
        <w:tc>
          <w:tcPr>
            <w:tcW w:w="3755" w:type="dxa"/>
            <w:vAlign w:val="center"/>
          </w:tcPr>
          <w:p w14:paraId="4DDCF795">
            <w:pPr>
              <w:keepNext w:val="0"/>
              <w:keepLines w:val="0"/>
              <w:pageBreakBefore w:val="0"/>
              <w:suppressLineNumbers w:val="0"/>
              <w:kinsoku/>
              <w:overflowPunct/>
              <w:bidi w:val="0"/>
              <w:spacing w:beforeLines="0" w:beforeAutospacing="0" w:afterLines="0" w:afterAutospacing="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第一阶段完成时限为</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个工作日，第二阶段完成时限为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个工作日</w:t>
            </w:r>
          </w:p>
        </w:tc>
      </w:tr>
      <w:tr w14:paraId="477B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vMerge w:val="continue"/>
            <w:vAlign w:val="center"/>
          </w:tcPr>
          <w:p w14:paraId="2CB74795">
            <w:pPr>
              <w:keepNext w:val="0"/>
              <w:keepLines w:val="0"/>
              <w:pageBreakBefore w:val="0"/>
              <w:suppressLineNumbers w:val="0"/>
              <w:kinsoku/>
              <w:overflowPunct/>
              <w:bidi w:val="0"/>
              <w:spacing w:beforeLines="0" w:beforeAutospacing="0" w:afterLines="0" w:afterAutospacing="0" w:line="360" w:lineRule="auto"/>
              <w:ind w:left="0" w:leftChars="0" w:right="0"/>
              <w:jc w:val="center"/>
              <w:rPr>
                <w:rFonts w:hint="eastAsia" w:ascii="宋体" w:hAnsi="宋体" w:eastAsia="宋体" w:cs="宋体"/>
                <w:color w:val="auto"/>
                <w:sz w:val="21"/>
                <w:szCs w:val="21"/>
                <w:highlight w:val="none"/>
                <w:lang w:val="en-US" w:eastAsia="zh-CN"/>
              </w:rPr>
            </w:pPr>
          </w:p>
        </w:tc>
        <w:tc>
          <w:tcPr>
            <w:tcW w:w="1694" w:type="dxa"/>
            <w:vMerge w:val="continue"/>
            <w:vAlign w:val="center"/>
          </w:tcPr>
          <w:p w14:paraId="44D666D3">
            <w:pPr>
              <w:keepNext w:val="0"/>
              <w:keepLines w:val="0"/>
              <w:pageBreakBefore w:val="0"/>
              <w:suppressLineNumbers w:val="0"/>
              <w:kinsoku/>
              <w:overflowPunct/>
              <w:bidi w:val="0"/>
              <w:spacing w:beforeLines="0" w:beforeAutospacing="0" w:afterLines="0" w:afterAutospacing="0" w:line="360" w:lineRule="auto"/>
              <w:ind w:left="0" w:leftChars="0" w:right="0"/>
              <w:rPr>
                <w:rFonts w:hint="eastAsia" w:ascii="宋体" w:hAnsi="宋体" w:eastAsia="宋体" w:cs="宋体"/>
                <w:color w:val="auto"/>
                <w:sz w:val="21"/>
                <w:szCs w:val="21"/>
                <w:highlight w:val="none"/>
              </w:rPr>
            </w:pPr>
          </w:p>
        </w:tc>
        <w:tc>
          <w:tcPr>
            <w:tcW w:w="2662" w:type="dxa"/>
            <w:vAlign w:val="center"/>
          </w:tcPr>
          <w:p w14:paraId="15C8D2CC">
            <w:pPr>
              <w:keepNext w:val="0"/>
              <w:keepLines w:val="0"/>
              <w:pageBreakBefore w:val="0"/>
              <w:suppressLineNumbers w:val="0"/>
              <w:kinsoku/>
              <w:overflowPunct/>
              <w:bidi w:val="0"/>
              <w:spacing w:beforeLines="0" w:beforeAutospacing="0" w:afterLines="0" w:afterAutospacing="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3亿元（含）以上的</w:t>
            </w:r>
          </w:p>
        </w:tc>
        <w:tc>
          <w:tcPr>
            <w:tcW w:w="3755" w:type="dxa"/>
            <w:vAlign w:val="center"/>
          </w:tcPr>
          <w:p w14:paraId="008D83F0">
            <w:pPr>
              <w:keepNext w:val="0"/>
              <w:keepLines w:val="0"/>
              <w:pageBreakBefore w:val="0"/>
              <w:suppressLineNumbers w:val="0"/>
              <w:kinsoku/>
              <w:overflowPunct/>
              <w:bidi w:val="0"/>
              <w:spacing w:beforeLines="0" w:beforeAutospacing="0" w:afterLines="0" w:afterAutospacing="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第一阶段完成时限为</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个工作日，第二阶段完成时限为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个工作日</w:t>
            </w:r>
          </w:p>
        </w:tc>
      </w:tr>
      <w:tr w14:paraId="325F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961" w:type="dxa"/>
            <w:gridSpan w:val="4"/>
            <w:vAlign w:val="center"/>
          </w:tcPr>
          <w:p w14:paraId="6F9AC88A">
            <w:pPr>
              <w:keepNext w:val="0"/>
              <w:keepLines w:val="0"/>
              <w:pageBreakBefore w:val="0"/>
              <w:suppressLineNumbers w:val="0"/>
              <w:kinsoku/>
              <w:overflowPunct/>
              <w:bidi w:val="0"/>
              <w:spacing w:beforeLines="0" w:beforeAutospacing="0" w:afterLines="0" w:afterAutospacing="0" w:line="360" w:lineRule="auto"/>
              <w:ind w:left="0" w:leftChars="0" w:right="0"/>
              <w:rPr>
                <w:rFonts w:hint="eastAsia" w:ascii="宋体" w:hAnsi="宋体" w:eastAsia="宋体" w:cs="宋体"/>
                <w:color w:val="auto"/>
                <w:sz w:val="21"/>
                <w:szCs w:val="21"/>
                <w:highlight w:val="none"/>
              </w:rPr>
            </w:pPr>
          </w:p>
        </w:tc>
      </w:tr>
      <w:tr w14:paraId="538E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61" w:type="dxa"/>
            <w:gridSpan w:val="4"/>
            <w:vAlign w:val="center"/>
          </w:tcPr>
          <w:p w14:paraId="57A93CE7">
            <w:pPr>
              <w:keepNext w:val="0"/>
              <w:keepLines w:val="0"/>
              <w:pageBreakBefore w:val="0"/>
              <w:suppressLineNumbers w:val="0"/>
              <w:kinsoku/>
              <w:overflowPunct/>
              <w:bidi w:val="0"/>
              <w:adjustRightInd/>
              <w:snapToGrid/>
              <w:spacing w:beforeLines="0" w:beforeAutospacing="0" w:afterLines="0" w:afterAutospacing="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01D382B">
            <w:pPr>
              <w:keepNext w:val="0"/>
              <w:keepLines w:val="0"/>
              <w:pageBreakBefore w:val="0"/>
              <w:suppressLineNumbers w:val="0"/>
              <w:kinsoku/>
              <w:overflowPunct/>
              <w:bidi w:val="0"/>
              <w:adjustRightInd/>
              <w:snapToGrid/>
              <w:spacing w:beforeLines="0" w:beforeAutospacing="0" w:afterLines="0" w:afterAutospacing="0" w:line="360" w:lineRule="auto"/>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上述每</w:t>
            </w:r>
            <w:r>
              <w:rPr>
                <w:rFonts w:hint="eastAsia" w:ascii="宋体" w:hAnsi="宋体" w:eastAsia="宋体" w:cs="宋体"/>
                <w:color w:val="auto"/>
                <w:sz w:val="21"/>
                <w:szCs w:val="21"/>
                <w:highlight w:val="none"/>
                <w:lang w:val="en-US" w:eastAsia="zh-CN"/>
              </w:rPr>
              <w:t>单项</w:t>
            </w:r>
            <w:r>
              <w:rPr>
                <w:rFonts w:hint="eastAsia" w:ascii="宋体" w:hAnsi="宋体" w:eastAsia="宋体" w:cs="宋体"/>
                <w:color w:val="auto"/>
                <w:sz w:val="21"/>
                <w:szCs w:val="21"/>
                <w:highlight w:val="none"/>
              </w:rPr>
              <w:t>咨询业务经</w:t>
            </w:r>
            <w:r>
              <w:rPr>
                <w:rFonts w:hint="eastAsia" w:ascii="宋体" w:hAnsi="宋体" w:eastAsia="宋体" w:cs="宋体"/>
                <w:color w:val="auto"/>
                <w:sz w:val="21"/>
                <w:szCs w:val="21"/>
                <w:highlight w:val="none"/>
                <w:lang w:val="en-US" w:eastAsia="zh-CN"/>
              </w:rPr>
              <w:t>咨询人</w:t>
            </w:r>
            <w:r>
              <w:rPr>
                <w:rFonts w:hint="eastAsia" w:ascii="宋体" w:hAnsi="宋体" w:eastAsia="宋体" w:cs="宋体"/>
                <w:color w:val="auto"/>
                <w:sz w:val="21"/>
                <w:szCs w:val="21"/>
                <w:highlight w:val="none"/>
              </w:rPr>
              <w:t>审核后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被</w:t>
            </w:r>
            <w:r>
              <w:rPr>
                <w:rFonts w:hint="eastAsia" w:ascii="宋体" w:hAnsi="宋体" w:eastAsia="宋体" w:cs="宋体"/>
                <w:color w:val="auto"/>
                <w:sz w:val="21"/>
                <w:szCs w:val="21"/>
                <w:highlight w:val="none"/>
              </w:rPr>
              <w:t>要求进行修正的，修正时间不得超过1-3个日历天，具体时间要求根据</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通知为准。</w:t>
            </w:r>
          </w:p>
          <w:p w14:paraId="681CCB15">
            <w:pPr>
              <w:keepNext w:val="0"/>
              <w:keepLines w:val="0"/>
              <w:pageBreakBefore w:val="0"/>
              <w:suppressLineNumbers w:val="0"/>
              <w:kinsoku/>
              <w:overflowPunct/>
              <w:bidi w:val="0"/>
              <w:adjustRightInd/>
              <w:snapToGrid/>
              <w:spacing w:beforeLines="0" w:beforeAutospacing="0" w:afterLines="0" w:afterAutospacing="0" w:line="360" w:lineRule="auto"/>
              <w:ind w:left="0" w:leftChars="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第一阶段完成时限是指咨询人接受招标人委托之日开始计算（以实际取得项目资料开始起算），至向招标人提交完整的评审初稿的时间；第二阶段完成时限是指招标人组织建设各方对数完成之日开始计算，至向招标人提交正式的评审报告的时间（剔除建设单位补充资料时间）。</w:t>
            </w:r>
          </w:p>
        </w:tc>
      </w:tr>
    </w:tbl>
    <w:p w14:paraId="6D0AEECE">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p>
    <w:p w14:paraId="49833BCE">
      <w:pPr>
        <w:pageBreakBefore w:val="0"/>
        <w:tabs>
          <w:tab w:val="left" w:pos="0"/>
        </w:tabs>
        <w:kinsoku/>
        <w:overflowPunct/>
        <w:bidi w:val="0"/>
        <w:snapToGrid w:val="0"/>
        <w:spacing w:beforeLines="0" w:afterLines="0" w:line="360" w:lineRule="auto"/>
        <w:ind w:left="0" w:leftChars="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②咨询人须提供常设全天候24小时热线服务和长期的免费技术支持。对委托人的服务通知（包括接件及领资料），咨询人须在接报后1小时内响应；按咨询人的工作时间计算2小时内到达现场（每天工作时间为：上午8：30—12：00，下午14：00—17：30，具体工作时间根据委托人的实际情况调整）。</w:t>
      </w:r>
    </w:p>
    <w:p w14:paraId="453D7AD3">
      <w:pPr>
        <w:pageBreakBefore w:val="0"/>
        <w:tabs>
          <w:tab w:val="left" w:pos="0"/>
        </w:tabs>
        <w:kinsoku/>
        <w:overflowPunct/>
        <w:bidi w:val="0"/>
        <w:snapToGrid w:val="0"/>
        <w:spacing w:beforeLines="0" w:afterLines="0" w:line="360" w:lineRule="auto"/>
        <w:ind w:left="0" w:leftChars="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③委托人通知对数或要求提供其他现场咨询服务，咨询人须在1个工作日内安排完成；咨询人在每次参加委托人组织的会审对数或现场咨询时，须于约定时间10分钟前到达指定地点并向委托人进行审核情况交底。</w:t>
      </w:r>
    </w:p>
    <w:p w14:paraId="0E5675A7">
      <w:pPr>
        <w:pageBreakBefore w:val="0"/>
        <w:tabs>
          <w:tab w:val="left" w:pos="0"/>
        </w:tabs>
        <w:kinsoku/>
        <w:overflowPunct/>
        <w:bidi w:val="0"/>
        <w:snapToGrid w:val="0"/>
        <w:spacing w:beforeLines="0" w:afterLines="0" w:line="360" w:lineRule="auto"/>
        <w:ind w:left="0" w:leftChars="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④对委托人的急件一旦接受委托，整个造价咨询过程的时间控制须严格按照委托人的要求进行。</w:t>
      </w:r>
    </w:p>
    <w:p w14:paraId="51F40833">
      <w:pPr>
        <w:pageBreakBefore w:val="0"/>
        <w:tabs>
          <w:tab w:val="left" w:pos="0"/>
        </w:tabs>
        <w:kinsoku/>
        <w:overflowPunct/>
        <w:bidi w:val="0"/>
        <w:snapToGrid w:val="0"/>
        <w:spacing w:beforeLines="0" w:afterLines="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⑤对委托人的其他预约服务应按其要求准时到达现场。</w:t>
      </w:r>
    </w:p>
    <w:p w14:paraId="47BCFBC4">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（3）成果文件份数</w:t>
      </w:r>
    </w:p>
    <w:p w14:paraId="4B551A15">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咨询人需提交纸质成果文件份数不少于10份，电子版</w:t>
      </w:r>
      <w:r>
        <w:rPr>
          <w:rFonts w:hint="eastAsia" w:ascii="宋体" w:hAnsi="宋体" w:eastAsia="宋体" w:cs="宋体"/>
          <w:color w:val="auto"/>
          <w:sz w:val="24"/>
          <w:highlight w:val="none"/>
          <w:u w:val="single"/>
          <w:lang w:eastAsia="zh-CN"/>
        </w:rPr>
        <w:t>包含但不限于</w:t>
      </w:r>
      <w:r>
        <w:rPr>
          <w:rFonts w:hint="eastAsia" w:ascii="宋体" w:hAnsi="宋体" w:eastAsia="宋体" w:cs="宋体"/>
          <w:color w:val="auto"/>
          <w:sz w:val="24"/>
          <w:highlight w:val="none"/>
          <w:u w:val="single"/>
        </w:rPr>
        <w:t>（软件版、EXCEL版、XML版本</w:t>
      </w:r>
      <w:r>
        <w:rPr>
          <w:rFonts w:hint="eastAsia" w:ascii="宋体" w:hAnsi="宋体" w:eastAsia="宋体" w:cs="宋体"/>
          <w:color w:val="auto"/>
          <w:sz w:val="24"/>
          <w:highlight w:val="none"/>
          <w:u w:val="single"/>
          <w:lang w:eastAsia="zh-CN"/>
        </w:rPr>
        <w:t>、计算稿、询价材料</w:t>
      </w:r>
      <w:r>
        <w:rPr>
          <w:rFonts w:hint="eastAsia" w:ascii="宋体" w:hAnsi="宋体" w:eastAsia="宋体" w:cs="宋体"/>
          <w:color w:val="auto"/>
          <w:sz w:val="24"/>
          <w:highlight w:val="none"/>
          <w:u w:val="single"/>
          <w:lang w:val="en-US" w:eastAsia="zh-CN"/>
        </w:rPr>
        <w:t>等</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不少于2份。</w:t>
      </w:r>
    </w:p>
    <w:p w14:paraId="5CE881F7">
      <w:pPr>
        <w:pageBreakBefore w:val="0"/>
        <w:widowControl w:val="0"/>
        <w:kinsoku/>
        <w:overflowPunct/>
        <w:bidi w:val="0"/>
        <w:snapToGrid w:val="0"/>
        <w:spacing w:beforeLines="0" w:afterLines="0" w:line="360" w:lineRule="auto"/>
        <w:ind w:left="0" w:leftChars="0" w:right="0" w:firstLine="482" w:firstLineChars="200"/>
        <w:jc w:val="left"/>
        <w:outlineLvl w:val="1"/>
        <w:rPr>
          <w:rFonts w:hint="eastAsia" w:ascii="宋体" w:hAnsi="宋体" w:eastAsia="宋体" w:cs="宋体"/>
          <w:b/>
          <w:bCs/>
          <w:color w:val="auto"/>
          <w:kern w:val="28"/>
          <w:sz w:val="24"/>
          <w:szCs w:val="24"/>
          <w:highlight w:val="none"/>
          <w:lang w:val="en-US" w:eastAsia="zh-CN" w:bidi="ar-SA"/>
        </w:rPr>
      </w:pPr>
      <w:bookmarkStart w:id="518" w:name="_Toc422322535"/>
      <w:bookmarkStart w:id="519" w:name="_Toc17237"/>
      <w:bookmarkStart w:id="520" w:name="_Toc14572"/>
      <w:bookmarkStart w:id="521" w:name="_Toc419045111"/>
      <w:bookmarkStart w:id="522" w:name="_Toc490753388"/>
      <w:bookmarkStart w:id="523" w:name="_Toc489278554"/>
      <w:r>
        <w:rPr>
          <w:rFonts w:hint="eastAsia" w:ascii="宋体" w:hAnsi="宋体" w:eastAsia="宋体" w:cs="宋体"/>
          <w:b/>
          <w:bCs/>
          <w:color w:val="auto"/>
          <w:kern w:val="28"/>
          <w:sz w:val="24"/>
          <w:szCs w:val="24"/>
          <w:highlight w:val="none"/>
          <w:lang w:val="en-US" w:eastAsia="zh-CN" w:bidi="ar-SA"/>
        </w:rPr>
        <w:t>3.3咨询人的工作依据</w:t>
      </w:r>
      <w:bookmarkEnd w:id="518"/>
      <w:bookmarkEnd w:id="519"/>
      <w:bookmarkEnd w:id="520"/>
      <w:bookmarkEnd w:id="521"/>
      <w:bookmarkEnd w:id="522"/>
      <w:bookmarkEnd w:id="523"/>
    </w:p>
    <w:p w14:paraId="7DFF91FD">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w:t>
      </w:r>
      <w:r>
        <w:rPr>
          <w:rFonts w:hint="eastAsia" w:ascii="宋体" w:hAnsi="宋体" w:cs="宋体"/>
          <w:color w:val="auto"/>
          <w:sz w:val="24"/>
          <w:highlight w:val="none"/>
          <w:lang w:eastAsia="zh-CN"/>
        </w:rPr>
        <w:t>四方</w:t>
      </w:r>
      <w:r>
        <w:rPr>
          <w:rFonts w:hint="eastAsia" w:ascii="宋体" w:hAnsi="宋体" w:eastAsia="宋体" w:cs="宋体"/>
          <w:color w:val="auto"/>
          <w:sz w:val="24"/>
          <w:highlight w:val="none"/>
        </w:rPr>
        <w:t>协商，本合同约定的造价咨询服务适用的技术标准、规范、定额等工作依据为：</w:t>
      </w:r>
      <w:r>
        <w:rPr>
          <w:rFonts w:hint="eastAsia" w:ascii="宋体" w:hAnsi="宋体" w:eastAsia="宋体" w:cs="宋体"/>
          <w:color w:val="auto"/>
          <w:sz w:val="24"/>
          <w:highlight w:val="none"/>
          <w:u w:val="single"/>
        </w:rPr>
        <w:t xml:space="preserve"> 符合国家、省、市及工程所在地的强制性标准、规范 </w:t>
      </w:r>
      <w:r>
        <w:rPr>
          <w:rFonts w:hint="eastAsia" w:ascii="宋体" w:hAnsi="宋体" w:eastAsia="宋体" w:cs="宋体"/>
          <w:color w:val="auto"/>
          <w:sz w:val="24"/>
          <w:highlight w:val="none"/>
        </w:rPr>
        <w:t>。</w:t>
      </w:r>
    </w:p>
    <w:p w14:paraId="2D54378A">
      <w:pPr>
        <w:pageBreakBefore w:val="0"/>
        <w:widowControl w:val="0"/>
        <w:kinsoku/>
        <w:overflowPunct/>
        <w:bidi w:val="0"/>
        <w:snapToGrid w:val="0"/>
        <w:spacing w:beforeLines="0" w:afterLines="0" w:line="360" w:lineRule="auto"/>
        <w:ind w:left="0" w:leftChars="0" w:right="0" w:firstLine="482" w:firstLineChars="200"/>
        <w:jc w:val="left"/>
        <w:outlineLvl w:val="1"/>
        <w:rPr>
          <w:rFonts w:hint="eastAsia" w:ascii="宋体" w:hAnsi="宋体" w:eastAsia="宋体" w:cs="宋体"/>
          <w:b/>
          <w:bCs/>
          <w:color w:val="auto"/>
          <w:kern w:val="28"/>
          <w:sz w:val="24"/>
          <w:szCs w:val="24"/>
          <w:highlight w:val="none"/>
          <w:lang w:val="en-US" w:eastAsia="zh-CN" w:bidi="ar-SA"/>
        </w:rPr>
      </w:pPr>
      <w:bookmarkStart w:id="524" w:name="_Toc489278555"/>
      <w:bookmarkStart w:id="525" w:name="_Toc490753389"/>
      <w:bookmarkStart w:id="526" w:name="_Toc32359"/>
      <w:bookmarkStart w:id="527" w:name="_Toc7135"/>
      <w:bookmarkStart w:id="528" w:name="_Toc422322536"/>
      <w:bookmarkStart w:id="529" w:name="_Toc419045112"/>
      <w:r>
        <w:rPr>
          <w:rFonts w:hint="eastAsia" w:ascii="宋体" w:hAnsi="宋体" w:eastAsia="宋体" w:cs="宋体"/>
          <w:b/>
          <w:bCs/>
          <w:color w:val="auto"/>
          <w:kern w:val="28"/>
          <w:sz w:val="24"/>
          <w:szCs w:val="24"/>
          <w:highlight w:val="none"/>
          <w:lang w:val="en-US" w:eastAsia="zh-CN" w:bidi="ar-SA"/>
        </w:rPr>
        <w:t>3.4使用委托人房屋及设备的返还</w:t>
      </w:r>
      <w:bookmarkEnd w:id="524"/>
      <w:bookmarkEnd w:id="525"/>
      <w:bookmarkEnd w:id="526"/>
      <w:bookmarkEnd w:id="527"/>
      <w:bookmarkEnd w:id="528"/>
      <w:bookmarkEnd w:id="529"/>
    </w:p>
    <w:p w14:paraId="113B4752">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咨询人应在本合同终止后</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日内移交委托人提供的房屋及设备，移交的方式为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91FEA5A">
      <w:pPr>
        <w:pageBreakBefore w:val="0"/>
        <w:widowControl w:val="0"/>
        <w:kinsoku/>
        <w:overflowPunct/>
        <w:bidi w:val="0"/>
        <w:adjustRightInd w:val="0"/>
        <w:snapToGrid w:val="0"/>
        <w:spacing w:beforeLines="0" w:afterLines="0" w:line="360" w:lineRule="auto"/>
        <w:ind w:left="0" w:leftChars="0" w:right="0" w:firstLine="482" w:firstLineChars="200"/>
        <w:jc w:val="left"/>
        <w:outlineLvl w:val="1"/>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4.出资人（建设单位）的权利与义务</w:t>
      </w:r>
    </w:p>
    <w:p w14:paraId="2E7D640F">
      <w:pPr>
        <w:pageBreakBefore w:val="0"/>
        <w:numPr>
          <w:ilvl w:val="0"/>
          <w:numId w:val="0"/>
        </w:numPr>
        <w:kinsoku/>
        <w:overflowPunct/>
        <w:bidi w:val="0"/>
        <w:snapToGrid w:val="0"/>
        <w:spacing w:beforeLines="0" w:afterLines="0" w:line="360" w:lineRule="auto"/>
        <w:ind w:left="0" w:leftChars="0" w:right="0"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4.1根据委托人投资评审要求，提交业务所需的相关资料，并承诺所提供资料的真实性。</w:t>
      </w:r>
    </w:p>
    <w:p w14:paraId="6064BF05">
      <w:pPr>
        <w:pageBreakBefore w:val="0"/>
        <w:widowControl w:val="0"/>
        <w:kinsoku/>
        <w:overflowPunct/>
        <w:bidi w:val="0"/>
        <w:adjustRightInd w:val="0"/>
        <w:snapToGrid w:val="0"/>
        <w:spacing w:beforeLines="0" w:afterLines="0" w:line="360" w:lineRule="auto"/>
        <w:ind w:left="0" w:leftChars="0" w:right="0" w:firstLine="480" w:firstLineChars="200"/>
        <w:jc w:val="left"/>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4.2收取代建单位审核的请款资料，并向咨询人支付造价咨询费用，发票付款人：佛山市南海大业佳诚投资有限公司。</w:t>
      </w:r>
      <w:bookmarkStart w:id="530" w:name="_Toc489278556"/>
      <w:bookmarkStart w:id="531" w:name="_Toc20265"/>
      <w:bookmarkStart w:id="532" w:name="_Toc25678"/>
      <w:bookmarkStart w:id="533" w:name="_Toc419045113"/>
      <w:bookmarkStart w:id="534" w:name="_Toc15853"/>
      <w:bookmarkStart w:id="535" w:name="_Toc1788"/>
      <w:bookmarkStart w:id="536" w:name="_Toc422322537"/>
      <w:bookmarkStart w:id="537" w:name="_Toc17674"/>
      <w:bookmarkStart w:id="538" w:name="_Toc490753390"/>
    </w:p>
    <w:p w14:paraId="449C3F9E">
      <w:pPr>
        <w:pageBreakBefore w:val="0"/>
        <w:widowControl w:val="0"/>
        <w:kinsoku/>
        <w:overflowPunct/>
        <w:bidi w:val="0"/>
        <w:adjustRightInd w:val="0"/>
        <w:snapToGrid w:val="0"/>
        <w:spacing w:beforeLines="0" w:afterLines="0" w:line="360" w:lineRule="auto"/>
        <w:ind w:left="0" w:leftChars="0" w:right="0" w:firstLine="482" w:firstLineChars="200"/>
        <w:jc w:val="left"/>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5.代建单位的权利与义务</w:t>
      </w:r>
    </w:p>
    <w:p w14:paraId="3C55F0C5">
      <w:pPr>
        <w:pageBreakBefore w:val="0"/>
        <w:widowControl w:val="0"/>
        <w:kinsoku/>
        <w:overflowPunct/>
        <w:bidi w:val="0"/>
        <w:adjustRightInd w:val="0"/>
        <w:snapToGrid w:val="0"/>
        <w:spacing w:beforeLines="0" w:afterLines="0" w:line="360" w:lineRule="auto"/>
        <w:ind w:left="0" w:leftChars="0" w:right="0" w:firstLine="480" w:firstLineChars="200"/>
        <w:jc w:val="left"/>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5.1收取咨询人开具合法有效的增值税专用发票及请款资料。</w:t>
      </w:r>
    </w:p>
    <w:p w14:paraId="7D47437F">
      <w:pPr>
        <w:pageBreakBefore w:val="0"/>
        <w:widowControl w:val="0"/>
        <w:kinsoku/>
        <w:overflowPunct/>
        <w:bidi w:val="0"/>
        <w:adjustRightInd w:val="0"/>
        <w:snapToGrid w:val="0"/>
        <w:spacing w:beforeLines="0" w:afterLines="0" w:line="360" w:lineRule="auto"/>
        <w:ind w:left="0" w:leftChars="0" w:right="0" w:firstLine="480" w:firstLineChars="200"/>
        <w:jc w:val="left"/>
        <w:outlineLvl w:val="1"/>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5.2审核咨询人提交的请款资料并提交给出资人（建设单位）。</w:t>
      </w:r>
    </w:p>
    <w:p w14:paraId="0E0030C3">
      <w:pPr>
        <w:pageBreakBefore w:val="0"/>
        <w:widowControl w:val="0"/>
        <w:kinsoku/>
        <w:overflowPunct/>
        <w:bidi w:val="0"/>
        <w:adjustRightInd w:val="0"/>
        <w:snapToGrid w:val="0"/>
        <w:spacing w:beforeLines="0" w:afterLines="0" w:line="360" w:lineRule="auto"/>
        <w:ind w:left="0" w:leftChars="0" w:right="0" w:firstLine="482" w:firstLineChars="200"/>
        <w:jc w:val="left"/>
        <w:outlineLvl w:val="1"/>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6</w:t>
      </w:r>
      <w:r>
        <w:rPr>
          <w:rFonts w:hint="eastAsia" w:ascii="宋体" w:hAnsi="宋体" w:eastAsia="宋体" w:cs="宋体"/>
          <w:b/>
          <w:color w:val="auto"/>
          <w:kern w:val="2"/>
          <w:sz w:val="24"/>
          <w:szCs w:val="24"/>
          <w:highlight w:val="none"/>
          <w:lang w:val="en-US" w:eastAsia="zh-CN" w:bidi="ar-SA"/>
        </w:rPr>
        <w:t>.考核及违约处罚</w:t>
      </w:r>
      <w:bookmarkEnd w:id="530"/>
      <w:bookmarkEnd w:id="531"/>
      <w:bookmarkEnd w:id="532"/>
      <w:bookmarkEnd w:id="533"/>
      <w:bookmarkEnd w:id="534"/>
      <w:bookmarkEnd w:id="535"/>
      <w:bookmarkEnd w:id="536"/>
      <w:bookmarkEnd w:id="537"/>
      <w:bookmarkEnd w:id="538"/>
    </w:p>
    <w:p w14:paraId="5434640D">
      <w:pPr>
        <w:keepNext w:val="0"/>
        <w:keepLines w:val="0"/>
        <w:pageBreakBefore w:val="0"/>
        <w:widowControl w:val="0"/>
        <w:kinsoku/>
        <w:wordWrap/>
        <w:overflowPunct/>
        <w:topLinePunct w:val="0"/>
        <w:autoSpaceDE/>
        <w:autoSpaceDN/>
        <w:bidi w:val="0"/>
        <w:adjustRightInd/>
        <w:spacing w:beforeLines="0" w:afterLines="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bookmarkStart w:id="539" w:name="_Toc422322540"/>
      <w:bookmarkStart w:id="540" w:name="_Toc419045115"/>
      <w:r>
        <w:rPr>
          <w:rFonts w:hint="eastAsia" w:ascii="宋体" w:hAnsi="宋体" w:eastAsia="宋体" w:cs="宋体"/>
          <w:color w:val="auto"/>
          <w:sz w:val="24"/>
          <w:szCs w:val="24"/>
          <w:highlight w:val="none"/>
        </w:rPr>
        <w:t>咨询人应按委托人要求开展造价咨询业务，并接受委托人的考核，对违反相关约定的，委托人有权对咨询人进行处罚。</w:t>
      </w:r>
    </w:p>
    <w:p w14:paraId="0874569E">
      <w:pPr>
        <w:keepNext w:val="0"/>
        <w:keepLines w:val="0"/>
        <w:pageBreakBefore w:val="0"/>
        <w:widowControl w:val="0"/>
        <w:kinsoku/>
        <w:wordWrap/>
        <w:overflowPunct/>
        <w:topLinePunct w:val="0"/>
        <w:autoSpaceDE/>
        <w:autoSpaceDN/>
        <w:bidi w:val="0"/>
        <w:adjustRightInd/>
        <w:spacing w:beforeLines="0" w:afterLines="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考核</w:t>
      </w:r>
    </w:p>
    <w:p w14:paraId="278008C3">
      <w:pPr>
        <w:keepNext w:val="0"/>
        <w:keepLines w:val="0"/>
        <w:pageBreakBefore w:val="0"/>
        <w:widowControl w:val="0"/>
        <w:shd w:val="clear" w:color="auto" w:fill="auto"/>
        <w:kinsoku/>
        <w:wordWrap/>
        <w:overflowPunct/>
        <w:topLinePunct w:val="0"/>
        <w:autoSpaceDE/>
        <w:autoSpaceDN/>
        <w:bidi w:val="0"/>
        <w:adjustRightInd/>
        <w:spacing w:beforeLines="0" w:afterLines="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为提高</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项目开展量化评分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量化评分的结果将作为</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lang w:val="en-US" w:eastAsia="zh-CN"/>
        </w:rPr>
        <w:t>造价</w:t>
      </w:r>
      <w:r>
        <w:rPr>
          <w:rFonts w:hint="eastAsia" w:ascii="宋体" w:hAnsi="宋体" w:eastAsia="宋体" w:cs="宋体"/>
          <w:color w:val="auto"/>
          <w:sz w:val="24"/>
          <w:szCs w:val="24"/>
          <w:highlight w:val="none"/>
          <w:lang w:eastAsia="zh-CN"/>
        </w:rPr>
        <w:t>咨询服务</w:t>
      </w:r>
      <w:r>
        <w:rPr>
          <w:rFonts w:hint="eastAsia" w:ascii="宋体" w:hAnsi="宋体" w:eastAsia="宋体" w:cs="宋体"/>
          <w:color w:val="auto"/>
          <w:sz w:val="24"/>
          <w:szCs w:val="24"/>
          <w:highlight w:val="none"/>
        </w:rPr>
        <w:t>费的主要考核依据。</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量化评分及考核奖惩办法可适时调整而无需事前征得</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同意。若无法接受调整后的考核奖惩办法的，可向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提出终止服务</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的请求，</w:t>
      </w: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可终止服务合同。</w:t>
      </w:r>
    </w:p>
    <w:p w14:paraId="12679ACA">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1.单个项目偏差考核</w:t>
      </w:r>
    </w:p>
    <w:p w14:paraId="755DC4D8">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为实施对审核结果准确性的监督，甲方有权委托有关部门、双审复审人或由甲方对审核结果进行复审，综合偏差率按如下公式计算：</w:t>
      </w:r>
    </w:p>
    <w:p w14:paraId="62B0F916">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综合偏差率i=｜复审定案金额-初步审定金额｜/复审定案金额（注：初步审定金额为初审、复审中介未对数前的初稿金额）</w:t>
      </w:r>
    </w:p>
    <w:p w14:paraId="576BCB19">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（1）综合偏差率i超过以下情况的，甲方对乙方作出如下的处理：</w:t>
      </w:r>
    </w:p>
    <w:p w14:paraId="283AF4A2">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综合偏差率i超过以下情况的，甲方、丙方对乙方确认后的复审结果作出如下的处理：</w:t>
      </w:r>
    </w:p>
    <w:p w14:paraId="07644322">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审核综合偏差率4%（含）-6%（不含）的，扣减</w:t>
      </w:r>
      <w:r>
        <w:rPr>
          <w:rFonts w:hint="eastAsia" w:ascii="宋体" w:hAnsi="宋体" w:eastAsia="宋体" w:cs="宋体"/>
          <w:b w:val="0"/>
          <w:bCs w:val="0"/>
          <w:color w:val="auto"/>
          <w:sz w:val="24"/>
          <w:szCs w:val="24"/>
          <w:highlight w:val="none"/>
          <w:lang w:val="en-US" w:eastAsia="zh-CN"/>
        </w:rPr>
        <w:t>造价咨询服务</w:t>
      </w:r>
      <w:r>
        <w:rPr>
          <w:rFonts w:hint="eastAsia" w:ascii="宋体" w:hAnsi="宋体" w:eastAsia="宋体" w:cs="宋体"/>
          <w:color w:val="auto"/>
          <w:sz w:val="24"/>
          <w:szCs w:val="24"/>
          <w:highlight w:val="none"/>
          <w:lang w:val="en-US" w:eastAsia="zh-CN"/>
        </w:rPr>
        <w:t>费的20%；</w:t>
      </w:r>
    </w:p>
    <w:p w14:paraId="3992E306">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综合偏差率6%（含）-8%（不含）的，扣减</w:t>
      </w:r>
      <w:r>
        <w:rPr>
          <w:rFonts w:hint="eastAsia" w:ascii="宋体" w:hAnsi="宋体" w:eastAsia="宋体" w:cs="宋体"/>
          <w:b w:val="0"/>
          <w:bCs w:val="0"/>
          <w:color w:val="auto"/>
          <w:sz w:val="24"/>
          <w:szCs w:val="24"/>
          <w:highlight w:val="none"/>
          <w:lang w:val="en-US" w:eastAsia="zh-CN"/>
        </w:rPr>
        <w:t>造价咨询服务</w:t>
      </w:r>
      <w:r>
        <w:rPr>
          <w:rFonts w:hint="eastAsia" w:ascii="宋体" w:hAnsi="宋体" w:eastAsia="宋体" w:cs="宋体"/>
          <w:color w:val="auto"/>
          <w:sz w:val="24"/>
          <w:szCs w:val="24"/>
          <w:highlight w:val="none"/>
          <w:lang w:val="en-US" w:eastAsia="zh-CN"/>
        </w:rPr>
        <w:t>费的30%；</w:t>
      </w:r>
    </w:p>
    <w:p w14:paraId="578E5C85">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综合偏差率8%（含）-10%（不含），扣减</w:t>
      </w:r>
      <w:r>
        <w:rPr>
          <w:rFonts w:hint="eastAsia" w:ascii="宋体" w:hAnsi="宋体" w:eastAsia="宋体" w:cs="宋体"/>
          <w:b w:val="0"/>
          <w:bCs w:val="0"/>
          <w:color w:val="auto"/>
          <w:sz w:val="24"/>
          <w:szCs w:val="24"/>
          <w:highlight w:val="none"/>
          <w:lang w:val="en-US" w:eastAsia="zh-CN"/>
        </w:rPr>
        <w:t>造价咨询服务</w:t>
      </w:r>
      <w:r>
        <w:rPr>
          <w:rFonts w:hint="eastAsia" w:ascii="宋体" w:hAnsi="宋体" w:eastAsia="宋体" w:cs="宋体"/>
          <w:color w:val="auto"/>
          <w:sz w:val="24"/>
          <w:szCs w:val="24"/>
          <w:highlight w:val="none"/>
          <w:lang w:val="en-US" w:eastAsia="zh-CN"/>
        </w:rPr>
        <w:t>费的40%；</w:t>
      </w:r>
    </w:p>
    <w:p w14:paraId="040CAB4B">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综合偏差率10%（含）-20%（不含）的，扣减</w:t>
      </w:r>
      <w:r>
        <w:rPr>
          <w:rFonts w:hint="eastAsia" w:ascii="宋体" w:hAnsi="宋体" w:eastAsia="宋体" w:cs="宋体"/>
          <w:b w:val="0"/>
          <w:bCs w:val="0"/>
          <w:color w:val="auto"/>
          <w:sz w:val="24"/>
          <w:szCs w:val="24"/>
          <w:highlight w:val="none"/>
          <w:lang w:val="en-US" w:eastAsia="zh-CN"/>
        </w:rPr>
        <w:t>造价咨询服务</w:t>
      </w:r>
      <w:r>
        <w:rPr>
          <w:rFonts w:hint="eastAsia" w:ascii="宋体" w:hAnsi="宋体" w:eastAsia="宋体" w:cs="宋体"/>
          <w:color w:val="auto"/>
          <w:sz w:val="24"/>
          <w:szCs w:val="24"/>
          <w:highlight w:val="none"/>
          <w:lang w:val="en-US" w:eastAsia="zh-CN"/>
        </w:rPr>
        <w:t>费的50%；</w:t>
      </w:r>
    </w:p>
    <w:p w14:paraId="2DEE1553">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综合偏差率20%（含）-30%（不含）的，扣减</w:t>
      </w:r>
      <w:r>
        <w:rPr>
          <w:rFonts w:hint="eastAsia" w:ascii="宋体" w:hAnsi="宋体" w:eastAsia="宋体" w:cs="宋体"/>
          <w:b w:val="0"/>
          <w:bCs w:val="0"/>
          <w:color w:val="auto"/>
          <w:sz w:val="24"/>
          <w:szCs w:val="24"/>
          <w:highlight w:val="none"/>
          <w:lang w:val="en-US" w:eastAsia="zh-CN"/>
        </w:rPr>
        <w:t>造价咨询服务</w:t>
      </w:r>
      <w:r>
        <w:rPr>
          <w:rFonts w:hint="eastAsia" w:ascii="宋体" w:hAnsi="宋体" w:eastAsia="宋体" w:cs="宋体"/>
          <w:color w:val="auto"/>
          <w:sz w:val="24"/>
          <w:szCs w:val="24"/>
          <w:highlight w:val="none"/>
          <w:lang w:val="en-US" w:eastAsia="zh-CN"/>
        </w:rPr>
        <w:t>费的60%；</w:t>
      </w:r>
    </w:p>
    <w:p w14:paraId="30EBD33E">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综合偏差率≥30%的扣减造价咨询服务费的100%。</w:t>
      </w:r>
    </w:p>
    <w:p w14:paraId="24DD26F3">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（2）对已拨付造价咨询服务费但事后抽查或审计的项目，发现提供的审核结果不实需扣减相应造价咨询服务费的，退回造价咨询服务费，保留追溯的权利。</w:t>
      </w:r>
    </w:p>
    <w:p w14:paraId="3C6CDB9C">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2.单个项目评分考核除偏差考核外，还需对单个项目进行量化评分，具体评分项如下：</w:t>
      </w:r>
    </w:p>
    <w:p w14:paraId="1F549ABE">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A、服务态度：</w:t>
      </w:r>
    </w:p>
    <w:p w14:paraId="7996120E">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(1)通知收件后，第二个工作日未主动联系项目负责人的，扣2分。</w:t>
      </w:r>
    </w:p>
    <w:p w14:paraId="612054C9">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(2)未配合甲方记录归档工作的，扣2分。</w:t>
      </w:r>
    </w:p>
    <w:p w14:paraId="31170128">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(3)未将完整归档电子版资料发甲方，扣2分。</w:t>
      </w:r>
    </w:p>
    <w:p w14:paraId="326A12DE">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(4)对评审流程不熟悉，需提醒纠正的，扣2分。</w:t>
      </w:r>
    </w:p>
    <w:p w14:paraId="3C27951F">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(5)现场勘查不认真的，扣2分。</w:t>
      </w:r>
    </w:p>
    <w:p w14:paraId="572F1E76">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B、成果质量：</w:t>
      </w:r>
    </w:p>
    <w:p w14:paraId="204033D3">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(1)未按要求对应该勘查现场的项目进行勘查，扣2分。</w:t>
      </w:r>
    </w:p>
    <w:p w14:paraId="562B4CFF">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(2)无对应专业造价师参与勘查，扣2分。</w:t>
      </w:r>
    </w:p>
    <w:p w14:paraId="2E820624">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(3)无对应专业造价师参与对数，扣4分。</w:t>
      </w:r>
    </w:p>
    <w:p w14:paraId="087569E8">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(4)审核报告未按三级负责制要求签名盖章、人章不符的或无对应专业造价师盖章，扣4分。</w:t>
      </w:r>
    </w:p>
    <w:p w14:paraId="3D50D9E9">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(5)审核人员派件表上的人员与实际审核人员不是同一人的，扣4分。</w:t>
      </w:r>
    </w:p>
    <w:p w14:paraId="67FDB7A6">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(6)总工、具体审核人员无签名、执业章报备，变更人员报备，社保不满足6个月的，扣2分。</w:t>
      </w:r>
    </w:p>
    <w:p w14:paraId="2D7C7E12">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(7)无总工，或者不履行总工职责的，以及对数发现问题后，不积极主动去解决而长期拖延的，扣2分。</w:t>
      </w:r>
    </w:p>
    <w:p w14:paraId="58935EF6">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(8)对比最终定稿与中介单位送审初稿，因算术和汇总错误的，扣2分。</w:t>
      </w:r>
    </w:p>
    <w:p w14:paraId="62927A4A">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对比最终定稿与中介单位送审初稿，因计价依据使用错误的或漏项、重复计算，扣2分。</w:t>
      </w:r>
    </w:p>
    <w:p w14:paraId="0605AE79">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(9)未提交复核人、审定人意见的，扣2分。</w:t>
      </w:r>
    </w:p>
    <w:p w14:paraId="10DCEA70">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(10)提交复核人、审定人意见无实质性内容，应付检查的，扣2分。</w:t>
      </w:r>
    </w:p>
    <w:p w14:paraId="12BCAC1F">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(11)报告说明出现严重表述错误的，扣2分。</w:t>
      </w:r>
    </w:p>
    <w:p w14:paraId="3FBD2768">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(12)计算稿未标明图纸编号、或数据来源，以及数据链接不清晰，无法理解的，扣4分。</w:t>
      </w:r>
    </w:p>
    <w:p w14:paraId="321326AC">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C、时效控制：</w:t>
      </w:r>
    </w:p>
    <w:p w14:paraId="5DD266BD">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(1)收件后二个工作日未按要求填报《进度计划表》和《人员情况表》，每超时一工作日扣2分，扣分上限6分。</w:t>
      </w:r>
    </w:p>
    <w:p w14:paraId="595085A3">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(2)未按协议书或任务单上要求时间完成审核初稿，每超时一工作日扣2分，扣分上限6分。</w:t>
      </w:r>
    </w:p>
    <w:p w14:paraId="41236A36">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(3)已完成初稿，不积极响应对数的，每超时一工作日扣2分，扣分上限6分。</w:t>
      </w:r>
    </w:p>
    <w:p w14:paraId="5C76B877">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(4)对数后满足修改条件下，两个工作日内未能完成修改，每超时一工作日，扣2分，扣分上限6分。</w:t>
      </w:r>
    </w:p>
    <w:p w14:paraId="5D91301A">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(5)调整稿、终稿和汇签表电子版初审中介未及时发给项目负责人，每超时一工作日扣2分，扣分上限6分。</w:t>
      </w:r>
    </w:p>
    <w:p w14:paraId="74A73895">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D、重要事项：</w:t>
      </w:r>
    </w:p>
    <w:p w14:paraId="7A1FFF7A">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(1)被发现评审出现重大偏差的，扣30分。</w:t>
      </w:r>
    </w:p>
    <w:p w14:paraId="51324DBF">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(2)需要回避审核的被发现未主动回避的，扣40分。</w:t>
      </w:r>
    </w:p>
    <w:p w14:paraId="15D873E9">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(3)发现未经同意直接与</w:t>
      </w:r>
      <w:r>
        <w:rPr>
          <w:rFonts w:hint="eastAsia" w:ascii="宋体" w:hAnsi="宋体" w:eastAsia="宋体" w:cs="宋体"/>
          <w:color w:val="auto"/>
          <w:sz w:val="24"/>
          <w:highlight w:val="none"/>
          <w:lang w:val="en-US" w:eastAsia="zh-CN"/>
        </w:rPr>
        <w:t>出资人（建设单位）</w:t>
      </w:r>
      <w:r>
        <w:rPr>
          <w:rFonts w:hint="eastAsia" w:ascii="宋体" w:hAnsi="宋体" w:eastAsia="宋体" w:cs="宋体"/>
          <w:color w:val="auto"/>
          <w:sz w:val="24"/>
          <w:szCs w:val="24"/>
          <w:highlight w:val="none"/>
          <w:lang w:val="en-US" w:eastAsia="zh-CN"/>
        </w:rPr>
        <w:t>联系，扣20分。</w:t>
      </w:r>
    </w:p>
    <w:p w14:paraId="5576957B">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(4)发现未经同意，私自接受建设单位的资料作为评审依据，扣50分。</w:t>
      </w:r>
    </w:p>
    <w:p w14:paraId="59B18389">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E、其他：出现其他服务态度差、质量差、时效控制差的情况，每次扣5分；累计扣分上限为10分。</w:t>
      </w:r>
    </w:p>
    <w:p w14:paraId="6F4DF4A1">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上述评分采取扣分制，底分为100分，扣完为止。</w:t>
      </w:r>
    </w:p>
    <w:p w14:paraId="5038FD46">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项目评分结果，由甲方书面告知。</w:t>
      </w:r>
    </w:p>
    <w:p w14:paraId="123A4584">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3.逾期处理</w:t>
      </w:r>
    </w:p>
    <w:p w14:paraId="433F2853">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（一）因乙方原因，未能按约定的时间提交初稿和定案稿，以及对审核意见处理不及时的，按如下规定处理：</w:t>
      </w:r>
    </w:p>
    <w:p w14:paraId="62BDB3CF">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（1）逾期2天（含）以内的，进行口头或书面警告处理。</w:t>
      </w:r>
    </w:p>
    <w:p w14:paraId="1028DB78">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（2）逾期2天以上5天（含）以下的，扣减审核费的10%。</w:t>
      </w:r>
    </w:p>
    <w:p w14:paraId="4C1C7077">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（3）逾期5天以上10天（含）以下的，扣减审核费的20%。</w:t>
      </w:r>
    </w:p>
    <w:p w14:paraId="08B8B263">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（4）逾期10天以上20天（含）以下的，扣减审核费的40%。</w:t>
      </w:r>
    </w:p>
    <w:p w14:paraId="686F1C51">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（5）逾期20天以上30天（含）以下的，扣减审核费的60%。</w:t>
      </w:r>
    </w:p>
    <w:p w14:paraId="5EBA91F2">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（6）逾期超过30天，扣减审核费的80%。</w:t>
      </w:r>
    </w:p>
    <w:p w14:paraId="605859AC">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注：此处“天” 为工作日  </w:t>
      </w:r>
    </w:p>
    <w:p w14:paraId="7DBAD4F9">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（二）对乙方不按协议完成委托业务、审核中出现严重错误或发生与委托业务相抵触的行为，甲方有权终止该乙方的审核活动，追究其相关的法律和经济责任，所造成的一切损失由其负责。</w:t>
      </w:r>
    </w:p>
    <w:p w14:paraId="59028B21">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实行廉政建设一票否决制。委托服务期间，甲方若发现乙方或乙方审核人员有弄虚作假、玩忽职守、徇私舞弊等违规违纪现象，或与建设、设计、监理和编制等单位串通，违反诚实信用和投标承诺等，以谋取非法利益或损害政府利益的，一经甲方查实，甲方有权对违约乙方按委托协议约定进行警告、扣减委托费、减少委托任务、解除委托和不得参与甲方下一次相同项目投标等处罚，并对其所造成的经济损失和法律纠纷依法追究经济和法律责任。</w:t>
      </w:r>
    </w:p>
    <w:p w14:paraId="1B046CD5">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（四）乙方拒绝接受甲方监督检查和管理的，甲方有权终止委托关系。</w:t>
      </w:r>
    </w:p>
    <w:p w14:paraId="5B92AE9C">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乙方必须独立完成甲方委托的评审任务，不得将评审业务转让给第三方实施。甲方若发现乙方将甲方委托的评审业务转让给第三方实施的，一经证实，甲方有权对违约乙方按委托协议约定进行扣减委托费、解除委托，并对其所造成的经济损失和法律纠纷依法追究经济和法律责任。</w:t>
      </w:r>
    </w:p>
    <w:p w14:paraId="36C56F33">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（六）因乙方原因导致项目评审结论不实，引起诉讼和纠纷的，乙方除承担相关责任外，甲方还将根据情节的严重程度对乙方作出通报批评、扣减评审费用和解除委托合同等处罚。</w:t>
      </w:r>
    </w:p>
    <w:p w14:paraId="023A379E">
      <w:pPr>
        <w:keepNext w:val="0"/>
        <w:keepLines w:val="0"/>
        <w:pageBreakBefore w:val="0"/>
        <w:widowControl w:val="0"/>
        <w:shd w:val="clear" w:color="auto" w:fill="auto"/>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（七）甲方若发现乙方已不具备承接造价咨询业务的能力或资格，甲方有权解除委托合同，并对其所造成的经济损失和法律纠纷依法追究经济和法律责任。</w:t>
      </w:r>
    </w:p>
    <w:p w14:paraId="3922F756">
      <w:pPr>
        <w:keepNext w:val="0"/>
        <w:keepLines w:val="0"/>
        <w:pageBreakBefore w:val="0"/>
        <w:widowControl w:val="0"/>
        <w:tabs>
          <w:tab w:val="left" w:pos="360"/>
          <w:tab w:val="left" w:pos="720"/>
        </w:tabs>
        <w:kinsoku/>
        <w:wordWrap/>
        <w:overflowPunct/>
        <w:topLinePunct w:val="0"/>
        <w:autoSpaceDE/>
        <w:autoSpaceDN/>
        <w:bidi w:val="0"/>
        <w:adjustRightInd/>
        <w:snapToGrid w:val="0"/>
        <w:spacing w:beforeLines="0" w:afterLines="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（八）对乙方出现的其他严重违法违规行为，甲方有权终止乙方的审核活动，追究其相关的法律和经济责任，所造成的一切损失由其负责。</w:t>
      </w:r>
    </w:p>
    <w:p w14:paraId="43CD46E7">
      <w:pPr>
        <w:pageBreakBefore w:val="0"/>
        <w:widowControl w:val="0"/>
        <w:kinsoku/>
        <w:overflowPunct/>
        <w:bidi w:val="0"/>
        <w:adjustRightInd w:val="0"/>
        <w:snapToGrid w:val="0"/>
        <w:spacing w:beforeLines="0" w:afterLines="0" w:line="360" w:lineRule="auto"/>
        <w:ind w:left="0" w:leftChars="0" w:right="0" w:firstLine="482" w:firstLineChars="200"/>
        <w:jc w:val="left"/>
        <w:outlineLvl w:val="1"/>
        <w:rPr>
          <w:rFonts w:hint="eastAsia" w:ascii="宋体" w:hAnsi="宋体" w:eastAsia="宋体" w:cs="宋体"/>
          <w:b/>
          <w:color w:val="auto"/>
          <w:kern w:val="2"/>
          <w:sz w:val="24"/>
          <w:szCs w:val="24"/>
          <w:highlight w:val="none"/>
          <w:lang w:val="en-US" w:eastAsia="zh-CN" w:bidi="ar-SA"/>
        </w:rPr>
      </w:pPr>
      <w:bookmarkStart w:id="541" w:name="_Toc4511"/>
      <w:bookmarkStart w:id="542" w:name="_Toc30697"/>
      <w:bookmarkStart w:id="543" w:name="_Toc11892"/>
      <w:bookmarkStart w:id="544" w:name="_Toc489278557"/>
      <w:bookmarkStart w:id="545" w:name="_Toc490753391"/>
      <w:bookmarkStart w:id="546" w:name="_Toc29501"/>
      <w:bookmarkStart w:id="547" w:name="_Toc289"/>
      <w:r>
        <w:rPr>
          <w:rFonts w:hint="eastAsia" w:ascii="宋体" w:hAnsi="宋体" w:cs="宋体"/>
          <w:b/>
          <w:color w:val="auto"/>
          <w:kern w:val="2"/>
          <w:sz w:val="24"/>
          <w:szCs w:val="24"/>
          <w:highlight w:val="none"/>
          <w:lang w:val="en-US" w:eastAsia="zh-CN" w:bidi="ar-SA"/>
        </w:rPr>
        <w:t>7</w:t>
      </w:r>
      <w:r>
        <w:rPr>
          <w:rFonts w:hint="eastAsia" w:ascii="宋体" w:hAnsi="宋体" w:eastAsia="宋体" w:cs="宋体"/>
          <w:b/>
          <w:color w:val="auto"/>
          <w:kern w:val="2"/>
          <w:sz w:val="24"/>
          <w:szCs w:val="24"/>
          <w:highlight w:val="none"/>
          <w:lang w:val="en-US" w:eastAsia="zh-CN" w:bidi="ar-SA"/>
        </w:rPr>
        <w:t>. 支付</w:t>
      </w:r>
      <w:bookmarkEnd w:id="539"/>
      <w:bookmarkEnd w:id="540"/>
      <w:bookmarkEnd w:id="541"/>
      <w:bookmarkEnd w:id="542"/>
      <w:bookmarkEnd w:id="543"/>
      <w:bookmarkEnd w:id="544"/>
      <w:bookmarkEnd w:id="545"/>
      <w:bookmarkEnd w:id="546"/>
      <w:bookmarkEnd w:id="547"/>
    </w:p>
    <w:p w14:paraId="63D095A4">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bookmarkStart w:id="548" w:name="_Toc419045116"/>
      <w:bookmarkStart w:id="549" w:name="_Toc422322541"/>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1支付货币</w:t>
      </w:r>
      <w:bookmarkEnd w:id="548"/>
      <w:bookmarkEnd w:id="549"/>
    </w:p>
    <w:p w14:paraId="0D9C4939">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币种为：</w:t>
      </w:r>
      <w:r>
        <w:rPr>
          <w:rFonts w:hint="eastAsia" w:ascii="宋体" w:hAnsi="宋体" w:eastAsia="宋体" w:cs="宋体"/>
          <w:color w:val="auto"/>
          <w:sz w:val="24"/>
          <w:highlight w:val="none"/>
          <w:u w:val="single"/>
        </w:rPr>
        <w:t>人民币</w:t>
      </w:r>
      <w:r>
        <w:rPr>
          <w:rFonts w:hint="eastAsia" w:ascii="宋体" w:hAnsi="宋体" w:eastAsia="宋体" w:cs="宋体"/>
          <w:color w:val="auto"/>
          <w:sz w:val="24"/>
          <w:highlight w:val="none"/>
        </w:rPr>
        <w:t>，汇率为：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，其他约定：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7D82D6D">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bookmarkStart w:id="550" w:name="_Toc422322542"/>
      <w:bookmarkStart w:id="551" w:name="_Toc419045117"/>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xml:space="preserve">.2 </w:t>
      </w:r>
      <w:bookmarkEnd w:id="550"/>
      <w:bookmarkEnd w:id="551"/>
      <w:r>
        <w:rPr>
          <w:rFonts w:hint="eastAsia" w:ascii="宋体" w:hAnsi="宋体" w:eastAsia="宋体" w:cs="宋体"/>
          <w:color w:val="auto"/>
          <w:sz w:val="24"/>
          <w:highlight w:val="none"/>
        </w:rPr>
        <w:t>计费标准</w:t>
      </w:r>
    </w:p>
    <w:p w14:paraId="076BDD3B">
      <w:pPr>
        <w:pStyle w:val="2"/>
        <w:pageBreakBefore w:val="0"/>
        <w:kinsoku/>
        <w:wordWrap/>
        <w:overflowPunct/>
        <w:topLinePunct w:val="0"/>
        <w:bidi w:val="0"/>
        <w:adjustRightInd/>
        <w:snapToGrid/>
        <w:spacing w:beforeLines="0" w:afterLines="0" w:line="360" w:lineRule="auto"/>
        <w:ind w:left="0" w:leftChars="0" w:right="0" w:firstLine="480" w:firstLineChars="200"/>
        <w:textAlignment w:val="auto"/>
        <w:rPr>
          <w:rFonts w:hint="eastAsia" w:ascii="宋体" w:hAnsi="宋体" w:eastAsia="宋体" w:cs="宋体"/>
          <w:color w:val="auto"/>
          <w:sz w:val="24"/>
          <w:szCs w:val="24"/>
          <w:highlight w:val="none"/>
          <w:u w:val="single"/>
        </w:rPr>
      </w:pPr>
      <w:bookmarkStart w:id="552" w:name="_Toc422322543"/>
      <w:bookmarkStart w:id="553" w:name="_Toc419045118"/>
      <w:r>
        <w:rPr>
          <w:rFonts w:hint="eastAsia" w:ascii="宋体" w:hAnsi="宋体" w:eastAsia="宋体" w:cs="宋体"/>
          <w:color w:val="auto"/>
          <w:sz w:val="24"/>
          <w:szCs w:val="24"/>
          <w:highlight w:val="none"/>
          <w:u w:val="single"/>
        </w:rPr>
        <w:t>预算复审计费标准以预算审定金额为基数，按《佛山市南海区财政局工程造价咨询服务收费标准表》（南财FS2023（NH）WZ0001）中“预算初审审核”计费标准的90%</w:t>
      </w:r>
      <w:r>
        <w:rPr>
          <w:rFonts w:hint="eastAsia" w:ascii="宋体" w:hAnsi="宋体" w:eastAsia="宋体" w:cs="宋体"/>
          <w:color w:val="auto"/>
          <w:sz w:val="24"/>
          <w:szCs w:val="24"/>
          <w:highlight w:val="none"/>
          <w:u w:val="single"/>
          <w:lang w:val="en-US" w:eastAsia="zh-CN"/>
        </w:rPr>
        <w:t>计费</w:t>
      </w:r>
      <w:r>
        <w:rPr>
          <w:rFonts w:hint="eastAsia" w:ascii="宋体" w:hAnsi="宋体" w:eastAsia="宋体" w:cs="宋体"/>
          <w:color w:val="auto"/>
          <w:sz w:val="24"/>
          <w:szCs w:val="24"/>
          <w:highlight w:val="none"/>
          <w:u w:val="single"/>
        </w:rPr>
        <w:t>。</w:t>
      </w:r>
    </w:p>
    <w:p w14:paraId="0C5F5661">
      <w:pPr>
        <w:pStyle w:val="2"/>
        <w:pageBreakBefore w:val="0"/>
        <w:kinsoku/>
        <w:wordWrap/>
        <w:overflowPunct/>
        <w:topLinePunct w:val="0"/>
        <w:bidi w:val="0"/>
        <w:adjustRightInd/>
        <w:snapToGrid/>
        <w:spacing w:beforeLines="0" w:afterLines="0" w:line="360" w:lineRule="auto"/>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预算复审造价咨询服务费=预算初审计费标准收费×90%×中标费率</w:t>
      </w:r>
      <w:r>
        <w:rPr>
          <w:rFonts w:hint="eastAsia" w:ascii="宋体" w:hAnsi="宋体" w:eastAsia="宋体" w:cs="宋体"/>
          <w:color w:val="auto"/>
          <w:sz w:val="24"/>
          <w:szCs w:val="24"/>
          <w:highlight w:val="none"/>
          <w:lang w:eastAsia="zh-CN"/>
        </w:rPr>
        <w:t>。</w:t>
      </w:r>
    </w:p>
    <w:p w14:paraId="751613D8">
      <w:pPr>
        <w:pStyle w:val="2"/>
        <w:pageBreakBefore w:val="0"/>
        <w:kinsoku/>
        <w:wordWrap/>
        <w:overflowPunct/>
        <w:topLinePunct w:val="0"/>
        <w:bidi w:val="0"/>
        <w:adjustRightInd/>
        <w:snapToGrid/>
        <w:spacing w:beforeLines="0" w:afterLines="0" w:line="360" w:lineRule="auto"/>
        <w:ind w:left="0" w:leftChars="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备注：预算审定金额指累计预算审定总金额。</w:t>
      </w:r>
    </w:p>
    <w:p w14:paraId="542ADF0E">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.3</w:t>
      </w:r>
      <w:bookmarkEnd w:id="552"/>
      <w:bookmarkEnd w:id="553"/>
      <w:r>
        <w:rPr>
          <w:rFonts w:hint="eastAsia" w:ascii="宋体" w:hAnsi="宋体" w:eastAsia="宋体" w:cs="宋体"/>
          <w:color w:val="auto"/>
          <w:sz w:val="24"/>
          <w:highlight w:val="none"/>
        </w:rPr>
        <w:t>项目结算</w:t>
      </w:r>
    </w:p>
    <w:p w14:paraId="2C73A3D0">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预算复审造价咨询结算费=预算初审计费标准收费×90%×中标费率-扣罚费用（若有）。</w:t>
      </w:r>
    </w:p>
    <w:p w14:paraId="21260E3C">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7</w:t>
      </w:r>
      <w:r>
        <w:rPr>
          <w:rFonts w:hint="eastAsia" w:ascii="宋体" w:hAnsi="宋体" w:eastAsia="宋体" w:cs="宋体"/>
          <w:bCs/>
          <w:color w:val="auto"/>
          <w:kern w:val="0"/>
          <w:sz w:val="24"/>
          <w:highlight w:val="none"/>
          <w:lang w:val="en-US" w:eastAsia="zh-CN"/>
        </w:rPr>
        <w:t>.4 支付费用</w:t>
      </w:r>
    </w:p>
    <w:p w14:paraId="71617BB8">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left="0" w:leftChars="0" w:right="0" w:firstLine="480" w:firstLineChars="200"/>
        <w:jc w:val="left"/>
        <w:textAlignment w:val="auto"/>
        <w:rPr>
          <w:rFonts w:hint="eastAsia" w:ascii="宋体" w:hAnsi="宋体" w:eastAsia="宋体" w:cs="宋体"/>
          <w:bCs w:val="0"/>
          <w:color w:val="auto"/>
          <w:kern w:val="2"/>
          <w:sz w:val="24"/>
          <w:szCs w:val="24"/>
          <w:highlight w:val="none"/>
          <w:lang w:val="en-US" w:eastAsia="zh-CN"/>
        </w:rPr>
      </w:pPr>
      <w:r>
        <w:rPr>
          <w:rFonts w:hint="eastAsia" w:ascii="宋体" w:hAnsi="宋体" w:eastAsia="宋体" w:cs="宋体"/>
          <w:bCs w:val="0"/>
          <w:color w:val="auto"/>
          <w:kern w:val="2"/>
          <w:sz w:val="24"/>
          <w:szCs w:val="24"/>
          <w:highlight w:val="none"/>
          <w:lang w:val="en-US" w:eastAsia="zh-CN"/>
        </w:rPr>
        <w:t>招标人根据工作实际需要将本项目的预算复审工作内容划分为多个单项进行实施，</w:t>
      </w:r>
      <w:r>
        <w:rPr>
          <w:rFonts w:hint="eastAsia" w:ascii="宋体" w:hAnsi="宋体" w:eastAsia="宋体" w:cs="宋体"/>
          <w:color w:val="auto"/>
          <w:kern w:val="2"/>
          <w:sz w:val="24"/>
          <w:szCs w:val="24"/>
          <w:highlight w:val="none"/>
          <w:lang w:val="en-US" w:eastAsia="zh-CN" w:bidi="ar-SA"/>
        </w:rPr>
        <w:t>咨询人</w:t>
      </w:r>
      <w:r>
        <w:rPr>
          <w:rFonts w:hint="eastAsia" w:ascii="宋体" w:hAnsi="宋体" w:eastAsia="宋体" w:cs="宋体"/>
          <w:bCs w:val="0"/>
          <w:color w:val="auto"/>
          <w:kern w:val="2"/>
          <w:sz w:val="24"/>
          <w:szCs w:val="24"/>
          <w:highlight w:val="none"/>
          <w:lang w:val="en-US" w:eastAsia="zh-CN"/>
        </w:rPr>
        <w:t>须根据招标人要求按划分的各个单项分别出具预算复审成果报告。</w:t>
      </w:r>
    </w:p>
    <w:p w14:paraId="55A59959">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left="0" w:leftChars="0" w:right="0" w:firstLine="480" w:firstLineChars="200"/>
        <w:jc w:val="left"/>
        <w:textAlignment w:val="auto"/>
        <w:rPr>
          <w:rFonts w:hint="eastAsia" w:ascii="宋体" w:hAnsi="宋体" w:eastAsia="宋体" w:cs="宋体"/>
          <w:bCs w:val="0"/>
          <w:color w:val="auto"/>
          <w:kern w:val="2"/>
          <w:sz w:val="24"/>
          <w:szCs w:val="24"/>
          <w:highlight w:val="none"/>
          <w:lang w:val="en-US" w:eastAsia="zh-CN"/>
        </w:rPr>
      </w:pPr>
      <w:r>
        <w:rPr>
          <w:rFonts w:hint="eastAsia" w:ascii="宋体" w:hAnsi="宋体" w:eastAsia="宋体" w:cs="宋体"/>
          <w:bCs w:val="0"/>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bidi="ar-SA"/>
        </w:rPr>
        <w:t>咨询人</w:t>
      </w:r>
      <w:r>
        <w:rPr>
          <w:rFonts w:hint="eastAsia" w:ascii="宋体" w:hAnsi="宋体" w:eastAsia="宋体" w:cs="宋体"/>
          <w:bCs w:val="0"/>
          <w:color w:val="auto"/>
          <w:kern w:val="2"/>
          <w:sz w:val="24"/>
          <w:szCs w:val="24"/>
          <w:highlight w:val="none"/>
          <w:lang w:val="en-US" w:eastAsia="zh-CN"/>
        </w:rPr>
        <w:t>完成单项预算复审后，</w:t>
      </w:r>
      <w:r>
        <w:rPr>
          <w:rFonts w:hint="eastAsia" w:ascii="宋体" w:hAnsi="宋体" w:eastAsia="宋体" w:cs="宋体"/>
          <w:bCs w:val="0"/>
          <w:color w:val="auto"/>
          <w:kern w:val="2"/>
          <w:sz w:val="24"/>
          <w:szCs w:val="24"/>
          <w:highlight w:val="none"/>
        </w:rPr>
        <w:t>经</w:t>
      </w:r>
      <w:r>
        <w:rPr>
          <w:rFonts w:hint="eastAsia" w:ascii="宋体" w:hAnsi="宋体" w:eastAsia="宋体" w:cs="宋体"/>
          <w:bCs w:val="0"/>
          <w:color w:val="auto"/>
          <w:kern w:val="2"/>
          <w:sz w:val="24"/>
          <w:szCs w:val="24"/>
          <w:highlight w:val="none"/>
          <w:lang w:eastAsia="zh-CN"/>
        </w:rPr>
        <w:t>招标人</w:t>
      </w:r>
      <w:r>
        <w:rPr>
          <w:rFonts w:hint="eastAsia" w:ascii="宋体" w:hAnsi="宋体" w:eastAsia="宋体" w:cs="宋体"/>
          <w:bCs w:val="0"/>
          <w:color w:val="auto"/>
          <w:kern w:val="2"/>
          <w:sz w:val="24"/>
          <w:szCs w:val="24"/>
          <w:highlight w:val="none"/>
        </w:rPr>
        <w:t>最终审核</w:t>
      </w:r>
      <w:r>
        <w:rPr>
          <w:rFonts w:hint="eastAsia" w:ascii="宋体" w:hAnsi="宋体" w:eastAsia="宋体" w:cs="宋体"/>
          <w:b w:val="0"/>
          <w:bCs w:val="0"/>
          <w:color w:val="auto"/>
          <w:kern w:val="2"/>
          <w:sz w:val="24"/>
          <w:szCs w:val="24"/>
          <w:highlight w:val="none"/>
          <w:lang w:val="en-US" w:eastAsia="zh-CN"/>
        </w:rPr>
        <w:t>和考核</w:t>
      </w:r>
      <w:r>
        <w:rPr>
          <w:rFonts w:hint="eastAsia" w:ascii="宋体" w:hAnsi="宋体" w:eastAsia="宋体" w:cs="宋体"/>
          <w:bCs w:val="0"/>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咨询人向代建单位提交请款资料，按照代建单位的相关管理办法完成审核（审批）后，代建单位将咨询人请款申请资料、</w:t>
      </w:r>
      <w:r>
        <w:rPr>
          <w:rFonts w:hint="eastAsia" w:ascii="宋体" w:hAnsi="宋体" w:eastAsia="宋体" w:cs="宋体"/>
          <w:bCs w:val="0"/>
          <w:color w:val="auto"/>
          <w:kern w:val="2"/>
          <w:sz w:val="24"/>
          <w:szCs w:val="24"/>
          <w:highlight w:val="none"/>
          <w:lang w:val="en-US" w:eastAsia="zh-CN"/>
        </w:rPr>
        <w:t>招标人出具的付款通知书</w:t>
      </w:r>
      <w:r>
        <w:rPr>
          <w:rFonts w:hint="eastAsia" w:ascii="宋体" w:hAnsi="宋体" w:eastAsia="宋体" w:cs="宋体"/>
          <w:color w:val="auto"/>
          <w:kern w:val="2"/>
          <w:sz w:val="24"/>
          <w:szCs w:val="24"/>
          <w:highlight w:val="none"/>
          <w:lang w:val="en-US" w:eastAsia="zh-CN"/>
        </w:rPr>
        <w:t>以及代建单位审核（审批）资料交付至出资人，由出资人根据代建单位审核确定的金额向咨询人支付</w:t>
      </w:r>
      <w:r>
        <w:rPr>
          <w:rFonts w:hint="eastAsia" w:ascii="宋体" w:hAnsi="宋体" w:eastAsia="宋体" w:cs="宋体"/>
          <w:bCs w:val="0"/>
          <w:color w:val="auto"/>
          <w:kern w:val="2"/>
          <w:sz w:val="24"/>
          <w:szCs w:val="24"/>
          <w:highlight w:val="none"/>
        </w:rPr>
        <w:t>向</w:t>
      </w:r>
      <w:r>
        <w:rPr>
          <w:rFonts w:hint="eastAsia" w:ascii="宋体" w:hAnsi="宋体" w:eastAsia="宋体" w:cs="宋体"/>
          <w:color w:val="auto"/>
          <w:kern w:val="2"/>
          <w:sz w:val="24"/>
          <w:szCs w:val="24"/>
          <w:highlight w:val="none"/>
          <w:lang w:val="en-US" w:eastAsia="zh-CN"/>
        </w:rPr>
        <w:t>咨询人</w:t>
      </w:r>
      <w:r>
        <w:rPr>
          <w:rFonts w:hint="eastAsia" w:ascii="宋体" w:hAnsi="宋体" w:eastAsia="宋体" w:cs="宋体"/>
          <w:bCs w:val="0"/>
          <w:color w:val="auto"/>
          <w:kern w:val="2"/>
          <w:sz w:val="24"/>
          <w:szCs w:val="24"/>
          <w:highlight w:val="none"/>
        </w:rPr>
        <w:t>支付</w:t>
      </w:r>
      <w:r>
        <w:rPr>
          <w:rFonts w:hint="eastAsia" w:ascii="宋体" w:hAnsi="宋体" w:eastAsia="宋体" w:cs="宋体"/>
          <w:bCs w:val="0"/>
          <w:color w:val="auto"/>
          <w:kern w:val="2"/>
          <w:sz w:val="24"/>
          <w:szCs w:val="24"/>
          <w:highlight w:val="none"/>
          <w:lang w:eastAsia="zh-CN"/>
        </w:rPr>
        <w:t>单项</w:t>
      </w:r>
      <w:r>
        <w:rPr>
          <w:rFonts w:hint="eastAsia" w:ascii="宋体" w:hAnsi="宋体" w:eastAsia="宋体" w:cs="宋体"/>
          <w:bCs w:val="0"/>
          <w:color w:val="auto"/>
          <w:kern w:val="2"/>
          <w:sz w:val="24"/>
          <w:szCs w:val="24"/>
          <w:highlight w:val="none"/>
          <w:lang w:val="en-US" w:eastAsia="zh-CN"/>
        </w:rPr>
        <w:t>预算复</w:t>
      </w:r>
      <w:r>
        <w:rPr>
          <w:rFonts w:hint="eastAsia" w:ascii="宋体" w:hAnsi="宋体" w:eastAsia="宋体" w:cs="宋体"/>
          <w:bCs w:val="0"/>
          <w:color w:val="auto"/>
          <w:kern w:val="2"/>
          <w:sz w:val="24"/>
          <w:szCs w:val="24"/>
          <w:highlight w:val="none"/>
          <w:lang w:eastAsia="zh-CN"/>
        </w:rPr>
        <w:t>审造价</w:t>
      </w:r>
      <w:r>
        <w:rPr>
          <w:rFonts w:hint="eastAsia" w:ascii="宋体" w:hAnsi="宋体" w:eastAsia="宋体" w:cs="宋体"/>
          <w:bCs w:val="0"/>
          <w:color w:val="auto"/>
          <w:kern w:val="2"/>
          <w:sz w:val="24"/>
          <w:szCs w:val="24"/>
          <w:highlight w:val="none"/>
        </w:rPr>
        <w:t>咨询服务费</w:t>
      </w:r>
      <w:r>
        <w:rPr>
          <w:rFonts w:hint="eastAsia" w:ascii="宋体" w:hAnsi="宋体" w:eastAsia="宋体" w:cs="宋体"/>
          <w:bCs w:val="0"/>
          <w:color w:val="auto"/>
          <w:kern w:val="2"/>
          <w:sz w:val="24"/>
          <w:szCs w:val="24"/>
          <w:highlight w:val="none"/>
          <w:lang w:val="en-US" w:eastAsia="zh-CN"/>
        </w:rPr>
        <w:t>。</w:t>
      </w:r>
    </w:p>
    <w:p w14:paraId="320A3F70">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left="0" w:leftChars="0" w:right="0" w:firstLine="480" w:firstLineChars="200"/>
        <w:jc w:val="left"/>
        <w:textAlignment w:val="auto"/>
        <w:rPr>
          <w:rFonts w:hint="eastAsia" w:ascii="宋体" w:hAnsi="宋体" w:eastAsia="宋体" w:cs="宋体"/>
          <w:bCs w:val="0"/>
          <w:color w:val="auto"/>
          <w:kern w:val="2"/>
          <w:sz w:val="24"/>
          <w:szCs w:val="24"/>
          <w:highlight w:val="none"/>
          <w:lang w:val="en-US" w:eastAsia="zh-CN"/>
        </w:rPr>
      </w:pPr>
      <w:r>
        <w:rPr>
          <w:rFonts w:hint="eastAsia" w:ascii="宋体" w:hAnsi="宋体" w:eastAsia="宋体" w:cs="宋体"/>
          <w:bCs w:val="0"/>
          <w:color w:val="auto"/>
          <w:kern w:val="2"/>
          <w:sz w:val="24"/>
          <w:szCs w:val="24"/>
          <w:highlight w:val="none"/>
          <w:lang w:val="en-US" w:eastAsia="zh-CN"/>
        </w:rPr>
        <w:t>（2）</w:t>
      </w:r>
      <w:r>
        <w:rPr>
          <w:rFonts w:hint="eastAsia" w:ascii="宋体" w:hAnsi="宋体" w:cs="宋体"/>
          <w:bCs w:val="0"/>
          <w:color w:val="auto"/>
          <w:kern w:val="2"/>
          <w:sz w:val="24"/>
          <w:szCs w:val="24"/>
          <w:highlight w:val="none"/>
          <w:lang w:val="en-US" w:eastAsia="zh-CN"/>
        </w:rPr>
        <w:t>出资人</w:t>
      </w:r>
      <w:r>
        <w:rPr>
          <w:rFonts w:hint="eastAsia" w:ascii="宋体" w:hAnsi="宋体" w:eastAsia="宋体" w:cs="宋体"/>
          <w:bCs w:val="0"/>
          <w:color w:val="auto"/>
          <w:kern w:val="2"/>
          <w:sz w:val="24"/>
          <w:szCs w:val="24"/>
          <w:highlight w:val="none"/>
          <w:lang w:val="en-US" w:eastAsia="zh-CN"/>
        </w:rPr>
        <w:t>按区财政局要求完成预算备案，经招标人最终</w:t>
      </w:r>
      <w:r>
        <w:rPr>
          <w:rFonts w:hint="eastAsia" w:ascii="宋体" w:hAnsi="宋体" w:eastAsia="宋体" w:cs="宋体"/>
          <w:bCs w:val="0"/>
          <w:color w:val="auto"/>
          <w:kern w:val="2"/>
          <w:sz w:val="24"/>
          <w:szCs w:val="24"/>
          <w:highlight w:val="none"/>
        </w:rPr>
        <w:t>审核</w:t>
      </w:r>
      <w:r>
        <w:rPr>
          <w:rFonts w:hint="eastAsia" w:ascii="宋体" w:hAnsi="宋体" w:eastAsia="宋体" w:cs="宋体"/>
          <w:b w:val="0"/>
          <w:bCs w:val="0"/>
          <w:color w:val="auto"/>
          <w:kern w:val="2"/>
          <w:sz w:val="24"/>
          <w:szCs w:val="24"/>
          <w:highlight w:val="none"/>
          <w:lang w:val="en-US" w:eastAsia="zh-CN"/>
        </w:rPr>
        <w:t>和考核</w:t>
      </w:r>
      <w:r>
        <w:rPr>
          <w:rFonts w:hint="eastAsia" w:ascii="宋体" w:hAnsi="宋体" w:eastAsia="宋体" w:cs="宋体"/>
          <w:bCs w:val="0"/>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咨询人向代建单位提交请款资料，按照代建单位的相关管理办法完成审核（审批）后，代建单位将咨询人请款申请资料、</w:t>
      </w:r>
      <w:r>
        <w:rPr>
          <w:rFonts w:hint="eastAsia" w:ascii="宋体" w:hAnsi="宋体" w:eastAsia="宋体" w:cs="宋体"/>
          <w:bCs w:val="0"/>
          <w:color w:val="auto"/>
          <w:kern w:val="2"/>
          <w:sz w:val="24"/>
          <w:szCs w:val="24"/>
          <w:highlight w:val="none"/>
          <w:lang w:val="en-US" w:eastAsia="zh-CN"/>
        </w:rPr>
        <w:t>招标人出具的付款通知书</w:t>
      </w:r>
      <w:r>
        <w:rPr>
          <w:rFonts w:hint="eastAsia" w:ascii="宋体" w:hAnsi="宋体" w:eastAsia="宋体" w:cs="宋体"/>
          <w:color w:val="auto"/>
          <w:kern w:val="2"/>
          <w:sz w:val="24"/>
          <w:szCs w:val="24"/>
          <w:highlight w:val="none"/>
          <w:lang w:val="en-US" w:eastAsia="zh-CN"/>
        </w:rPr>
        <w:t>以及代建单位审核（审批）资料交付至出资人，由出资人根据代建单位审核确定的金额向咨询人支付</w:t>
      </w:r>
      <w:r>
        <w:rPr>
          <w:rFonts w:hint="eastAsia" w:ascii="宋体" w:hAnsi="宋体" w:eastAsia="宋体" w:cs="宋体"/>
          <w:bCs w:val="0"/>
          <w:color w:val="auto"/>
          <w:kern w:val="2"/>
          <w:sz w:val="24"/>
          <w:szCs w:val="24"/>
          <w:highlight w:val="none"/>
        </w:rPr>
        <w:t>向</w:t>
      </w:r>
      <w:r>
        <w:rPr>
          <w:rFonts w:hint="eastAsia" w:ascii="宋体" w:hAnsi="宋体" w:eastAsia="宋体" w:cs="宋体"/>
          <w:color w:val="auto"/>
          <w:kern w:val="2"/>
          <w:sz w:val="24"/>
          <w:szCs w:val="24"/>
          <w:highlight w:val="none"/>
          <w:lang w:val="en-US" w:eastAsia="zh-CN"/>
        </w:rPr>
        <w:t>咨询人</w:t>
      </w:r>
      <w:r>
        <w:rPr>
          <w:rFonts w:hint="eastAsia" w:ascii="宋体" w:hAnsi="宋体" w:eastAsia="宋体" w:cs="宋体"/>
          <w:bCs w:val="0"/>
          <w:color w:val="auto"/>
          <w:kern w:val="2"/>
          <w:sz w:val="24"/>
          <w:szCs w:val="24"/>
          <w:highlight w:val="none"/>
        </w:rPr>
        <w:t>支付</w:t>
      </w:r>
      <w:r>
        <w:rPr>
          <w:rFonts w:hint="eastAsia" w:ascii="宋体" w:hAnsi="宋体" w:eastAsia="宋体" w:cs="宋体"/>
          <w:bCs w:val="0"/>
          <w:color w:val="auto"/>
          <w:kern w:val="2"/>
          <w:sz w:val="24"/>
          <w:szCs w:val="24"/>
          <w:highlight w:val="none"/>
          <w:lang w:eastAsia="zh-CN"/>
        </w:rPr>
        <w:t>剩余</w:t>
      </w:r>
      <w:r>
        <w:rPr>
          <w:rFonts w:hint="eastAsia" w:ascii="宋体" w:hAnsi="宋体" w:eastAsia="宋体" w:cs="宋体"/>
          <w:bCs w:val="0"/>
          <w:color w:val="auto"/>
          <w:kern w:val="2"/>
          <w:sz w:val="24"/>
          <w:szCs w:val="24"/>
          <w:highlight w:val="none"/>
          <w:lang w:val="en-US" w:eastAsia="zh-CN"/>
        </w:rPr>
        <w:t>预算</w:t>
      </w:r>
      <w:r>
        <w:rPr>
          <w:rFonts w:hint="eastAsia" w:ascii="宋体" w:hAnsi="宋体" w:eastAsia="宋体" w:cs="宋体"/>
          <w:bCs w:val="0"/>
          <w:color w:val="auto"/>
          <w:kern w:val="2"/>
          <w:sz w:val="24"/>
          <w:szCs w:val="24"/>
          <w:highlight w:val="none"/>
          <w:lang w:eastAsia="zh-CN"/>
        </w:rPr>
        <w:t>审核造价</w:t>
      </w:r>
      <w:r>
        <w:rPr>
          <w:rFonts w:hint="eastAsia" w:ascii="宋体" w:hAnsi="宋体" w:eastAsia="宋体" w:cs="宋体"/>
          <w:bCs w:val="0"/>
          <w:color w:val="auto"/>
          <w:kern w:val="2"/>
          <w:sz w:val="24"/>
          <w:szCs w:val="24"/>
          <w:highlight w:val="none"/>
        </w:rPr>
        <w:t>咨询服务费</w:t>
      </w:r>
      <w:r>
        <w:rPr>
          <w:rFonts w:hint="eastAsia" w:ascii="宋体" w:hAnsi="宋体" w:eastAsia="宋体" w:cs="宋体"/>
          <w:bCs w:val="0"/>
          <w:color w:val="auto"/>
          <w:kern w:val="2"/>
          <w:sz w:val="24"/>
          <w:szCs w:val="24"/>
          <w:highlight w:val="none"/>
          <w:lang w:eastAsia="zh-CN"/>
        </w:rPr>
        <w:t>。</w:t>
      </w:r>
    </w:p>
    <w:p w14:paraId="2D63A3F9">
      <w:pPr>
        <w:pageBreakBefore w:val="0"/>
        <w:widowControl/>
        <w:numPr>
          <w:ilvl w:val="0"/>
          <w:numId w:val="0"/>
        </w:numPr>
        <w:kinsoku/>
        <w:overflowPunct/>
        <w:bidi w:val="0"/>
        <w:spacing w:beforeLines="0" w:afterLines="0" w:line="360" w:lineRule="auto"/>
        <w:ind w:left="0" w:leftChars="0" w:right="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（3）单项预算复审造价咨询服务费，暂以该单项预算审核金额为计费基数，按“计费标准”执行并乘以70%计。</w:t>
      </w:r>
    </w:p>
    <w:p w14:paraId="6DE9448C">
      <w:pPr>
        <w:pageBreakBefore w:val="0"/>
        <w:widowControl/>
        <w:numPr>
          <w:ilvl w:val="0"/>
          <w:numId w:val="0"/>
        </w:numPr>
        <w:kinsoku/>
        <w:overflowPunct/>
        <w:bidi w:val="0"/>
        <w:spacing w:beforeLines="0" w:afterLines="0" w:line="360" w:lineRule="auto"/>
        <w:ind w:left="0" w:leftChars="0" w:right="0"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咨询人应理解政府部门付款的相关程序，因本项目使用的是财政资金，待财政资金指标下达后，代建单位或出资人在上述规定时间内向政府提出资金申请手续，即视为代建单位或出资人是按期支付。因政府财政支付审批流程及办理手续而造成项目支付进度有所推延，而导致代建单位或出资人逾期付款的，代建单位或出资人不承担逾期付款违约责任。</w:t>
      </w:r>
    </w:p>
    <w:p w14:paraId="45B0A89C">
      <w:pPr>
        <w:keepNext w:val="0"/>
        <w:keepLines w:val="0"/>
        <w:pageBreakBefore w:val="0"/>
        <w:widowControl/>
        <w:numPr>
          <w:ilvl w:val="0"/>
          <w:numId w:val="0"/>
        </w:numPr>
        <w:kinsoku/>
        <w:wordWrap/>
        <w:overflowPunct/>
        <w:topLinePunct w:val="0"/>
        <w:autoSpaceDE/>
        <w:autoSpaceDN/>
        <w:bidi w:val="0"/>
        <w:adjustRightInd/>
        <w:spacing w:beforeLines="0" w:afterLines="0"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（5）咨询人在收款前，须按出资人的要求提供等额有效的增值税发票，发票出具方必须与收款方、咨询人名称一致，</w:t>
      </w:r>
      <w:r>
        <w:rPr>
          <w:rFonts w:hint="eastAsia" w:ascii="宋体" w:hAnsi="宋体" w:cs="宋体"/>
          <w:color w:val="auto"/>
          <w:kern w:val="2"/>
          <w:sz w:val="24"/>
          <w:szCs w:val="24"/>
          <w:highlight w:val="none"/>
          <w:lang w:val="en-US" w:eastAsia="zh-CN"/>
        </w:rPr>
        <w:t>发票付款人：佛山市南海大业佳诚投资有限公司</w:t>
      </w:r>
      <w:r>
        <w:rPr>
          <w:rFonts w:hint="eastAsia" w:ascii="宋体" w:hAnsi="宋体" w:eastAsia="宋体" w:cs="宋体"/>
          <w:color w:val="auto"/>
          <w:kern w:val="2"/>
          <w:sz w:val="24"/>
          <w:szCs w:val="24"/>
          <w:highlight w:val="none"/>
          <w:lang w:val="en-US" w:eastAsia="zh-CN"/>
        </w:rPr>
        <w:t>。咨询人开具的发票为本合同项下的法定结算凭证，任何私人间的支付咨询人均不予承认。否则，委托人、出资人有权顺延付款期限并不视为委托人、代建单位、出资人违约。</w:t>
      </w:r>
    </w:p>
    <w:p w14:paraId="58A40032">
      <w:pPr>
        <w:keepNext w:val="0"/>
        <w:keepLines w:val="0"/>
        <w:pageBreakBefore w:val="0"/>
        <w:kinsoku/>
        <w:wordWrap/>
        <w:overflowPunct/>
        <w:topLinePunct w:val="0"/>
        <w:autoSpaceDE/>
        <w:autoSpaceDN/>
        <w:bidi w:val="0"/>
        <w:adjustRightInd/>
        <w:snapToGrid w:val="0"/>
        <w:spacing w:beforeLines="0" w:afterLines="0" w:line="360" w:lineRule="auto"/>
        <w:ind w:left="0" w:leftChars="0" w:right="0" w:firstLine="480" w:firstLineChars="200"/>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lang w:val="en-US" w:eastAsia="zh-CN"/>
        </w:rPr>
        <w:t>.5 弃审补偿标准</w:t>
      </w:r>
    </w:p>
    <w:p w14:paraId="5E822148">
      <w:pPr>
        <w:keepNext w:val="0"/>
        <w:keepLines w:val="0"/>
        <w:pageBreakBefore w:val="0"/>
        <w:widowControl/>
        <w:numPr>
          <w:ilvl w:val="0"/>
          <w:numId w:val="0"/>
        </w:numPr>
        <w:kinsoku/>
        <w:wordWrap/>
        <w:overflowPunct/>
        <w:topLinePunct w:val="0"/>
        <w:autoSpaceDE/>
        <w:autoSpaceDN/>
        <w:bidi w:val="0"/>
        <w:adjustRightInd/>
        <w:spacing w:beforeLines="0" w:afterLines="0"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因</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（或第三方）原因引起退件弃审的情况，</w:t>
      </w:r>
      <w:r>
        <w:rPr>
          <w:rFonts w:hint="eastAsia" w:ascii="宋体" w:hAnsi="宋体" w:eastAsia="宋体" w:cs="宋体"/>
          <w:b w:val="0"/>
          <w:bCs w:val="0"/>
          <w:color w:val="auto"/>
          <w:sz w:val="24"/>
          <w:szCs w:val="24"/>
          <w:highlight w:val="none"/>
          <w:lang w:val="en-US" w:eastAsia="zh-CN"/>
        </w:rPr>
        <w:t>咨询人</w:t>
      </w:r>
      <w:r>
        <w:rPr>
          <w:rFonts w:hint="eastAsia" w:ascii="宋体" w:hAnsi="宋体" w:eastAsia="宋体" w:cs="宋体"/>
          <w:b w:val="0"/>
          <w:bCs w:val="0"/>
          <w:color w:val="auto"/>
          <w:sz w:val="24"/>
          <w:szCs w:val="24"/>
          <w:highlight w:val="none"/>
        </w:rPr>
        <w:t>未提交审核初稿</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，不支付</w:t>
      </w:r>
      <w:r>
        <w:rPr>
          <w:rFonts w:hint="eastAsia" w:ascii="宋体" w:hAnsi="宋体" w:eastAsia="宋体" w:cs="宋体"/>
          <w:b w:val="0"/>
          <w:bCs w:val="0"/>
          <w:color w:val="auto"/>
          <w:sz w:val="24"/>
          <w:szCs w:val="24"/>
          <w:highlight w:val="none"/>
          <w:lang w:val="en-US" w:eastAsia="zh-CN"/>
        </w:rPr>
        <w:t>造价咨询服务</w:t>
      </w:r>
      <w:r>
        <w:rPr>
          <w:rFonts w:hint="eastAsia" w:ascii="宋体" w:hAnsi="宋体" w:eastAsia="宋体" w:cs="宋体"/>
          <w:b w:val="0"/>
          <w:bCs w:val="0"/>
          <w:color w:val="auto"/>
          <w:sz w:val="24"/>
          <w:szCs w:val="24"/>
          <w:highlight w:val="none"/>
        </w:rPr>
        <w:t>费；</w:t>
      </w:r>
      <w:r>
        <w:rPr>
          <w:rFonts w:hint="eastAsia" w:ascii="宋体" w:hAnsi="宋体" w:eastAsia="宋体" w:cs="宋体"/>
          <w:b w:val="0"/>
          <w:bCs w:val="0"/>
          <w:color w:val="auto"/>
          <w:sz w:val="24"/>
          <w:szCs w:val="24"/>
          <w:highlight w:val="none"/>
          <w:lang w:val="en-US" w:eastAsia="zh-CN"/>
        </w:rPr>
        <w:t>咨询人</w:t>
      </w:r>
      <w:r>
        <w:rPr>
          <w:rFonts w:hint="eastAsia" w:ascii="宋体" w:hAnsi="宋体" w:eastAsia="宋体" w:cs="宋体"/>
          <w:b w:val="0"/>
          <w:bCs w:val="0"/>
          <w:color w:val="auto"/>
          <w:sz w:val="24"/>
          <w:szCs w:val="24"/>
          <w:highlight w:val="none"/>
        </w:rPr>
        <w:t>已提交初稿但未进行对数的，按应付</w:t>
      </w:r>
      <w:r>
        <w:rPr>
          <w:rFonts w:hint="eastAsia" w:ascii="宋体" w:hAnsi="宋体" w:eastAsia="宋体" w:cs="宋体"/>
          <w:b w:val="0"/>
          <w:bCs w:val="0"/>
          <w:color w:val="auto"/>
          <w:sz w:val="24"/>
          <w:szCs w:val="24"/>
          <w:highlight w:val="none"/>
          <w:lang w:val="en-US" w:eastAsia="zh-CN"/>
        </w:rPr>
        <w:t>造价咨询服务</w:t>
      </w:r>
      <w:r>
        <w:rPr>
          <w:rFonts w:hint="eastAsia" w:ascii="宋体" w:hAnsi="宋体" w:eastAsia="宋体" w:cs="宋体"/>
          <w:b w:val="0"/>
          <w:bCs w:val="0"/>
          <w:color w:val="auto"/>
          <w:sz w:val="24"/>
          <w:szCs w:val="24"/>
          <w:highlight w:val="none"/>
        </w:rPr>
        <w:t>费的60%支付；</w:t>
      </w:r>
      <w:r>
        <w:rPr>
          <w:rFonts w:hint="eastAsia" w:ascii="宋体" w:hAnsi="宋体" w:eastAsia="宋体" w:cs="宋体"/>
          <w:b w:val="0"/>
          <w:bCs w:val="0"/>
          <w:color w:val="auto"/>
          <w:sz w:val="24"/>
          <w:szCs w:val="24"/>
          <w:highlight w:val="none"/>
          <w:lang w:val="en-US" w:eastAsia="zh-CN"/>
        </w:rPr>
        <w:t>咨询人</w:t>
      </w:r>
      <w:r>
        <w:rPr>
          <w:rFonts w:hint="eastAsia" w:ascii="宋体" w:hAnsi="宋体" w:eastAsia="宋体" w:cs="宋体"/>
          <w:b w:val="0"/>
          <w:bCs w:val="0"/>
          <w:color w:val="auto"/>
          <w:sz w:val="24"/>
          <w:szCs w:val="24"/>
          <w:highlight w:val="none"/>
        </w:rPr>
        <w:t>已提交初稿并已进行对数的，按应付</w:t>
      </w:r>
      <w:r>
        <w:rPr>
          <w:rFonts w:hint="eastAsia" w:ascii="宋体" w:hAnsi="宋体" w:eastAsia="宋体" w:cs="宋体"/>
          <w:b w:val="0"/>
          <w:bCs w:val="0"/>
          <w:color w:val="auto"/>
          <w:sz w:val="24"/>
          <w:szCs w:val="24"/>
          <w:highlight w:val="none"/>
          <w:lang w:val="en-US" w:eastAsia="zh-CN"/>
        </w:rPr>
        <w:t>造价咨询服务</w:t>
      </w:r>
      <w:r>
        <w:rPr>
          <w:rFonts w:hint="eastAsia" w:ascii="宋体" w:hAnsi="宋体" w:eastAsia="宋体" w:cs="宋体"/>
          <w:b w:val="0"/>
          <w:bCs w:val="0"/>
          <w:color w:val="auto"/>
          <w:sz w:val="24"/>
          <w:szCs w:val="24"/>
          <w:highlight w:val="none"/>
        </w:rPr>
        <w:t>费的70%支付。</w:t>
      </w:r>
      <w:r>
        <w:rPr>
          <w:rFonts w:hint="eastAsia" w:ascii="宋体" w:hAnsi="宋体" w:eastAsia="宋体" w:cs="宋体"/>
          <w:b w:val="0"/>
          <w:bCs w:val="0"/>
          <w:color w:val="auto"/>
          <w:sz w:val="24"/>
          <w:szCs w:val="24"/>
          <w:highlight w:val="none"/>
          <w:lang w:val="en-US" w:eastAsia="zh-CN"/>
        </w:rPr>
        <w:t>因咨询人</w:t>
      </w:r>
      <w:r>
        <w:rPr>
          <w:rFonts w:hint="eastAsia" w:ascii="宋体" w:hAnsi="宋体" w:eastAsia="宋体" w:cs="宋体"/>
          <w:b w:val="0"/>
          <w:bCs w:val="0"/>
          <w:color w:val="auto"/>
          <w:sz w:val="24"/>
          <w:szCs w:val="24"/>
          <w:highlight w:val="none"/>
        </w:rPr>
        <w:t>原因引起的</w:t>
      </w:r>
      <w:r>
        <w:rPr>
          <w:rFonts w:hint="eastAsia" w:ascii="宋体" w:hAnsi="宋体" w:eastAsia="宋体" w:cs="宋体"/>
          <w:b w:val="0"/>
          <w:bCs w:val="0"/>
          <w:color w:val="auto"/>
          <w:kern w:val="2"/>
          <w:sz w:val="24"/>
          <w:szCs w:val="24"/>
          <w:highlight w:val="none"/>
          <w:lang w:bidi="ar-SA"/>
        </w:rPr>
        <w:t>弃</w:t>
      </w:r>
      <w:r>
        <w:rPr>
          <w:rFonts w:hint="eastAsia" w:ascii="宋体" w:hAnsi="宋体" w:eastAsia="宋体" w:cs="宋体"/>
          <w:b w:val="0"/>
          <w:bCs w:val="0"/>
          <w:color w:val="auto"/>
          <w:sz w:val="24"/>
          <w:szCs w:val="24"/>
          <w:highlight w:val="none"/>
        </w:rPr>
        <w:t>审，</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则无需向</w:t>
      </w:r>
      <w:r>
        <w:rPr>
          <w:rFonts w:hint="eastAsia" w:ascii="宋体" w:hAnsi="宋体" w:eastAsia="宋体" w:cs="宋体"/>
          <w:b w:val="0"/>
          <w:bCs w:val="0"/>
          <w:color w:val="auto"/>
          <w:sz w:val="24"/>
          <w:szCs w:val="24"/>
          <w:highlight w:val="none"/>
          <w:lang w:val="en-US" w:eastAsia="zh-CN"/>
        </w:rPr>
        <w:t>咨询人</w:t>
      </w:r>
      <w:r>
        <w:rPr>
          <w:rFonts w:hint="eastAsia" w:ascii="宋体" w:hAnsi="宋体" w:eastAsia="宋体" w:cs="宋体"/>
          <w:b w:val="0"/>
          <w:bCs w:val="0"/>
          <w:color w:val="auto"/>
          <w:sz w:val="24"/>
          <w:szCs w:val="24"/>
          <w:highlight w:val="none"/>
        </w:rPr>
        <w:t>支付</w:t>
      </w:r>
      <w:r>
        <w:rPr>
          <w:rFonts w:hint="eastAsia" w:ascii="宋体" w:hAnsi="宋体" w:eastAsia="宋体" w:cs="宋体"/>
          <w:b w:val="0"/>
          <w:bCs w:val="0"/>
          <w:color w:val="auto"/>
          <w:sz w:val="24"/>
          <w:szCs w:val="24"/>
          <w:highlight w:val="none"/>
          <w:lang w:val="en-US" w:eastAsia="zh-CN"/>
        </w:rPr>
        <w:t>造价咨询服务</w:t>
      </w:r>
      <w:r>
        <w:rPr>
          <w:rFonts w:hint="eastAsia" w:ascii="宋体" w:hAnsi="宋体" w:eastAsia="宋体" w:cs="宋体"/>
          <w:b w:val="0"/>
          <w:bCs w:val="0"/>
          <w:color w:val="auto"/>
          <w:sz w:val="24"/>
          <w:szCs w:val="24"/>
          <w:highlight w:val="none"/>
        </w:rPr>
        <w:t>费</w:t>
      </w:r>
      <w:r>
        <w:rPr>
          <w:rFonts w:hint="eastAsia" w:ascii="宋体" w:hAnsi="宋体" w:eastAsia="宋体" w:cs="宋体"/>
          <w:b w:val="0"/>
          <w:bCs w:val="0"/>
          <w:color w:val="auto"/>
          <w:sz w:val="24"/>
          <w:szCs w:val="24"/>
          <w:highlight w:val="none"/>
          <w:lang w:eastAsia="zh-CN"/>
        </w:rPr>
        <w:t>。</w:t>
      </w:r>
    </w:p>
    <w:p w14:paraId="7F03853B">
      <w:pPr>
        <w:pStyle w:val="2"/>
        <w:spacing w:beforeLines="0" w:afterLines="0" w:line="360" w:lineRule="auto"/>
        <w:ind w:firstLine="482"/>
        <w:rPr>
          <w:rFonts w:hint="eastAsia"/>
          <w:color w:val="auto"/>
          <w:highlight w:val="none"/>
          <w:lang w:val="en-US" w:eastAsia="zh-CN"/>
        </w:rPr>
      </w:pPr>
    </w:p>
    <w:p w14:paraId="62AE2EA1">
      <w:pPr>
        <w:pageBreakBefore w:val="0"/>
        <w:widowControl w:val="0"/>
        <w:kinsoku/>
        <w:overflowPunct/>
        <w:bidi w:val="0"/>
        <w:adjustRightInd w:val="0"/>
        <w:snapToGrid w:val="0"/>
        <w:spacing w:beforeLines="0" w:afterLines="0" w:line="360" w:lineRule="auto"/>
        <w:ind w:left="0" w:leftChars="0" w:right="0" w:firstLine="482" w:firstLineChars="200"/>
        <w:jc w:val="left"/>
        <w:outlineLvl w:val="1"/>
        <w:rPr>
          <w:rFonts w:hint="eastAsia" w:ascii="宋体" w:hAnsi="宋体" w:eastAsia="宋体" w:cs="宋体"/>
          <w:b/>
          <w:color w:val="auto"/>
          <w:kern w:val="2"/>
          <w:sz w:val="24"/>
          <w:szCs w:val="24"/>
          <w:highlight w:val="none"/>
          <w:lang w:val="en-US" w:eastAsia="zh-CN" w:bidi="ar-SA"/>
        </w:rPr>
      </w:pPr>
      <w:bookmarkStart w:id="554" w:name="_Toc3006"/>
      <w:bookmarkStart w:id="555" w:name="_Toc490753392"/>
      <w:bookmarkStart w:id="556" w:name="_Toc419045119"/>
      <w:bookmarkStart w:id="557" w:name="_Toc489278558"/>
      <w:bookmarkStart w:id="558" w:name="_Toc21163"/>
      <w:bookmarkStart w:id="559" w:name="_Toc5929"/>
      <w:bookmarkStart w:id="560" w:name="_Toc2068"/>
      <w:bookmarkStart w:id="561" w:name="_Toc13891"/>
      <w:bookmarkStart w:id="562" w:name="_Toc422322544"/>
      <w:r>
        <w:rPr>
          <w:rFonts w:hint="eastAsia" w:ascii="宋体" w:hAnsi="宋体" w:cs="宋体"/>
          <w:b/>
          <w:color w:val="auto"/>
          <w:kern w:val="2"/>
          <w:sz w:val="24"/>
          <w:szCs w:val="24"/>
          <w:highlight w:val="none"/>
          <w:lang w:val="en-US" w:eastAsia="zh-CN" w:bidi="ar-SA"/>
        </w:rPr>
        <w:t>8</w:t>
      </w:r>
      <w:r>
        <w:rPr>
          <w:rFonts w:hint="eastAsia" w:ascii="宋体" w:hAnsi="宋体" w:eastAsia="宋体" w:cs="宋体"/>
          <w:b/>
          <w:color w:val="auto"/>
          <w:kern w:val="2"/>
          <w:sz w:val="24"/>
          <w:szCs w:val="24"/>
          <w:highlight w:val="none"/>
          <w:lang w:val="en-US" w:eastAsia="zh-CN" w:bidi="ar-SA"/>
        </w:rPr>
        <w:t>. 合同变更、解除与终止</w:t>
      </w:r>
      <w:bookmarkEnd w:id="554"/>
      <w:bookmarkEnd w:id="555"/>
      <w:bookmarkEnd w:id="556"/>
      <w:bookmarkEnd w:id="557"/>
      <w:bookmarkEnd w:id="558"/>
      <w:bookmarkEnd w:id="559"/>
      <w:bookmarkEnd w:id="560"/>
      <w:bookmarkEnd w:id="561"/>
      <w:bookmarkEnd w:id="562"/>
    </w:p>
    <w:p w14:paraId="59D69480">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bookmarkStart w:id="563" w:name="_Toc422322545"/>
      <w:bookmarkStart w:id="564" w:name="_Toc419045120"/>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.1合同变更</w:t>
      </w:r>
      <w:bookmarkEnd w:id="563"/>
      <w:bookmarkEnd w:id="564"/>
    </w:p>
    <w:p w14:paraId="62606B59">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.1.2除不可抗力外，因非咨询人方原因导致咨询人方履行合同期限延长、内容增加时，咨询人方应当将此情况与可能产生的影响及时通知委托人。经委托人</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出资人（建设单位）</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 xml:space="preserve">批准，增加的工作时间或工作内容应视为附加工作。附加工作酬金的确定方法由双方根据委托的服务范围及工作内容参考专用条件，以补充合同等书面方式另行约定。 </w:t>
      </w:r>
    </w:p>
    <w:p w14:paraId="788EA1FA">
      <w:pPr>
        <w:pageBreakBefore w:val="0"/>
        <w:kinsoku/>
        <w:overflowPunct/>
        <w:bidi w:val="0"/>
        <w:snapToGrid w:val="0"/>
        <w:spacing w:beforeLines="0" w:afterLines="0" w:line="360" w:lineRule="auto"/>
        <w:ind w:left="0" w:leftChars="0" w:right="0" w:firstLine="480" w:firstLineChars="200"/>
        <w:rPr>
          <w:rStyle w:val="228"/>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.1.4因工程规模、服务范围及内容的变化等导致咨询人的工作量增减时，服务酬金的调整方法：</w:t>
      </w:r>
      <w:r>
        <w:rPr>
          <w:rFonts w:hint="eastAsia" w:ascii="宋体" w:hAnsi="宋体" w:eastAsia="宋体" w:cs="宋体"/>
          <w:color w:val="auto"/>
          <w:sz w:val="24"/>
          <w:szCs w:val="24"/>
          <w:highlight w:val="none"/>
          <w:u w:val="single"/>
        </w:rPr>
        <w:t>服务酬金应作相应调整，调整方法参考专用条件，以补充合同等书面方式另行约定</w:t>
      </w:r>
      <w:r>
        <w:rPr>
          <w:rFonts w:hint="eastAsia" w:ascii="宋体" w:hAnsi="宋体" w:eastAsia="宋体" w:cs="宋体"/>
          <w:color w:val="auto"/>
          <w:sz w:val="24"/>
          <w:szCs w:val="24"/>
          <w:highlight w:val="none"/>
        </w:rPr>
        <w:t>。</w:t>
      </w:r>
    </w:p>
    <w:p w14:paraId="2491592E">
      <w:pPr>
        <w:pageBreakBefore w:val="0"/>
        <w:widowControl w:val="0"/>
        <w:kinsoku/>
        <w:overflowPunct/>
        <w:bidi w:val="0"/>
        <w:snapToGrid w:val="0"/>
        <w:spacing w:beforeLines="0" w:afterLines="0" w:line="360" w:lineRule="auto"/>
        <w:ind w:left="0" w:leftChars="0" w:right="0" w:firstLine="480" w:firstLineChars="200"/>
        <w:jc w:val="left"/>
        <w:outlineLvl w:val="1"/>
        <w:rPr>
          <w:rFonts w:hint="eastAsia" w:ascii="宋体" w:hAnsi="宋体" w:eastAsia="宋体" w:cs="宋体"/>
          <w:b/>
          <w:color w:val="auto"/>
          <w:kern w:val="28"/>
          <w:sz w:val="24"/>
          <w:szCs w:val="24"/>
          <w:highlight w:val="none"/>
          <w:lang w:val="en-US" w:eastAsia="zh-CN" w:bidi="ar-SA"/>
        </w:rPr>
      </w:pPr>
      <w:bookmarkStart w:id="565" w:name="_Toc490753393"/>
      <w:bookmarkStart w:id="566" w:name="_Toc3695"/>
      <w:bookmarkStart w:id="567" w:name="_Toc422322546"/>
      <w:bookmarkStart w:id="568" w:name="_Toc9630"/>
      <w:bookmarkStart w:id="569" w:name="_Toc489278559"/>
      <w:r>
        <w:rPr>
          <w:rFonts w:hint="eastAsia" w:ascii="宋体" w:hAnsi="宋体" w:cs="宋体"/>
          <w:b w:val="0"/>
          <w:color w:val="auto"/>
          <w:kern w:val="28"/>
          <w:sz w:val="24"/>
          <w:szCs w:val="24"/>
          <w:highlight w:val="none"/>
          <w:lang w:val="en-US" w:eastAsia="zh-CN" w:bidi="ar-SA"/>
        </w:rPr>
        <w:t>8</w:t>
      </w:r>
      <w:r>
        <w:rPr>
          <w:rFonts w:hint="eastAsia" w:ascii="宋体" w:hAnsi="宋体" w:eastAsia="宋体" w:cs="宋体"/>
          <w:b w:val="0"/>
          <w:color w:val="auto"/>
          <w:kern w:val="28"/>
          <w:sz w:val="24"/>
          <w:szCs w:val="24"/>
          <w:highlight w:val="none"/>
          <w:lang w:val="en-US" w:eastAsia="zh-CN" w:bidi="ar-SA"/>
        </w:rPr>
        <w:t>.2合同解除</w:t>
      </w:r>
      <w:bookmarkEnd w:id="565"/>
      <w:bookmarkEnd w:id="566"/>
      <w:bookmarkEnd w:id="567"/>
      <w:bookmarkEnd w:id="568"/>
      <w:bookmarkEnd w:id="569"/>
    </w:p>
    <w:p w14:paraId="0E84DEAD">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约定解除合同的条件还包括：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0C7F2AE1">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.2.4因不可抗力导致的合同解除，</w:t>
      </w:r>
      <w:r>
        <w:rPr>
          <w:rFonts w:hint="eastAsia" w:ascii="宋体" w:hAnsi="宋体" w:cs="宋体"/>
          <w:color w:val="auto"/>
          <w:sz w:val="24"/>
          <w:szCs w:val="24"/>
          <w:highlight w:val="none"/>
          <w:u w:val="single"/>
          <w:lang w:eastAsia="zh-CN"/>
        </w:rPr>
        <w:t>四方</w:t>
      </w:r>
      <w:r>
        <w:rPr>
          <w:rFonts w:hint="eastAsia" w:ascii="宋体" w:hAnsi="宋体" w:eastAsia="宋体" w:cs="宋体"/>
          <w:color w:val="auto"/>
          <w:sz w:val="24"/>
          <w:szCs w:val="24"/>
          <w:highlight w:val="none"/>
          <w:u w:val="single"/>
        </w:rPr>
        <w:t>约定损失的分担如下：其损失的分担按照合理分担的原则由合同当事人参考专用条件，以补充合同等书面方式另行约定。除不可抗力外因非咨询人原因导致的合同解除，其损失由委托人承担。因咨询人自身原因导致的合同解除，按照违约责任处理</w:t>
      </w:r>
      <w:r>
        <w:rPr>
          <w:rFonts w:hint="eastAsia" w:ascii="宋体" w:hAnsi="宋体" w:eastAsia="宋体" w:cs="宋体"/>
          <w:color w:val="auto"/>
          <w:sz w:val="24"/>
          <w:szCs w:val="24"/>
          <w:highlight w:val="none"/>
        </w:rPr>
        <w:t>。</w:t>
      </w:r>
      <w:bookmarkStart w:id="570" w:name="_Toc25405"/>
      <w:bookmarkStart w:id="571" w:name="_Toc285"/>
      <w:bookmarkStart w:id="572" w:name="_Toc490753394"/>
      <w:bookmarkStart w:id="573" w:name="_Toc489278560"/>
      <w:bookmarkStart w:id="574" w:name="_Toc422322547"/>
      <w:bookmarkStart w:id="575" w:name="_Toc32490"/>
      <w:bookmarkStart w:id="576" w:name="_Toc20663"/>
      <w:bookmarkStart w:id="577" w:name="_Toc419045121"/>
      <w:bookmarkStart w:id="578" w:name="_Toc23751"/>
    </w:p>
    <w:p w14:paraId="4291FF20">
      <w:pPr>
        <w:pageBreakBefore w:val="0"/>
        <w:widowControl w:val="0"/>
        <w:kinsoku/>
        <w:overflowPunct/>
        <w:bidi w:val="0"/>
        <w:adjustRightInd w:val="0"/>
        <w:snapToGrid w:val="0"/>
        <w:spacing w:beforeLines="0" w:afterLines="0" w:line="360" w:lineRule="auto"/>
        <w:ind w:left="0" w:leftChars="0" w:right="0" w:firstLine="482" w:firstLineChars="200"/>
        <w:jc w:val="left"/>
        <w:outlineLvl w:val="1"/>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9</w:t>
      </w:r>
      <w:r>
        <w:rPr>
          <w:rFonts w:hint="eastAsia" w:ascii="宋体" w:hAnsi="宋体" w:eastAsia="宋体" w:cs="宋体"/>
          <w:b/>
          <w:color w:val="auto"/>
          <w:kern w:val="2"/>
          <w:sz w:val="24"/>
          <w:szCs w:val="24"/>
          <w:highlight w:val="none"/>
          <w:lang w:val="en-US" w:eastAsia="zh-CN" w:bidi="ar-SA"/>
        </w:rPr>
        <w:t>. 争议解决</w:t>
      </w:r>
      <w:bookmarkEnd w:id="570"/>
      <w:bookmarkEnd w:id="571"/>
      <w:bookmarkEnd w:id="572"/>
      <w:bookmarkEnd w:id="573"/>
      <w:bookmarkEnd w:id="574"/>
      <w:bookmarkEnd w:id="575"/>
      <w:bookmarkEnd w:id="576"/>
      <w:bookmarkEnd w:id="577"/>
      <w:bookmarkEnd w:id="578"/>
    </w:p>
    <w:p w14:paraId="156210EF">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bookmarkStart w:id="579" w:name="_Toc419045122"/>
      <w:bookmarkStart w:id="580" w:name="_Toc422322548"/>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.2调解</w:t>
      </w:r>
      <w:bookmarkEnd w:id="579"/>
      <w:bookmarkEnd w:id="580"/>
    </w:p>
    <w:p w14:paraId="38CE049F">
      <w:pPr>
        <w:pageBreakBefore w:val="0"/>
        <w:kinsoku/>
        <w:overflowPunct/>
        <w:bidi w:val="0"/>
        <w:snapToGrid w:val="0"/>
        <w:spacing w:beforeLines="0" w:afterLines="0" w:line="360" w:lineRule="auto"/>
        <w:ind w:left="0" w:leftChars="0" w:right="0" w:firstLine="480" w:firstLineChars="200"/>
        <w:rPr>
          <w:rStyle w:val="228"/>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合同在履行过程中发生争议，委托人</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出资人（建设单位）</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与咨询人应及时协商解决；如未能达成一致，可提交有关主管部门调解；</w:t>
      </w:r>
    </w:p>
    <w:p w14:paraId="76EEA94B">
      <w:pPr>
        <w:pageBreakBefore w:val="0"/>
        <w:widowControl w:val="0"/>
        <w:kinsoku/>
        <w:overflowPunct/>
        <w:bidi w:val="0"/>
        <w:snapToGrid w:val="0"/>
        <w:spacing w:beforeLines="0" w:afterLines="0" w:line="360" w:lineRule="auto"/>
        <w:ind w:left="0" w:leftChars="0" w:right="0" w:firstLine="480" w:firstLineChars="200"/>
        <w:jc w:val="left"/>
        <w:outlineLvl w:val="1"/>
        <w:rPr>
          <w:rFonts w:hint="eastAsia" w:ascii="宋体" w:hAnsi="宋体" w:eastAsia="宋体" w:cs="宋体"/>
          <w:b/>
          <w:color w:val="auto"/>
          <w:kern w:val="28"/>
          <w:sz w:val="24"/>
          <w:szCs w:val="24"/>
          <w:highlight w:val="none"/>
          <w:lang w:val="en-US" w:eastAsia="zh-CN" w:bidi="ar-SA"/>
        </w:rPr>
      </w:pPr>
      <w:bookmarkStart w:id="581" w:name="_Toc6531"/>
      <w:bookmarkStart w:id="582" w:name="_Toc489278561"/>
      <w:bookmarkStart w:id="583" w:name="_Toc32604"/>
      <w:bookmarkStart w:id="584" w:name="_Toc490753395"/>
      <w:bookmarkStart w:id="585" w:name="_Toc422322549"/>
      <w:r>
        <w:rPr>
          <w:rFonts w:hint="eastAsia" w:ascii="宋体" w:hAnsi="宋体" w:cs="宋体"/>
          <w:b w:val="0"/>
          <w:color w:val="auto"/>
          <w:kern w:val="28"/>
          <w:sz w:val="24"/>
          <w:szCs w:val="24"/>
          <w:highlight w:val="none"/>
          <w:lang w:val="en-US" w:eastAsia="zh-CN" w:bidi="ar-SA"/>
        </w:rPr>
        <w:t>9</w:t>
      </w:r>
      <w:r>
        <w:rPr>
          <w:rFonts w:hint="eastAsia" w:ascii="宋体" w:hAnsi="宋体" w:eastAsia="宋体" w:cs="宋体"/>
          <w:b w:val="0"/>
          <w:color w:val="auto"/>
          <w:kern w:val="28"/>
          <w:sz w:val="24"/>
          <w:szCs w:val="24"/>
          <w:highlight w:val="none"/>
          <w:lang w:val="en-US" w:eastAsia="zh-CN" w:bidi="ar-SA"/>
        </w:rPr>
        <w:t>.3仲裁或诉讼</w:t>
      </w:r>
      <w:bookmarkEnd w:id="581"/>
      <w:bookmarkEnd w:id="582"/>
      <w:bookmarkEnd w:id="583"/>
      <w:bookmarkEnd w:id="584"/>
      <w:bookmarkEnd w:id="585"/>
    </w:p>
    <w:p w14:paraId="60C4633D">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合同争议的最终解决方式为下列第（2）种方式：</w:t>
      </w:r>
    </w:p>
    <w:p w14:paraId="7584FE2F">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（1）提请</w:t>
      </w:r>
      <w:r>
        <w:rPr>
          <w:rFonts w:hint="eastAsia" w:ascii="宋体" w:hAnsi="宋体" w:eastAsia="宋体" w:cs="宋体"/>
          <w:color w:val="auto"/>
          <w:sz w:val="24"/>
          <w:szCs w:val="24"/>
          <w:highlight w:val="none"/>
          <w:u w:val="single"/>
        </w:rPr>
        <w:t>项目所在地</w:t>
      </w:r>
      <w:r>
        <w:rPr>
          <w:rFonts w:hint="eastAsia" w:ascii="宋体" w:hAnsi="宋体" w:eastAsia="宋体" w:cs="宋体"/>
          <w:color w:val="auto"/>
          <w:sz w:val="24"/>
          <w:szCs w:val="24"/>
          <w:highlight w:val="none"/>
        </w:rPr>
        <w:t>仲裁委员会进行仲裁。</w:t>
      </w:r>
    </w:p>
    <w:p w14:paraId="59F4F1A8">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佛山市南海区</w:t>
      </w:r>
      <w:r>
        <w:rPr>
          <w:rFonts w:hint="eastAsia" w:ascii="宋体" w:hAnsi="宋体" w:eastAsia="宋体" w:cs="宋体"/>
          <w:color w:val="auto"/>
          <w:sz w:val="24"/>
          <w:szCs w:val="24"/>
          <w:highlight w:val="none"/>
        </w:rPr>
        <w:t>人民法院提起诉讼。</w:t>
      </w:r>
      <w:bookmarkStart w:id="586" w:name="_Toc7412"/>
      <w:bookmarkStart w:id="587" w:name="_Toc419045123"/>
      <w:bookmarkStart w:id="588" w:name="_Toc489278562"/>
      <w:bookmarkStart w:id="589" w:name="_Toc8631"/>
      <w:bookmarkStart w:id="590" w:name="_Toc6508"/>
      <w:bookmarkStart w:id="591" w:name="_Toc422322550"/>
      <w:bookmarkStart w:id="592" w:name="_Toc12875"/>
      <w:bookmarkStart w:id="593" w:name="_Toc4533"/>
      <w:bookmarkStart w:id="594" w:name="_Toc490753396"/>
    </w:p>
    <w:p w14:paraId="40B06960">
      <w:pPr>
        <w:pageBreakBefore w:val="0"/>
        <w:widowControl w:val="0"/>
        <w:kinsoku/>
        <w:overflowPunct/>
        <w:bidi w:val="0"/>
        <w:adjustRightInd w:val="0"/>
        <w:snapToGrid w:val="0"/>
        <w:spacing w:beforeLines="0" w:afterLines="0" w:line="360" w:lineRule="auto"/>
        <w:ind w:left="0" w:leftChars="0" w:right="0" w:firstLine="482" w:firstLineChars="200"/>
        <w:jc w:val="left"/>
        <w:outlineLvl w:val="1"/>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10</w:t>
      </w:r>
      <w:r>
        <w:rPr>
          <w:rFonts w:hint="eastAsia" w:ascii="宋体" w:hAnsi="宋体" w:eastAsia="宋体" w:cs="宋体"/>
          <w:b/>
          <w:color w:val="auto"/>
          <w:kern w:val="2"/>
          <w:sz w:val="24"/>
          <w:szCs w:val="24"/>
          <w:highlight w:val="none"/>
          <w:lang w:val="en-US" w:eastAsia="zh-CN" w:bidi="ar-SA"/>
        </w:rPr>
        <w:t>. 其他</w:t>
      </w:r>
      <w:bookmarkEnd w:id="586"/>
      <w:bookmarkEnd w:id="587"/>
      <w:bookmarkEnd w:id="588"/>
      <w:bookmarkEnd w:id="589"/>
      <w:bookmarkEnd w:id="590"/>
      <w:bookmarkEnd w:id="591"/>
      <w:bookmarkEnd w:id="592"/>
      <w:bookmarkEnd w:id="593"/>
      <w:bookmarkEnd w:id="594"/>
    </w:p>
    <w:p w14:paraId="1F0AD12C">
      <w:pPr>
        <w:pageBreakBefore w:val="0"/>
        <w:widowControl w:val="0"/>
        <w:kinsoku/>
        <w:overflowPunct/>
        <w:bidi w:val="0"/>
        <w:snapToGrid w:val="0"/>
        <w:spacing w:beforeLines="0" w:afterLines="0" w:line="360" w:lineRule="auto"/>
        <w:ind w:left="0" w:leftChars="0" w:right="0" w:firstLine="480" w:firstLineChars="200"/>
        <w:jc w:val="left"/>
        <w:outlineLvl w:val="1"/>
        <w:rPr>
          <w:rFonts w:hint="eastAsia" w:ascii="宋体" w:hAnsi="宋体" w:eastAsia="宋体" w:cs="宋体"/>
          <w:b w:val="0"/>
          <w:color w:val="auto"/>
          <w:kern w:val="28"/>
          <w:sz w:val="24"/>
          <w:szCs w:val="24"/>
          <w:highlight w:val="none"/>
          <w:lang w:val="en-US" w:eastAsia="zh-CN" w:bidi="ar-SA"/>
        </w:rPr>
      </w:pPr>
      <w:bookmarkStart w:id="595" w:name="_Toc4838"/>
      <w:bookmarkStart w:id="596" w:name="_Toc422322551"/>
      <w:bookmarkStart w:id="597" w:name="_Toc489278563"/>
      <w:bookmarkStart w:id="598" w:name="_Toc13715"/>
      <w:bookmarkStart w:id="599" w:name="_Toc490753397"/>
      <w:r>
        <w:rPr>
          <w:rFonts w:hint="eastAsia" w:ascii="宋体" w:hAnsi="宋体" w:cs="宋体"/>
          <w:b w:val="0"/>
          <w:color w:val="auto"/>
          <w:kern w:val="28"/>
          <w:sz w:val="24"/>
          <w:szCs w:val="24"/>
          <w:highlight w:val="none"/>
          <w:lang w:val="en-US" w:eastAsia="zh-CN" w:bidi="ar-SA"/>
        </w:rPr>
        <w:t>10</w:t>
      </w:r>
      <w:r>
        <w:rPr>
          <w:rFonts w:hint="eastAsia" w:ascii="宋体" w:hAnsi="宋体" w:eastAsia="宋体" w:cs="宋体"/>
          <w:b w:val="0"/>
          <w:color w:val="auto"/>
          <w:kern w:val="28"/>
          <w:sz w:val="24"/>
          <w:szCs w:val="24"/>
          <w:highlight w:val="none"/>
          <w:lang w:val="en-US" w:eastAsia="zh-CN" w:bidi="ar-SA"/>
        </w:rPr>
        <w:t>.1考察及相关费用</w:t>
      </w:r>
      <w:bookmarkEnd w:id="595"/>
      <w:bookmarkEnd w:id="596"/>
      <w:bookmarkEnd w:id="597"/>
      <w:bookmarkEnd w:id="598"/>
      <w:bookmarkEnd w:id="599"/>
    </w:p>
    <w:p w14:paraId="4F47210A">
      <w:pPr>
        <w:pageBreakBefore w:val="0"/>
        <w:kinsoku/>
        <w:overflowPunct/>
        <w:bidi w:val="0"/>
        <w:snapToGrid w:val="0"/>
        <w:spacing w:beforeLines="0" w:afterLines="0" w:line="360" w:lineRule="auto"/>
        <w:ind w:left="0" w:leftChars="0" w:right="0" w:firstLine="480" w:firstLineChars="200"/>
        <w:rPr>
          <w:rStyle w:val="228"/>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w:t>
      </w:r>
    </w:p>
    <w:p w14:paraId="38CD9E30">
      <w:pPr>
        <w:pageBreakBefore w:val="0"/>
        <w:widowControl w:val="0"/>
        <w:kinsoku/>
        <w:overflowPunct/>
        <w:bidi w:val="0"/>
        <w:snapToGrid w:val="0"/>
        <w:spacing w:beforeLines="0" w:afterLines="0" w:line="360" w:lineRule="auto"/>
        <w:ind w:left="0" w:leftChars="0" w:right="0" w:firstLine="480" w:firstLineChars="200"/>
        <w:jc w:val="left"/>
        <w:outlineLvl w:val="1"/>
        <w:rPr>
          <w:rFonts w:hint="eastAsia" w:ascii="宋体" w:hAnsi="宋体" w:eastAsia="宋体" w:cs="宋体"/>
          <w:b/>
          <w:color w:val="auto"/>
          <w:kern w:val="28"/>
          <w:sz w:val="24"/>
          <w:szCs w:val="24"/>
          <w:highlight w:val="none"/>
          <w:lang w:val="en-US" w:eastAsia="zh-CN" w:bidi="ar-SA"/>
        </w:rPr>
      </w:pPr>
      <w:bookmarkStart w:id="600" w:name="_Toc489278564"/>
      <w:bookmarkStart w:id="601" w:name="_Toc14187"/>
      <w:bookmarkStart w:id="602" w:name="_Toc490753398"/>
      <w:bookmarkStart w:id="603" w:name="_Toc422322552"/>
      <w:bookmarkStart w:id="604" w:name="_Toc15793"/>
      <w:r>
        <w:rPr>
          <w:rFonts w:hint="eastAsia" w:ascii="宋体" w:hAnsi="宋体" w:cs="宋体"/>
          <w:b w:val="0"/>
          <w:color w:val="auto"/>
          <w:kern w:val="28"/>
          <w:sz w:val="24"/>
          <w:szCs w:val="24"/>
          <w:highlight w:val="none"/>
          <w:lang w:val="en-US" w:eastAsia="zh-CN" w:bidi="ar-SA"/>
        </w:rPr>
        <w:t>10</w:t>
      </w:r>
      <w:r>
        <w:rPr>
          <w:rFonts w:hint="eastAsia" w:ascii="宋体" w:hAnsi="宋体" w:eastAsia="宋体" w:cs="宋体"/>
          <w:b w:val="0"/>
          <w:color w:val="auto"/>
          <w:kern w:val="28"/>
          <w:sz w:val="24"/>
          <w:szCs w:val="24"/>
          <w:highlight w:val="none"/>
          <w:lang w:val="en-US" w:eastAsia="zh-CN" w:bidi="ar-SA"/>
        </w:rPr>
        <w:t>.2奖励</w:t>
      </w:r>
      <w:bookmarkEnd w:id="600"/>
      <w:bookmarkEnd w:id="601"/>
      <w:bookmarkEnd w:id="602"/>
      <w:bookmarkEnd w:id="603"/>
      <w:bookmarkEnd w:id="604"/>
    </w:p>
    <w:p w14:paraId="5A2D74D9">
      <w:pPr>
        <w:pageBreakBefore w:val="0"/>
        <w:kinsoku/>
        <w:overflowPunct/>
        <w:bidi w:val="0"/>
        <w:snapToGrid w:val="0"/>
        <w:spacing w:beforeLines="0" w:afterLines="0" w:line="360" w:lineRule="auto"/>
        <w:ind w:left="0" w:leftChars="0" w:right="0" w:firstLine="480" w:firstLineChars="200"/>
        <w:rPr>
          <w:rStyle w:val="228"/>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合理化建议的奖励金额按下列方法确定：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E74C54A">
      <w:pPr>
        <w:pageBreakBefore w:val="0"/>
        <w:widowControl w:val="0"/>
        <w:kinsoku/>
        <w:overflowPunct/>
        <w:bidi w:val="0"/>
        <w:snapToGrid w:val="0"/>
        <w:spacing w:beforeLines="0" w:afterLines="0" w:line="360" w:lineRule="auto"/>
        <w:ind w:left="0" w:leftChars="0" w:right="0" w:firstLine="480" w:firstLineChars="200"/>
        <w:jc w:val="left"/>
        <w:outlineLvl w:val="1"/>
        <w:rPr>
          <w:rFonts w:hint="eastAsia" w:ascii="宋体" w:hAnsi="宋体" w:eastAsia="宋体" w:cs="宋体"/>
          <w:b/>
          <w:color w:val="auto"/>
          <w:kern w:val="28"/>
          <w:sz w:val="24"/>
          <w:szCs w:val="24"/>
          <w:highlight w:val="none"/>
          <w:lang w:val="en-US" w:eastAsia="zh-CN" w:bidi="ar-SA"/>
        </w:rPr>
      </w:pPr>
      <w:bookmarkStart w:id="605" w:name="_Toc422322553"/>
      <w:bookmarkStart w:id="606" w:name="_Toc490753399"/>
      <w:bookmarkStart w:id="607" w:name="_Toc12027"/>
      <w:bookmarkStart w:id="608" w:name="_Toc12059"/>
      <w:bookmarkStart w:id="609" w:name="_Toc489278565"/>
      <w:r>
        <w:rPr>
          <w:rFonts w:hint="eastAsia" w:ascii="宋体" w:hAnsi="宋体" w:cs="宋体"/>
          <w:b w:val="0"/>
          <w:color w:val="auto"/>
          <w:kern w:val="28"/>
          <w:sz w:val="24"/>
          <w:szCs w:val="24"/>
          <w:highlight w:val="none"/>
          <w:lang w:val="en-US" w:eastAsia="zh-CN" w:bidi="ar-SA"/>
        </w:rPr>
        <w:t>10</w:t>
      </w:r>
      <w:r>
        <w:rPr>
          <w:rFonts w:hint="eastAsia" w:ascii="宋体" w:hAnsi="宋体" w:eastAsia="宋体" w:cs="宋体"/>
          <w:b w:val="0"/>
          <w:color w:val="auto"/>
          <w:kern w:val="28"/>
          <w:sz w:val="24"/>
          <w:szCs w:val="24"/>
          <w:highlight w:val="none"/>
          <w:lang w:val="en-US" w:eastAsia="zh-CN" w:bidi="ar-SA"/>
        </w:rPr>
        <w:t>.3保密</w:t>
      </w:r>
      <w:bookmarkEnd w:id="605"/>
      <w:bookmarkEnd w:id="606"/>
      <w:bookmarkEnd w:id="607"/>
      <w:bookmarkEnd w:id="608"/>
      <w:bookmarkEnd w:id="609"/>
    </w:p>
    <w:p w14:paraId="05BB290E">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咨询人在项目实施过程中，对委托人</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出资人（建设单位）</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所提供的所有相关资料、数据，未经委托人</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出资人（建设单位）</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书面同意不得向任何第三人泄露，且保密责任不因合同的终止或解除而失效。如采购提出要求，咨询人须无条件与委托人</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出资人（建设单位）</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签定保密协议。</w:t>
      </w:r>
    </w:p>
    <w:p w14:paraId="61E0FC75">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委托人</w:t>
      </w:r>
      <w:r>
        <w:rPr>
          <w:rFonts w:hint="eastAsia" w:ascii="宋体" w:hAnsi="宋体" w:eastAsia="宋体" w:cs="宋体"/>
          <w:color w:val="auto"/>
          <w:sz w:val="24"/>
          <w:szCs w:val="24"/>
          <w:highlight w:val="none"/>
        </w:rPr>
        <w:t>申明的保密事项和期限：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9ED1A34">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咨询人申明的保密事项和期限：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2A320D62">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出资人（建设单位）申明的保密事项和期限：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lang w:val="en-US" w:eastAsia="zh-CN"/>
        </w:rPr>
        <w:t>。</w:t>
      </w:r>
    </w:p>
    <w:p w14:paraId="393E05FB">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代建单位</w:t>
      </w:r>
      <w:r>
        <w:rPr>
          <w:rFonts w:hint="eastAsia" w:ascii="宋体" w:hAnsi="宋体" w:eastAsia="宋体" w:cs="宋体"/>
          <w:bCs/>
          <w:color w:val="auto"/>
          <w:sz w:val="24"/>
          <w:szCs w:val="24"/>
          <w:highlight w:val="none"/>
          <w:lang w:val="en-US" w:eastAsia="zh-CN"/>
        </w:rPr>
        <w:t>申明的保密事项和期限：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lang w:val="en-US" w:eastAsia="zh-CN"/>
        </w:rPr>
        <w:t>。</w:t>
      </w:r>
    </w:p>
    <w:p w14:paraId="392E0314">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第</w:t>
      </w:r>
      <w:r>
        <w:rPr>
          <w:rFonts w:hint="eastAsia" w:ascii="宋体" w:hAnsi="宋体" w:eastAsia="宋体" w:cs="宋体"/>
          <w:color w:val="auto"/>
          <w:sz w:val="24"/>
          <w:szCs w:val="24"/>
          <w:highlight w:val="none"/>
        </w:rPr>
        <w:t>三人申明的保密事项和期限：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EB96CFA">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bookmarkStart w:id="610" w:name="_Toc422322554"/>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.4联络</w:t>
      </w:r>
      <w:bookmarkEnd w:id="610"/>
    </w:p>
    <w:p w14:paraId="38B852F5">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.4.1任何一方与合同有关的通知、指示、要求、决定等，均应在</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日内送达对方指定的接收人和送达地点。</w:t>
      </w:r>
    </w:p>
    <w:p w14:paraId="58F37872">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.4.2委托人指定的送达接收人：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，送达地点：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E5CB432">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咨询人指定的送达接收人：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，送达地点：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A86ED14">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bookmarkStart w:id="611" w:name="_Toc419045124"/>
      <w:bookmarkStart w:id="612" w:name="_Toc422322555"/>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.5知识产权</w:t>
      </w:r>
      <w:bookmarkEnd w:id="611"/>
      <w:bookmarkEnd w:id="612"/>
    </w:p>
    <w:p w14:paraId="193551F8">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出资人（建设单位）</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提供给咨询人的图纸、委托人为实施工程自行编制或委托编制的技术规范以及反映委托人</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出资人（建设单位）</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要求的或其他类似性质文件的著作权属于</w:t>
      </w:r>
      <w:r>
        <w:rPr>
          <w:rFonts w:hint="eastAsia" w:ascii="宋体" w:hAnsi="宋体" w:eastAsia="宋体" w:cs="宋体"/>
          <w:color w:val="auto"/>
          <w:sz w:val="24"/>
          <w:szCs w:val="24"/>
          <w:highlight w:val="none"/>
          <w:u w:val="single"/>
        </w:rPr>
        <w:t xml:space="preserve"> 委托人</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 w:val="0"/>
          <w:bCs/>
          <w:color w:val="auto"/>
          <w:kern w:val="2"/>
          <w:sz w:val="24"/>
          <w:szCs w:val="24"/>
          <w:highlight w:val="none"/>
          <w:u w:val="single"/>
          <w:lang w:val="en-US" w:eastAsia="zh-CN" w:bidi="ar-SA"/>
        </w:rPr>
        <w:t>出资人（建设单位）</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F0889E">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咨询人为履行本合同约定而编制的成果文件，其著作权属于</w:t>
      </w:r>
      <w:r>
        <w:rPr>
          <w:rFonts w:hint="eastAsia" w:ascii="宋体" w:hAnsi="宋体" w:eastAsia="宋体" w:cs="宋体"/>
          <w:color w:val="auto"/>
          <w:sz w:val="24"/>
          <w:szCs w:val="24"/>
          <w:highlight w:val="none"/>
          <w:u w:val="single"/>
        </w:rPr>
        <w:t xml:space="preserve"> 委托人</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 w:val="0"/>
          <w:bCs/>
          <w:color w:val="auto"/>
          <w:kern w:val="2"/>
          <w:sz w:val="24"/>
          <w:szCs w:val="24"/>
          <w:highlight w:val="none"/>
          <w:u w:val="single"/>
          <w:lang w:val="en-US" w:eastAsia="zh-CN" w:bidi="ar-SA"/>
        </w:rPr>
        <w:t>出资人（建设单位）</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6600899">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四方</w:t>
      </w:r>
      <w:r>
        <w:rPr>
          <w:rFonts w:hint="eastAsia" w:ascii="宋体" w:hAnsi="宋体" w:eastAsia="宋体" w:cs="宋体"/>
          <w:color w:val="auto"/>
          <w:sz w:val="24"/>
          <w:szCs w:val="24"/>
          <w:highlight w:val="none"/>
        </w:rPr>
        <w:t>将履行本合同形成的有关成果文件用于企业宣传、申报奖项以及接受上级主管部门的检查须遵守以下约定：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E5455CA">
      <w:pPr>
        <w:pageBreakBefore w:val="0"/>
        <w:widowControl w:val="0"/>
        <w:kinsoku/>
        <w:overflowPunct/>
        <w:bidi w:val="0"/>
        <w:adjustRightInd w:val="0"/>
        <w:snapToGrid w:val="0"/>
        <w:spacing w:beforeLines="0" w:afterLines="0" w:line="360" w:lineRule="auto"/>
        <w:ind w:left="0" w:leftChars="0" w:right="0" w:firstLine="482" w:firstLineChars="200"/>
        <w:jc w:val="left"/>
        <w:outlineLvl w:val="1"/>
        <w:rPr>
          <w:rFonts w:hint="eastAsia" w:ascii="宋体" w:hAnsi="宋体" w:eastAsia="宋体" w:cs="宋体"/>
          <w:b/>
          <w:color w:val="auto"/>
          <w:kern w:val="2"/>
          <w:sz w:val="24"/>
          <w:szCs w:val="24"/>
          <w:highlight w:val="none"/>
          <w:lang w:val="en-US" w:eastAsia="zh-CN" w:bidi="ar-SA"/>
        </w:rPr>
      </w:pPr>
      <w:bookmarkStart w:id="613" w:name="_Toc422322556"/>
      <w:bookmarkStart w:id="614" w:name="_Toc419045125"/>
      <w:bookmarkStart w:id="615" w:name="_Toc489278566"/>
      <w:bookmarkStart w:id="616" w:name="_Toc16563"/>
      <w:bookmarkStart w:id="617" w:name="_Toc9809"/>
      <w:bookmarkStart w:id="618" w:name="_Toc490753400"/>
      <w:bookmarkStart w:id="619" w:name="_Toc6350"/>
      <w:bookmarkStart w:id="620" w:name="_Toc32369"/>
      <w:bookmarkStart w:id="621" w:name="_Toc21435"/>
      <w:r>
        <w:rPr>
          <w:rFonts w:hint="eastAsia" w:ascii="宋体" w:hAnsi="宋体" w:cs="宋体"/>
          <w:b/>
          <w:color w:val="auto"/>
          <w:kern w:val="2"/>
          <w:sz w:val="24"/>
          <w:szCs w:val="24"/>
          <w:highlight w:val="none"/>
          <w:lang w:val="en-US" w:eastAsia="zh-CN" w:bidi="ar-SA"/>
        </w:rPr>
        <w:t>11</w:t>
      </w:r>
      <w:r>
        <w:rPr>
          <w:rFonts w:hint="eastAsia" w:ascii="宋体" w:hAnsi="宋体" w:eastAsia="宋体" w:cs="宋体"/>
          <w:b/>
          <w:color w:val="auto"/>
          <w:kern w:val="2"/>
          <w:sz w:val="24"/>
          <w:szCs w:val="24"/>
          <w:highlight w:val="none"/>
          <w:lang w:val="en-US" w:eastAsia="zh-CN" w:bidi="ar-SA"/>
        </w:rPr>
        <w:t>.补充条款</w:t>
      </w:r>
      <w:bookmarkEnd w:id="613"/>
      <w:bookmarkEnd w:id="614"/>
      <w:r>
        <w:rPr>
          <w:rFonts w:hint="eastAsia" w:ascii="宋体" w:hAnsi="宋体" w:eastAsia="宋体" w:cs="宋体"/>
          <w:b/>
          <w:color w:val="auto"/>
          <w:kern w:val="2"/>
          <w:sz w:val="24"/>
          <w:szCs w:val="24"/>
          <w:highlight w:val="none"/>
          <w:lang w:val="en-US" w:eastAsia="zh-CN" w:bidi="ar-SA"/>
        </w:rPr>
        <w:t>：</w:t>
      </w:r>
      <w:bookmarkEnd w:id="615"/>
      <w:bookmarkEnd w:id="616"/>
      <w:bookmarkEnd w:id="617"/>
      <w:bookmarkEnd w:id="618"/>
      <w:bookmarkEnd w:id="619"/>
      <w:bookmarkEnd w:id="620"/>
      <w:bookmarkEnd w:id="621"/>
    </w:p>
    <w:p w14:paraId="6C098820">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lang w:val="en-US" w:eastAsia="zh-CN"/>
        </w:rPr>
      </w:pPr>
      <w:bookmarkStart w:id="622" w:name="_Toc15466"/>
      <w:bookmarkStart w:id="623" w:name="_Toc31460"/>
      <w:bookmarkStart w:id="624" w:name="_Toc8520"/>
      <w:bookmarkStart w:id="625" w:name="_Toc7527"/>
      <w:bookmarkStart w:id="626" w:name="_Toc15403"/>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.1咨询人应向委托人提交履约担保。</w:t>
      </w:r>
    </w:p>
    <w:p w14:paraId="40186DA3">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履约保证金的形式：由</w:t>
      </w:r>
      <w:r>
        <w:rPr>
          <w:rFonts w:hint="eastAsia" w:ascii="宋体" w:hAnsi="宋体" w:eastAsia="宋体" w:cs="宋体"/>
          <w:color w:val="auto"/>
          <w:sz w:val="24"/>
          <w:szCs w:val="24"/>
          <w:highlight w:val="none"/>
          <w:lang w:val="en-US" w:eastAsia="zh-CN"/>
        </w:rPr>
        <w:t>咨询人</w:t>
      </w:r>
      <w:r>
        <w:rPr>
          <w:rFonts w:hint="eastAsia" w:ascii="宋体" w:hAnsi="宋体" w:eastAsia="宋体" w:cs="宋体"/>
          <w:color w:val="auto"/>
          <w:sz w:val="24"/>
          <w:szCs w:val="24"/>
          <w:highlight w:val="none"/>
          <w:lang w:eastAsia="zh-CN"/>
        </w:rPr>
        <w:t>自主选择</w:t>
      </w:r>
      <w:r>
        <w:rPr>
          <w:rFonts w:hint="eastAsia" w:ascii="宋体" w:hAnsi="宋体" w:eastAsia="宋体" w:cs="宋体"/>
          <w:color w:val="auto"/>
          <w:kern w:val="0"/>
          <w:sz w:val="24"/>
          <w:szCs w:val="24"/>
          <w:highlight w:val="none"/>
        </w:rPr>
        <w:t>现金或银行保函或专业担保公司保函（相关费用由中标人承担）</w:t>
      </w:r>
      <w:r>
        <w:rPr>
          <w:rFonts w:hint="eastAsia" w:ascii="宋体" w:hAnsi="宋体" w:eastAsia="宋体" w:cs="宋体"/>
          <w:color w:val="auto"/>
          <w:sz w:val="24"/>
          <w:szCs w:val="24"/>
          <w:highlight w:val="none"/>
          <w:lang w:eastAsia="zh-CN"/>
        </w:rPr>
        <w:t>。</w:t>
      </w:r>
    </w:p>
    <w:p w14:paraId="05F0C167">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履约担保金额：签约合同价</w:t>
      </w:r>
      <w:r>
        <w:rPr>
          <w:rFonts w:hint="eastAsia" w:ascii="宋体" w:hAnsi="宋体" w:eastAsia="宋体" w:cs="宋体"/>
          <w:b w:val="0"/>
          <w:bCs w:val="0"/>
          <w:color w:val="auto"/>
          <w:sz w:val="24"/>
          <w:szCs w:val="24"/>
          <w:highlight w:val="none"/>
        </w:rPr>
        <w:t>（中标价）</w:t>
      </w:r>
      <w:r>
        <w:rPr>
          <w:rFonts w:hint="eastAsia" w:ascii="宋体" w:hAnsi="宋体" w:eastAsia="宋体" w:cs="宋体"/>
          <w:color w:val="auto"/>
          <w:sz w:val="24"/>
          <w:szCs w:val="24"/>
          <w:highlight w:val="none"/>
          <w:lang w:eastAsia="zh-CN"/>
        </w:rPr>
        <w:t>的10%。</w:t>
      </w:r>
    </w:p>
    <w:p w14:paraId="0622CFB7">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提交时限：</w:t>
      </w:r>
      <w:r>
        <w:rPr>
          <w:rFonts w:hint="eastAsia" w:ascii="宋体" w:hAnsi="宋体" w:eastAsia="宋体" w:cs="宋体"/>
          <w:color w:val="auto"/>
          <w:sz w:val="24"/>
          <w:szCs w:val="24"/>
          <w:highlight w:val="none"/>
          <w:u w:val="none"/>
          <w:lang w:val="en-US" w:eastAsia="zh-CN"/>
        </w:rPr>
        <w:t>签订合同前递交</w:t>
      </w:r>
      <w:r>
        <w:rPr>
          <w:rFonts w:hint="eastAsia" w:ascii="宋体" w:hAnsi="宋体" w:eastAsia="宋体" w:cs="宋体"/>
          <w:color w:val="auto"/>
          <w:sz w:val="24"/>
          <w:szCs w:val="24"/>
          <w:highlight w:val="none"/>
          <w:lang w:eastAsia="zh-CN"/>
        </w:rPr>
        <w:t xml:space="preserve">。 </w:t>
      </w:r>
    </w:p>
    <w:p w14:paraId="602FE1AC">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u w:val="none"/>
          <w:lang w:val="en-US" w:eastAsia="zh-CN"/>
        </w:rPr>
        <w:t>如采用现金银行转账，须将履约担保转入招标人指定账户</w:t>
      </w:r>
      <w:r>
        <w:rPr>
          <w:rFonts w:hint="eastAsia" w:ascii="宋体" w:hAnsi="宋体" w:eastAsia="宋体" w:cs="宋体"/>
          <w:color w:val="auto"/>
          <w:sz w:val="24"/>
          <w:szCs w:val="24"/>
          <w:highlight w:val="none"/>
          <w:lang w:eastAsia="zh-CN"/>
        </w:rPr>
        <w:t xml:space="preserve">。 </w:t>
      </w:r>
    </w:p>
    <w:p w14:paraId="3AFDFC16">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val="en-US" w:eastAsia="zh-CN"/>
        </w:rPr>
        <w:t>如采用银行保函时，出具保函的银行级别：投标人公司注册所在地的全国性国有商业银行或股份制商业银行的二级分（支）行或以上级别的银行。履约保函应采用招标文件规定的或招标人批准同意的格式，并保证在完成合同约定的所有服务内容前一直有效。保函的正本由招标人保存。于完成所有服务内容后退还给中标人</w:t>
      </w:r>
      <w:r>
        <w:rPr>
          <w:rFonts w:hint="eastAsia" w:ascii="宋体" w:hAnsi="宋体" w:eastAsia="宋体" w:cs="宋体"/>
          <w:color w:val="auto"/>
          <w:sz w:val="24"/>
          <w:szCs w:val="24"/>
          <w:highlight w:val="none"/>
          <w:lang w:eastAsia="zh-CN"/>
        </w:rPr>
        <w:t xml:space="preserve">。 </w:t>
      </w:r>
    </w:p>
    <w:p w14:paraId="1BEFAE6B">
      <w:pPr>
        <w:pageBreakBefore w:val="0"/>
        <w:kinsoku/>
        <w:overflowPunct/>
        <w:bidi w:val="0"/>
        <w:snapToGrid w:val="0"/>
        <w:spacing w:beforeLines="0" w:afterLines="0"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u w:val="none"/>
          <w:lang w:val="en-US" w:eastAsia="zh-CN"/>
        </w:rPr>
        <w:t>履约担保退还时间的约定：在完成合同约定的所有服务内容后30日内无息退还</w:t>
      </w:r>
      <w:r>
        <w:rPr>
          <w:rFonts w:hint="eastAsia" w:ascii="宋体" w:hAnsi="宋体" w:eastAsia="宋体" w:cs="宋体"/>
          <w:color w:val="auto"/>
          <w:sz w:val="24"/>
          <w:szCs w:val="24"/>
          <w:highlight w:val="none"/>
          <w:lang w:eastAsia="zh-CN"/>
        </w:rPr>
        <w:t>。</w:t>
      </w:r>
    </w:p>
    <w:p w14:paraId="0B766487">
      <w:pPr>
        <w:pageBreakBefore w:val="0"/>
        <w:kinsoku/>
        <w:overflowPunct/>
        <w:bidi w:val="0"/>
        <w:spacing w:beforeLines="0" w:afterLines="0" w:line="360" w:lineRule="auto"/>
        <w:ind w:left="0"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45AF23C3">
      <w:pPr>
        <w:pageBreakBefore w:val="0"/>
        <w:widowControl w:val="0"/>
        <w:kinsoku/>
        <w:overflowPunct/>
        <w:bidi w:val="0"/>
        <w:adjustRightInd w:val="0"/>
        <w:snapToGrid w:val="0"/>
        <w:spacing w:beforeLines="0" w:afterLines="0" w:line="360" w:lineRule="auto"/>
        <w:ind w:left="0" w:leftChars="0" w:right="0"/>
        <w:jc w:val="left"/>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附件1：                 拟派人员名单表</w:t>
      </w:r>
      <w:bookmarkEnd w:id="622"/>
      <w:bookmarkEnd w:id="623"/>
      <w:bookmarkEnd w:id="624"/>
      <w:bookmarkEnd w:id="625"/>
      <w:bookmarkEnd w:id="626"/>
    </w:p>
    <w:tbl>
      <w:tblPr>
        <w:tblStyle w:val="63"/>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202"/>
        <w:gridCol w:w="1202"/>
        <w:gridCol w:w="1202"/>
        <w:gridCol w:w="1202"/>
        <w:gridCol w:w="1202"/>
        <w:gridCol w:w="1202"/>
        <w:gridCol w:w="1204"/>
      </w:tblGrid>
      <w:tr w14:paraId="6D73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02" w:type="dxa"/>
            <w:vMerge w:val="restart"/>
            <w:vAlign w:val="center"/>
          </w:tcPr>
          <w:p w14:paraId="7C8F1C62">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职务</w:t>
            </w:r>
          </w:p>
        </w:tc>
        <w:tc>
          <w:tcPr>
            <w:tcW w:w="1202" w:type="dxa"/>
            <w:vMerge w:val="restart"/>
            <w:vAlign w:val="center"/>
          </w:tcPr>
          <w:p w14:paraId="6CB91C52">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姓名</w:t>
            </w:r>
          </w:p>
        </w:tc>
        <w:tc>
          <w:tcPr>
            <w:tcW w:w="1202" w:type="dxa"/>
            <w:vMerge w:val="restart"/>
            <w:vAlign w:val="center"/>
          </w:tcPr>
          <w:p w14:paraId="3EE278AF">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职称</w:t>
            </w:r>
          </w:p>
        </w:tc>
        <w:tc>
          <w:tcPr>
            <w:tcW w:w="6012" w:type="dxa"/>
            <w:gridSpan w:val="5"/>
            <w:vAlign w:val="center"/>
          </w:tcPr>
          <w:p w14:paraId="55189949">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执业或职业资格证明</w:t>
            </w:r>
          </w:p>
        </w:tc>
      </w:tr>
      <w:tr w14:paraId="2467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02" w:type="dxa"/>
            <w:vMerge w:val="continue"/>
            <w:vAlign w:val="center"/>
          </w:tcPr>
          <w:p w14:paraId="7BA757CB">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Merge w:val="continue"/>
            <w:vAlign w:val="center"/>
          </w:tcPr>
          <w:p w14:paraId="550550EE">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Merge w:val="continue"/>
            <w:vAlign w:val="center"/>
          </w:tcPr>
          <w:p w14:paraId="67BC4662">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443D53DA">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证书名称</w:t>
            </w:r>
          </w:p>
        </w:tc>
        <w:tc>
          <w:tcPr>
            <w:tcW w:w="1202" w:type="dxa"/>
            <w:vAlign w:val="center"/>
          </w:tcPr>
          <w:p w14:paraId="6F2DB3D2">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级别</w:t>
            </w:r>
          </w:p>
        </w:tc>
        <w:tc>
          <w:tcPr>
            <w:tcW w:w="1202" w:type="dxa"/>
            <w:vAlign w:val="center"/>
          </w:tcPr>
          <w:p w14:paraId="0001EBF8">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证号</w:t>
            </w:r>
          </w:p>
        </w:tc>
        <w:tc>
          <w:tcPr>
            <w:tcW w:w="1202" w:type="dxa"/>
            <w:vAlign w:val="center"/>
          </w:tcPr>
          <w:p w14:paraId="1F5B47BB">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专业</w:t>
            </w:r>
          </w:p>
        </w:tc>
        <w:tc>
          <w:tcPr>
            <w:tcW w:w="1204" w:type="dxa"/>
            <w:vAlign w:val="center"/>
          </w:tcPr>
          <w:p w14:paraId="5826C352">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购买社保地区</w:t>
            </w:r>
          </w:p>
        </w:tc>
      </w:tr>
      <w:tr w14:paraId="1C19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Align w:val="center"/>
          </w:tcPr>
          <w:p w14:paraId="786FF6FE">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vAlign w:val="center"/>
          </w:tcPr>
          <w:p w14:paraId="2CBAF32E">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eastAsia="zh-CN"/>
              </w:rPr>
            </w:pPr>
          </w:p>
        </w:tc>
        <w:tc>
          <w:tcPr>
            <w:tcW w:w="1202" w:type="dxa"/>
            <w:vAlign w:val="center"/>
          </w:tcPr>
          <w:p w14:paraId="45058172">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vAlign w:val="center"/>
          </w:tcPr>
          <w:p w14:paraId="0A9684FF">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vAlign w:val="center"/>
          </w:tcPr>
          <w:p w14:paraId="34467416">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vAlign w:val="center"/>
          </w:tcPr>
          <w:p w14:paraId="08FEDC6E">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vAlign w:val="center"/>
          </w:tcPr>
          <w:p w14:paraId="78A7705B">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4" w:type="dxa"/>
            <w:vAlign w:val="center"/>
          </w:tcPr>
          <w:p w14:paraId="3E0CDC19">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r>
      <w:tr w14:paraId="4717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Align w:val="center"/>
          </w:tcPr>
          <w:p w14:paraId="44732586">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vAlign w:val="center"/>
          </w:tcPr>
          <w:p w14:paraId="7806CEEB">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vAlign w:val="center"/>
          </w:tcPr>
          <w:p w14:paraId="5726696E">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eastAsia="zh-CN"/>
              </w:rPr>
            </w:pPr>
          </w:p>
        </w:tc>
        <w:tc>
          <w:tcPr>
            <w:tcW w:w="1202" w:type="dxa"/>
            <w:vAlign w:val="center"/>
          </w:tcPr>
          <w:p w14:paraId="31A2860C">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eastAsia="zh-CN"/>
              </w:rPr>
            </w:pPr>
          </w:p>
        </w:tc>
        <w:tc>
          <w:tcPr>
            <w:tcW w:w="1202" w:type="dxa"/>
            <w:vAlign w:val="center"/>
          </w:tcPr>
          <w:p w14:paraId="4EBDEAAE">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5AF22361">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rPr>
            </w:pPr>
          </w:p>
        </w:tc>
        <w:tc>
          <w:tcPr>
            <w:tcW w:w="1202" w:type="dxa"/>
            <w:vAlign w:val="center"/>
          </w:tcPr>
          <w:p w14:paraId="65199124">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4" w:type="dxa"/>
            <w:vAlign w:val="center"/>
          </w:tcPr>
          <w:p w14:paraId="728E18D7">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r>
      <w:tr w14:paraId="247B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Align w:val="center"/>
          </w:tcPr>
          <w:p w14:paraId="176164E2">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eastAsia="zh-CN"/>
              </w:rPr>
            </w:pPr>
          </w:p>
        </w:tc>
        <w:tc>
          <w:tcPr>
            <w:tcW w:w="1202" w:type="dxa"/>
            <w:vAlign w:val="center"/>
          </w:tcPr>
          <w:p w14:paraId="15802F42">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shd w:val="clear" w:color="auto" w:fill="auto"/>
            <w:vAlign w:val="center"/>
          </w:tcPr>
          <w:p w14:paraId="2D60B333">
            <w:pPr>
              <w:pageBreakBefore w:val="0"/>
              <w:kinsoku/>
              <w:overflowPunct/>
              <w:bidi w:val="0"/>
              <w:spacing w:beforeLines="0" w:afterLines="0" w:line="360" w:lineRule="auto"/>
              <w:ind w:left="0" w:leftChars="0" w:right="0"/>
              <w:jc w:val="center"/>
              <w:rPr>
                <w:rFonts w:hint="eastAsia" w:ascii="宋体" w:hAnsi="宋体" w:eastAsia="宋体" w:cs="宋体"/>
                <w:b/>
                <w:color w:val="auto"/>
                <w:kern w:val="2"/>
                <w:sz w:val="21"/>
                <w:highlight w:val="none"/>
                <w:lang w:val="en-US" w:eastAsia="zh-CN" w:bidi="ar-SA"/>
              </w:rPr>
            </w:pPr>
          </w:p>
        </w:tc>
        <w:tc>
          <w:tcPr>
            <w:tcW w:w="1202" w:type="dxa"/>
            <w:vAlign w:val="center"/>
          </w:tcPr>
          <w:p w14:paraId="32DD58A7">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725F563B">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eastAsia="zh-CN"/>
              </w:rPr>
            </w:pPr>
          </w:p>
        </w:tc>
        <w:tc>
          <w:tcPr>
            <w:tcW w:w="1202" w:type="dxa"/>
            <w:vAlign w:val="center"/>
          </w:tcPr>
          <w:p w14:paraId="26AEA0FC">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rPr>
            </w:pPr>
          </w:p>
        </w:tc>
        <w:tc>
          <w:tcPr>
            <w:tcW w:w="1202" w:type="dxa"/>
            <w:vAlign w:val="center"/>
          </w:tcPr>
          <w:p w14:paraId="627C7645">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4" w:type="dxa"/>
            <w:vAlign w:val="center"/>
          </w:tcPr>
          <w:p w14:paraId="0923FF9F">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r>
      <w:tr w14:paraId="0C99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Align w:val="center"/>
          </w:tcPr>
          <w:p w14:paraId="237B4513">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10E998C6">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vAlign w:val="center"/>
          </w:tcPr>
          <w:p w14:paraId="729F03BD">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4EDB1516">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79D567DF">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4D4DC19B">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rPr>
            </w:pPr>
          </w:p>
        </w:tc>
        <w:tc>
          <w:tcPr>
            <w:tcW w:w="1202" w:type="dxa"/>
            <w:vAlign w:val="center"/>
          </w:tcPr>
          <w:p w14:paraId="53631100">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4" w:type="dxa"/>
            <w:vAlign w:val="center"/>
          </w:tcPr>
          <w:p w14:paraId="1109C465">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r>
      <w:tr w14:paraId="50F1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Align w:val="center"/>
          </w:tcPr>
          <w:p w14:paraId="64A0DCD4">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7229A745">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vAlign w:val="center"/>
          </w:tcPr>
          <w:p w14:paraId="502C1075">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1A624017">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48DA8F55">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vAlign w:val="center"/>
          </w:tcPr>
          <w:p w14:paraId="768C551F">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rPr>
            </w:pPr>
          </w:p>
        </w:tc>
        <w:tc>
          <w:tcPr>
            <w:tcW w:w="1202" w:type="dxa"/>
            <w:vAlign w:val="center"/>
          </w:tcPr>
          <w:p w14:paraId="6BF720C2">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4" w:type="dxa"/>
            <w:vAlign w:val="center"/>
          </w:tcPr>
          <w:p w14:paraId="3E48CEA9">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r>
      <w:tr w14:paraId="26BB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Align w:val="center"/>
          </w:tcPr>
          <w:p w14:paraId="33FF8DC1">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3832F32D">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vAlign w:val="center"/>
          </w:tcPr>
          <w:p w14:paraId="5DE091AC">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4CE219E3">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30D44ABF">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4C2D54A6">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rPr>
            </w:pPr>
          </w:p>
        </w:tc>
        <w:tc>
          <w:tcPr>
            <w:tcW w:w="1202" w:type="dxa"/>
            <w:vAlign w:val="center"/>
          </w:tcPr>
          <w:p w14:paraId="294AD6A4">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4" w:type="dxa"/>
            <w:vAlign w:val="center"/>
          </w:tcPr>
          <w:p w14:paraId="23B94267">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r>
      <w:tr w14:paraId="71DE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Align w:val="center"/>
          </w:tcPr>
          <w:p w14:paraId="367699AD">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7D62346E">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vAlign w:val="center"/>
          </w:tcPr>
          <w:p w14:paraId="606C7079">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00A0F669">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4B432587">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603ADE30">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rPr>
            </w:pPr>
          </w:p>
        </w:tc>
        <w:tc>
          <w:tcPr>
            <w:tcW w:w="1202" w:type="dxa"/>
            <w:vAlign w:val="center"/>
          </w:tcPr>
          <w:p w14:paraId="0E9D723B">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4" w:type="dxa"/>
            <w:vAlign w:val="center"/>
          </w:tcPr>
          <w:p w14:paraId="428D2128">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r>
      <w:tr w14:paraId="594B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Align w:val="center"/>
          </w:tcPr>
          <w:p w14:paraId="470C9A31">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1A397A66">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vAlign w:val="center"/>
          </w:tcPr>
          <w:p w14:paraId="5BBDAF7C">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vAlign w:val="center"/>
          </w:tcPr>
          <w:p w14:paraId="3D4AD98B">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20232CA9">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40A63D8B">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rPr>
            </w:pPr>
          </w:p>
        </w:tc>
        <w:tc>
          <w:tcPr>
            <w:tcW w:w="1202" w:type="dxa"/>
            <w:vAlign w:val="center"/>
          </w:tcPr>
          <w:p w14:paraId="749D4585">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4" w:type="dxa"/>
            <w:vAlign w:val="center"/>
          </w:tcPr>
          <w:p w14:paraId="0CC7C1D8">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r>
      <w:tr w14:paraId="309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Align w:val="center"/>
          </w:tcPr>
          <w:p w14:paraId="36EEE052">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5F7610B1">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vAlign w:val="center"/>
          </w:tcPr>
          <w:p w14:paraId="0EC87F4A">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052CF71C">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6CE978C7">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59BBFE2C">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rPr>
            </w:pPr>
          </w:p>
        </w:tc>
        <w:tc>
          <w:tcPr>
            <w:tcW w:w="1202" w:type="dxa"/>
            <w:vAlign w:val="center"/>
          </w:tcPr>
          <w:p w14:paraId="13469F8A">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4" w:type="dxa"/>
            <w:vAlign w:val="center"/>
          </w:tcPr>
          <w:p w14:paraId="2B3E671E">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r>
      <w:tr w14:paraId="254F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2" w:type="dxa"/>
            <w:vAlign w:val="center"/>
          </w:tcPr>
          <w:p w14:paraId="7F7DD662">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69DCDCD4">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c>
          <w:tcPr>
            <w:tcW w:w="1202" w:type="dxa"/>
            <w:vAlign w:val="center"/>
          </w:tcPr>
          <w:p w14:paraId="1ABD7418">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71471606">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49557CBD">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2" w:type="dxa"/>
            <w:vAlign w:val="center"/>
          </w:tcPr>
          <w:p w14:paraId="35849933">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rPr>
            </w:pPr>
          </w:p>
        </w:tc>
        <w:tc>
          <w:tcPr>
            <w:tcW w:w="1202" w:type="dxa"/>
            <w:vAlign w:val="center"/>
          </w:tcPr>
          <w:p w14:paraId="57EC4200">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c>
          <w:tcPr>
            <w:tcW w:w="1204" w:type="dxa"/>
            <w:vAlign w:val="center"/>
          </w:tcPr>
          <w:p w14:paraId="1A06BA3F">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lang w:val="en-US" w:eastAsia="zh-CN"/>
              </w:rPr>
            </w:pPr>
          </w:p>
        </w:tc>
      </w:tr>
    </w:tbl>
    <w:p w14:paraId="01558FEF">
      <w:pPr>
        <w:pageBreakBefore w:val="0"/>
        <w:kinsoku/>
        <w:overflowPunct/>
        <w:bidi w:val="0"/>
        <w:spacing w:beforeLines="0" w:afterLines="0" w:line="360" w:lineRule="auto"/>
        <w:ind w:left="0" w:leftChars="0" w:right="0"/>
        <w:rPr>
          <w:rFonts w:hint="eastAsia" w:ascii="宋体" w:hAnsi="宋体" w:eastAsia="宋体" w:cs="宋体"/>
          <w:color w:val="auto"/>
          <w:highlight w:val="none"/>
        </w:rPr>
      </w:pPr>
    </w:p>
    <w:p w14:paraId="26627121">
      <w:pPr>
        <w:pageBreakBefore w:val="0"/>
        <w:kinsoku/>
        <w:overflowPunct/>
        <w:bidi w:val="0"/>
        <w:spacing w:beforeLines="0" w:afterLines="0" w:line="360" w:lineRule="auto"/>
        <w:ind w:left="0" w:leftChars="0" w:right="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bookmarkStart w:id="627" w:name="_Toc1690"/>
      <w:bookmarkStart w:id="628" w:name="_Toc28331"/>
      <w:bookmarkStart w:id="629" w:name="_Toc12360"/>
      <w:bookmarkStart w:id="630" w:name="_Toc15021"/>
      <w:bookmarkStart w:id="631" w:name="_Toc29282"/>
      <w:r>
        <w:rPr>
          <w:rFonts w:hint="eastAsia" w:ascii="宋体" w:hAnsi="宋体" w:eastAsia="宋体" w:cs="宋体"/>
          <w:b/>
          <w:bCs/>
          <w:color w:val="auto"/>
          <w:sz w:val="28"/>
          <w:szCs w:val="28"/>
          <w:highlight w:val="none"/>
        </w:rPr>
        <w:t>附件2：</w:t>
      </w:r>
    </w:p>
    <w:p w14:paraId="484626BB">
      <w:pPr>
        <w:pageBreakBefore w:val="0"/>
        <w:kinsoku/>
        <w:overflowPunct/>
        <w:bidi w:val="0"/>
        <w:spacing w:beforeLines="0" w:afterLines="0" w:line="360" w:lineRule="auto"/>
        <w:ind w:left="0" w:leftChars="0" w:right="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廉 政 合 同</w:t>
      </w:r>
      <w:bookmarkEnd w:id="627"/>
      <w:bookmarkEnd w:id="628"/>
      <w:bookmarkEnd w:id="629"/>
      <w:bookmarkEnd w:id="630"/>
      <w:bookmarkEnd w:id="631"/>
    </w:p>
    <w:p w14:paraId="33F15017">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根据上级以及有关廉政建设的规定，为做好项目实施中的党风廉政建设，保证项目实施高效优质，保证实施资金的安全和有效使用以及投资效益，</w:t>
      </w:r>
      <w:r>
        <w:rPr>
          <w:rFonts w:hint="eastAsia" w:ascii="宋体" w:hAnsi="宋体" w:eastAsia="宋体" w:cs="宋体"/>
          <w:color w:val="auto"/>
          <w:sz w:val="24"/>
          <w:highlight w:val="none"/>
          <w:u w:val="single"/>
          <w:lang w:eastAsia="zh-CN"/>
        </w:rPr>
        <w:t>广东南海城建集团有限公司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u w:val="single"/>
        </w:rPr>
        <w:t>佛山市南海大业佳诚投资有限公司</w:t>
      </w:r>
      <w:r>
        <w:rPr>
          <w:rFonts w:hint="eastAsia" w:ascii="宋体" w:hAnsi="宋体" w:eastAsia="宋体" w:cs="宋体"/>
          <w:color w:val="auto"/>
          <w:sz w:val="24"/>
          <w:highlight w:val="none"/>
          <w:lang w:eastAsia="zh-CN"/>
        </w:rPr>
        <w:t>（丙方（出资人））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lang w:eastAsia="zh-CN"/>
        </w:rPr>
        <w:t>佛山市南海区铁路投资有限公司</w:t>
      </w:r>
      <w:r>
        <w:rPr>
          <w:rFonts w:hint="eastAsia" w:ascii="宋体" w:hAnsi="宋体" w:cs="宋体"/>
          <w:color w:val="auto"/>
          <w:sz w:val="24"/>
          <w:highlight w:val="none"/>
          <w:lang w:eastAsia="zh-CN"/>
        </w:rPr>
        <w:t>（丁方（代建单位））</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)，特订立以下合同。</w:t>
      </w:r>
    </w:p>
    <w:p w14:paraId="68661E63">
      <w:pPr>
        <w:pageBreakBefore w:val="0"/>
        <w:shd w:val="clear" w:color="auto" w:fill="auto"/>
        <w:kinsoku/>
        <w:overflowPunct/>
        <w:bidi w:val="0"/>
        <w:spacing w:beforeLines="0" w:afterLines="0" w:line="360" w:lineRule="auto"/>
        <w:ind w:left="0" w:leftChars="0" w:right="0" w:firstLine="480" w:firstLineChars="200"/>
        <w:outlineLvl w:val="0"/>
        <w:rPr>
          <w:rFonts w:hint="eastAsia" w:ascii="宋体" w:hAnsi="宋体" w:eastAsia="宋体" w:cs="宋体"/>
          <w:color w:val="auto"/>
          <w:sz w:val="24"/>
          <w:highlight w:val="none"/>
        </w:rPr>
      </w:pPr>
      <w:bookmarkStart w:id="632" w:name="_Toc24758"/>
      <w:bookmarkStart w:id="633" w:name="_Toc1849"/>
      <w:r>
        <w:rPr>
          <w:rFonts w:hint="eastAsia" w:ascii="宋体" w:hAnsi="宋体" w:eastAsia="宋体" w:cs="宋体"/>
          <w:color w:val="auto"/>
          <w:sz w:val="24"/>
          <w:highlight w:val="none"/>
        </w:rPr>
        <w:t xml:space="preserve">1. </w:t>
      </w:r>
      <w:r>
        <w:rPr>
          <w:rFonts w:hint="eastAsia" w:ascii="宋体" w:hAnsi="宋体" w:cs="宋体"/>
          <w:color w:val="auto"/>
          <w:sz w:val="24"/>
          <w:highlight w:val="none"/>
          <w:lang w:eastAsia="zh-CN"/>
        </w:rPr>
        <w:t>四方</w:t>
      </w:r>
      <w:r>
        <w:rPr>
          <w:rFonts w:hint="eastAsia" w:ascii="宋体" w:hAnsi="宋体" w:eastAsia="宋体" w:cs="宋体"/>
          <w:color w:val="auto"/>
          <w:sz w:val="24"/>
          <w:highlight w:val="none"/>
        </w:rPr>
        <w:t>的权利和义务</w:t>
      </w:r>
      <w:bookmarkEnd w:id="632"/>
      <w:bookmarkEnd w:id="633"/>
    </w:p>
    <w:p w14:paraId="3FFD95D6">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pacing w:val="-6"/>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pacing w:val="-6"/>
          <w:sz w:val="24"/>
          <w:highlight w:val="none"/>
        </w:rPr>
        <w:t>严格遵守党的政策规定和国家有关法律法规的有关规定。</w:t>
      </w:r>
    </w:p>
    <w:p w14:paraId="7BE2FB1C">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严格执行</w:t>
      </w:r>
      <w:r>
        <w:rPr>
          <w:rFonts w:hint="eastAsia" w:ascii="宋体" w:hAnsi="宋体" w:eastAsia="宋体" w:cs="宋体"/>
          <w:color w:val="auto"/>
          <w:sz w:val="24"/>
          <w:highlight w:val="none"/>
          <w:u w:val="single"/>
          <w:lang w:eastAsia="zh-CN"/>
        </w:rPr>
        <w:t>粤港澳大湾区—佛山市南海区电力管廊（一期）项目—佛山220千伏沥中输变电线路配套电力管廊建设工程预算审核（复审）</w:t>
      </w:r>
      <w:r>
        <w:rPr>
          <w:rFonts w:hint="eastAsia" w:ascii="宋体" w:hAnsi="宋体" w:eastAsia="宋体" w:cs="宋体"/>
          <w:color w:val="auto"/>
          <w:sz w:val="24"/>
          <w:highlight w:val="none"/>
        </w:rPr>
        <w:t>合同文件，自觉按合同办事。</w:t>
      </w:r>
    </w:p>
    <w:p w14:paraId="0730D10A">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highlight w:val="none"/>
          <w:lang w:eastAsia="zh-CN"/>
        </w:rPr>
        <w:t>四方</w:t>
      </w:r>
      <w:r>
        <w:rPr>
          <w:rFonts w:hint="eastAsia" w:ascii="宋体" w:hAnsi="宋体" w:eastAsia="宋体" w:cs="宋体"/>
          <w:color w:val="auto"/>
          <w:sz w:val="24"/>
          <w:highlight w:val="none"/>
        </w:rPr>
        <w:t>的业务活动坚持公开、公正、诚信、透明的原则（法律认定的商业秘密和合同文件另有规定除外），不得损害国家和集体利益，不得违反工程建设管理规章制度。</w:t>
      </w:r>
    </w:p>
    <w:p w14:paraId="0538B58C">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highlight w:val="none"/>
        </w:rPr>
        <w:t>建立健全廉政制度，开展廉政教育，设立廉政告示牌，公布举报电话，监督并认真查处违法违纪行为。</w:t>
      </w:r>
    </w:p>
    <w:p w14:paraId="098C68DD">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highlight w:val="none"/>
        </w:rPr>
        <w:t>发现对方在业务活动中有违反廉政规定的行为，有及时提醒对方纠正的权利和义务。</w:t>
      </w:r>
    </w:p>
    <w:p w14:paraId="058A8FC4">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highlight w:val="none"/>
        </w:rPr>
        <w:t>发现对方严重违反本合同义务条款的行为，有向其上级有关部门举报、建议给予处理并要求告知处理结果的权利。</w:t>
      </w:r>
    </w:p>
    <w:p w14:paraId="2623C799">
      <w:pPr>
        <w:pageBreakBefore w:val="0"/>
        <w:shd w:val="clear" w:color="auto" w:fill="auto"/>
        <w:kinsoku/>
        <w:overflowPunct/>
        <w:bidi w:val="0"/>
        <w:spacing w:beforeLines="0" w:afterLines="0" w:line="360" w:lineRule="auto"/>
        <w:ind w:left="0" w:leftChars="0" w:right="0" w:firstLine="480" w:firstLineChars="200"/>
        <w:outlineLvl w:val="0"/>
        <w:rPr>
          <w:rFonts w:hint="eastAsia" w:ascii="宋体" w:hAnsi="宋体" w:eastAsia="宋体" w:cs="宋体"/>
          <w:color w:val="auto"/>
          <w:sz w:val="24"/>
          <w:highlight w:val="none"/>
        </w:rPr>
      </w:pPr>
      <w:bookmarkStart w:id="634" w:name="_Toc18370"/>
      <w:bookmarkStart w:id="635" w:name="_Toc13753"/>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lang w:eastAsia="zh-CN"/>
        </w:rPr>
        <w:t>甲方</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丙方（出资人）</w:t>
      </w:r>
      <w:r>
        <w:rPr>
          <w:rFonts w:hint="eastAsia" w:ascii="宋体" w:hAnsi="宋体" w:cs="宋体"/>
          <w:color w:val="auto"/>
          <w:sz w:val="24"/>
          <w:highlight w:val="none"/>
          <w:lang w:val="en-US" w:eastAsia="zh-CN"/>
        </w:rPr>
        <w:t>及丁方（代建单位）</w:t>
      </w:r>
      <w:r>
        <w:rPr>
          <w:rFonts w:hint="eastAsia" w:ascii="宋体" w:hAnsi="宋体" w:eastAsia="宋体" w:cs="宋体"/>
          <w:color w:val="auto"/>
          <w:sz w:val="24"/>
          <w:highlight w:val="none"/>
        </w:rPr>
        <w:t>的义务</w:t>
      </w:r>
      <w:bookmarkEnd w:id="634"/>
      <w:bookmarkEnd w:id="635"/>
    </w:p>
    <w:p w14:paraId="2CEAB360">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highlight w:val="none"/>
          <w:lang w:eastAsia="zh-CN"/>
        </w:rPr>
        <w:t>甲方、丙方（出资人）及丁方（代建单位）</w:t>
      </w:r>
      <w:r>
        <w:rPr>
          <w:rFonts w:hint="eastAsia" w:ascii="宋体" w:hAnsi="宋体" w:eastAsia="宋体" w:cs="宋体"/>
          <w:color w:val="auto"/>
          <w:sz w:val="24"/>
          <w:highlight w:val="none"/>
        </w:rPr>
        <w:t>及其工作人员不得索要或接受</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的礼金、有价证券和贵重物品，不得让</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报销任何应由</w:t>
      </w:r>
      <w:r>
        <w:rPr>
          <w:rFonts w:hint="eastAsia" w:ascii="宋体" w:hAnsi="宋体" w:cs="宋体"/>
          <w:color w:val="auto"/>
          <w:sz w:val="24"/>
          <w:highlight w:val="none"/>
          <w:lang w:eastAsia="zh-CN"/>
        </w:rPr>
        <w:t>甲方、丙方（出资人）及丁方（代建单位）</w:t>
      </w:r>
      <w:r>
        <w:rPr>
          <w:rFonts w:hint="eastAsia" w:ascii="宋体" w:hAnsi="宋体" w:eastAsia="宋体" w:cs="宋体"/>
          <w:color w:val="auto"/>
          <w:sz w:val="24"/>
          <w:highlight w:val="none"/>
        </w:rPr>
        <w:t>或</w:t>
      </w:r>
      <w:r>
        <w:rPr>
          <w:rFonts w:hint="eastAsia" w:ascii="宋体" w:hAnsi="宋体" w:cs="宋体"/>
          <w:color w:val="auto"/>
          <w:sz w:val="24"/>
          <w:highlight w:val="none"/>
          <w:lang w:eastAsia="zh-CN"/>
        </w:rPr>
        <w:t>甲方、丙方（出资人）及丁方（代建单位）</w:t>
      </w:r>
      <w:r>
        <w:rPr>
          <w:rFonts w:hint="eastAsia" w:ascii="宋体" w:hAnsi="宋体" w:eastAsia="宋体" w:cs="宋体"/>
          <w:color w:val="auto"/>
          <w:sz w:val="24"/>
          <w:highlight w:val="none"/>
        </w:rPr>
        <w:t>工作人员个人支付的费用等。</w:t>
      </w:r>
    </w:p>
    <w:p w14:paraId="6564B66E">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highlight w:val="none"/>
          <w:lang w:eastAsia="zh-CN"/>
        </w:rPr>
        <w:t>甲方、丙方（出资人）及丁方（代建单位）</w:t>
      </w:r>
      <w:r>
        <w:rPr>
          <w:rFonts w:hint="eastAsia" w:ascii="宋体" w:hAnsi="宋体" w:eastAsia="宋体" w:cs="宋体"/>
          <w:color w:val="auto"/>
          <w:sz w:val="24"/>
          <w:highlight w:val="none"/>
        </w:rPr>
        <w:t>工作人员不得参加</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安排的超标准宴请和娱乐活动；不得接受</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提供的通信工具、交通工具和高档办公用品等。</w:t>
      </w:r>
    </w:p>
    <w:p w14:paraId="4088A0FF">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highlight w:val="none"/>
          <w:lang w:eastAsia="zh-CN"/>
        </w:rPr>
        <w:t>甲方、丙方（出资人）及丁方（代建单位）</w:t>
      </w:r>
      <w:r>
        <w:rPr>
          <w:rFonts w:hint="eastAsia" w:ascii="宋体" w:hAnsi="宋体" w:eastAsia="宋体" w:cs="宋体"/>
          <w:color w:val="auto"/>
          <w:sz w:val="24"/>
          <w:highlight w:val="none"/>
        </w:rPr>
        <w:t>及其工作人员不得要求或者接受</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为其住房装修、婚丧嫁娶活动、配偶子女的工作安排以及出国出境、旅游等提供方便等。</w:t>
      </w:r>
    </w:p>
    <w:p w14:paraId="0A996B82">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highlight w:val="none"/>
          <w:lang w:eastAsia="zh-CN"/>
        </w:rPr>
        <w:t>甲方、丙方（出资人）及丁方（代建单位）</w:t>
      </w:r>
      <w:r>
        <w:rPr>
          <w:rFonts w:hint="eastAsia" w:ascii="宋体" w:hAnsi="宋体" w:eastAsia="宋体" w:cs="宋体"/>
          <w:color w:val="auto"/>
          <w:sz w:val="24"/>
          <w:highlight w:val="none"/>
        </w:rPr>
        <w:t>工作人员及其配偶、子女、亲属不得从事与本合同有关的造价咨询业务等活动。不得以任何理由要求</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和相关单位在咨询中使用某种产品、材料和设备。</w:t>
      </w:r>
    </w:p>
    <w:p w14:paraId="3E2C3525">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highlight w:val="none"/>
          <w:lang w:eastAsia="zh-CN"/>
        </w:rPr>
        <w:t>甲方、丙方（出资人）及丁方（代建单位）</w:t>
      </w:r>
      <w:r>
        <w:rPr>
          <w:rFonts w:hint="eastAsia" w:ascii="宋体" w:hAnsi="宋体" w:eastAsia="宋体" w:cs="宋体"/>
          <w:color w:val="auto"/>
          <w:sz w:val="24"/>
          <w:highlight w:val="none"/>
        </w:rPr>
        <w:t>工作人员要秉公办事，不准营私舞弊，不准利用职权从事各种个人有偿中介活动和安排个人造价咨询队伍。</w:t>
      </w:r>
    </w:p>
    <w:p w14:paraId="36D30240">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 </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的义务</w:t>
      </w:r>
    </w:p>
    <w:p w14:paraId="3DB1DAF0">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不得以任何理由向</w:t>
      </w:r>
      <w:r>
        <w:rPr>
          <w:rFonts w:hint="eastAsia" w:ascii="宋体" w:hAnsi="宋体" w:cs="宋体"/>
          <w:color w:val="auto"/>
          <w:sz w:val="24"/>
          <w:highlight w:val="none"/>
          <w:lang w:eastAsia="zh-CN"/>
        </w:rPr>
        <w:t>甲方、丙方（出资人）及丁方（代建单位）</w:t>
      </w:r>
      <w:r>
        <w:rPr>
          <w:rFonts w:hint="eastAsia" w:ascii="宋体" w:hAnsi="宋体" w:eastAsia="宋体" w:cs="宋体"/>
          <w:color w:val="auto"/>
          <w:sz w:val="24"/>
          <w:highlight w:val="none"/>
        </w:rPr>
        <w:t>及其工作人员行贿或馈赠礼金、有价证券、贵重礼品。</w:t>
      </w:r>
    </w:p>
    <w:p w14:paraId="6E516CC4">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不得以任何名义为</w:t>
      </w:r>
      <w:r>
        <w:rPr>
          <w:rFonts w:hint="eastAsia" w:ascii="宋体" w:hAnsi="宋体" w:cs="宋体"/>
          <w:color w:val="auto"/>
          <w:sz w:val="24"/>
          <w:highlight w:val="none"/>
          <w:lang w:eastAsia="zh-CN"/>
        </w:rPr>
        <w:t>甲方、丙方（出资人）及丁方（代建单位）</w:t>
      </w:r>
      <w:r>
        <w:rPr>
          <w:rFonts w:hint="eastAsia" w:ascii="宋体" w:hAnsi="宋体" w:eastAsia="宋体" w:cs="宋体"/>
          <w:color w:val="auto"/>
          <w:sz w:val="24"/>
          <w:highlight w:val="none"/>
        </w:rPr>
        <w:t>及其工作人员报销应由发包人单位或个人支付的任何费用。</w:t>
      </w:r>
    </w:p>
    <w:p w14:paraId="57CC1B86">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不得以任何理由安排</w:t>
      </w:r>
      <w:r>
        <w:rPr>
          <w:rFonts w:hint="eastAsia" w:ascii="宋体" w:hAnsi="宋体" w:cs="宋体"/>
          <w:color w:val="auto"/>
          <w:sz w:val="24"/>
          <w:highlight w:val="none"/>
          <w:lang w:eastAsia="zh-CN"/>
        </w:rPr>
        <w:t>甲方、丙方（出资人）及丁方（代建单位）</w:t>
      </w:r>
      <w:r>
        <w:rPr>
          <w:rFonts w:hint="eastAsia" w:ascii="宋体" w:hAnsi="宋体" w:eastAsia="宋体" w:cs="宋体"/>
          <w:color w:val="auto"/>
          <w:sz w:val="24"/>
          <w:highlight w:val="none"/>
        </w:rPr>
        <w:t>工作人员参加超标准宴请及娱乐活动。</w:t>
      </w:r>
    </w:p>
    <w:p w14:paraId="7E61E751">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不得为</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单位和个人购置或提供通信工具、交通工具和高档办公用品等。</w:t>
      </w:r>
    </w:p>
    <w:p w14:paraId="63BD85C3">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 违约责任</w:t>
      </w:r>
    </w:p>
    <w:p w14:paraId="26FA82FD">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highlight w:val="none"/>
          <w:lang w:eastAsia="zh-CN"/>
        </w:rPr>
        <w:t>甲方、丙方（出资人）及丁方（代建单位）</w:t>
      </w:r>
      <w:r>
        <w:rPr>
          <w:rFonts w:hint="eastAsia" w:ascii="宋体" w:hAnsi="宋体" w:eastAsia="宋体" w:cs="宋体"/>
          <w:color w:val="auto"/>
          <w:sz w:val="24"/>
          <w:highlight w:val="none"/>
        </w:rPr>
        <w:t>及其工作人员违反本合同第1、2条，按管理权限，依据有关规定给予党纪、政纪或组织处理；涉嫌犯罪的，移交司法机关追究刑事责任；给</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单位造成经济损失的，应予以赔偿。</w:t>
      </w:r>
    </w:p>
    <w:p w14:paraId="319541FB">
      <w:pPr>
        <w:pageBreakBefore w:val="0"/>
        <w:shd w:val="clear" w:color="auto" w:fill="auto"/>
        <w:kinsoku/>
        <w:overflowPunct/>
        <w:bidi w:val="0"/>
        <w:spacing w:beforeLines="0" w:afterLines="0" w:line="360" w:lineRule="auto"/>
        <w:ind w:left="0" w:leftChars="0" w:right="0"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及其工作人员违反本合同第1、3条，按管理权限，依据有关规定给予党纪、政纪或组织处理；给</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单位造成经济损失的，应予以赔偿；情节严重的，</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建议相关主管部门给予</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一至三年内不得进入其主管的市场的处罚。</w:t>
      </w:r>
    </w:p>
    <w:p w14:paraId="2C2B084B">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 </w:t>
      </w:r>
      <w:r>
        <w:rPr>
          <w:rFonts w:hint="eastAsia" w:ascii="宋体" w:hAnsi="宋体" w:cs="宋体"/>
          <w:color w:val="auto"/>
          <w:sz w:val="24"/>
          <w:highlight w:val="none"/>
          <w:lang w:eastAsia="zh-CN"/>
        </w:rPr>
        <w:t>四方</w:t>
      </w:r>
      <w:r>
        <w:rPr>
          <w:rFonts w:hint="eastAsia" w:ascii="宋体" w:hAnsi="宋体" w:eastAsia="宋体" w:cs="宋体"/>
          <w:color w:val="auto"/>
          <w:sz w:val="24"/>
          <w:highlight w:val="none"/>
        </w:rPr>
        <w:t>约定：本合同由</w:t>
      </w:r>
      <w:r>
        <w:rPr>
          <w:rFonts w:hint="eastAsia" w:ascii="宋体" w:hAnsi="宋体" w:cs="宋体"/>
          <w:color w:val="auto"/>
          <w:sz w:val="24"/>
          <w:highlight w:val="none"/>
          <w:lang w:eastAsia="zh-CN"/>
        </w:rPr>
        <w:t>四方</w:t>
      </w:r>
      <w:r>
        <w:rPr>
          <w:rFonts w:hint="eastAsia" w:ascii="宋体" w:hAnsi="宋体" w:eastAsia="宋体" w:cs="宋体"/>
          <w:color w:val="auto"/>
          <w:sz w:val="24"/>
          <w:highlight w:val="none"/>
        </w:rPr>
        <w:t>或</w:t>
      </w:r>
      <w:r>
        <w:rPr>
          <w:rFonts w:hint="eastAsia" w:ascii="宋体" w:hAnsi="宋体" w:cs="宋体"/>
          <w:color w:val="auto"/>
          <w:sz w:val="24"/>
          <w:highlight w:val="none"/>
          <w:lang w:eastAsia="zh-CN"/>
        </w:rPr>
        <w:t>四方</w:t>
      </w:r>
      <w:r>
        <w:rPr>
          <w:rFonts w:hint="eastAsia" w:ascii="宋体" w:hAnsi="宋体" w:eastAsia="宋体" w:cs="宋体"/>
          <w:color w:val="auto"/>
          <w:sz w:val="24"/>
          <w:highlight w:val="none"/>
        </w:rPr>
        <w:t>上级单位的纪检监察部门负责监督执行。由</w:t>
      </w:r>
      <w:r>
        <w:rPr>
          <w:rFonts w:hint="eastAsia" w:ascii="宋体" w:hAnsi="宋体" w:cs="宋体"/>
          <w:color w:val="auto"/>
          <w:sz w:val="24"/>
          <w:highlight w:val="none"/>
          <w:lang w:eastAsia="zh-CN"/>
        </w:rPr>
        <w:t>甲方、丙方（出资人）及丁方（代建单位）</w:t>
      </w:r>
      <w:r>
        <w:rPr>
          <w:rFonts w:hint="eastAsia" w:ascii="宋体" w:hAnsi="宋体" w:eastAsia="宋体" w:cs="宋体"/>
          <w:color w:val="auto"/>
          <w:sz w:val="24"/>
          <w:highlight w:val="none"/>
        </w:rPr>
        <w:t>或</w:t>
      </w:r>
      <w:r>
        <w:rPr>
          <w:rFonts w:hint="eastAsia" w:ascii="宋体" w:hAnsi="宋体" w:cs="宋体"/>
          <w:color w:val="auto"/>
          <w:sz w:val="24"/>
          <w:highlight w:val="none"/>
          <w:lang w:eastAsia="zh-CN"/>
        </w:rPr>
        <w:t>甲方、丙方（出资人）及丁方（代建单位）</w:t>
      </w:r>
      <w:r>
        <w:rPr>
          <w:rFonts w:hint="eastAsia" w:ascii="宋体" w:hAnsi="宋体" w:eastAsia="宋体" w:cs="宋体"/>
          <w:color w:val="auto"/>
          <w:sz w:val="24"/>
          <w:highlight w:val="none"/>
        </w:rPr>
        <w:t>上级单位的纪检监察部门约请</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上级单位纪检监察部门对本合同执行情况进行检查，提出在本合同规定范围内的裁定意见。</w:t>
      </w:r>
    </w:p>
    <w:p w14:paraId="55381692">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 本合同有效期为合同</w:t>
      </w:r>
      <w:r>
        <w:rPr>
          <w:rFonts w:hint="eastAsia" w:ascii="宋体" w:hAnsi="宋体" w:cs="宋体"/>
          <w:color w:val="auto"/>
          <w:sz w:val="24"/>
          <w:highlight w:val="none"/>
          <w:lang w:eastAsia="zh-CN"/>
        </w:rPr>
        <w:t>四方</w:t>
      </w:r>
      <w:r>
        <w:rPr>
          <w:rFonts w:hint="eastAsia" w:ascii="宋体" w:hAnsi="宋体" w:eastAsia="宋体" w:cs="宋体"/>
          <w:color w:val="auto"/>
          <w:sz w:val="24"/>
          <w:highlight w:val="none"/>
        </w:rPr>
        <w:t>签署之日起至造价咨询合同失效日止。</w:t>
      </w:r>
    </w:p>
    <w:p w14:paraId="7EE8BBCD">
      <w:pPr>
        <w:keepNext w:val="0"/>
        <w:keepLines w:val="0"/>
        <w:pageBreakBefore w:val="0"/>
        <w:widowControl w:val="0"/>
        <w:shd w:val="clear" w:color="auto" w:fill="auto"/>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 本合同作为</w:t>
      </w:r>
      <w:r>
        <w:rPr>
          <w:rFonts w:hint="eastAsia" w:ascii="宋体" w:hAnsi="宋体" w:eastAsia="宋体" w:cs="宋体"/>
          <w:b/>
          <w:bCs/>
          <w:color w:val="auto"/>
          <w:sz w:val="24"/>
          <w:highlight w:val="none"/>
          <w:u w:val="single"/>
          <w:lang w:eastAsia="zh-CN"/>
        </w:rPr>
        <w:t>粤港澳大湾区—佛山市南海区电力管廊（一期）项目—佛山220千伏沥中输变电线路配套电力管廊建设工程预算审核（复审）</w:t>
      </w:r>
      <w:r>
        <w:rPr>
          <w:rFonts w:hint="eastAsia" w:ascii="宋体" w:hAnsi="宋体" w:eastAsia="宋体" w:cs="宋体"/>
          <w:color w:val="auto"/>
          <w:sz w:val="24"/>
          <w:highlight w:val="none"/>
        </w:rPr>
        <w:t>合同的附件，与</w:t>
      </w:r>
      <w:r>
        <w:rPr>
          <w:rFonts w:hint="eastAsia" w:ascii="宋体" w:hAnsi="宋体" w:eastAsia="宋体" w:cs="宋体"/>
          <w:color w:val="auto"/>
          <w:sz w:val="24"/>
          <w:highlight w:val="none"/>
          <w:lang w:eastAsia="zh-CN"/>
        </w:rPr>
        <w:t>主</w:t>
      </w:r>
      <w:r>
        <w:rPr>
          <w:rFonts w:hint="eastAsia" w:ascii="宋体" w:hAnsi="宋体" w:eastAsia="宋体" w:cs="宋体"/>
          <w:color w:val="auto"/>
          <w:sz w:val="24"/>
          <w:highlight w:val="none"/>
        </w:rPr>
        <w:t>合同具有同等的法律效力，经合同双方签署后立即生效。</w:t>
      </w:r>
    </w:p>
    <w:p w14:paraId="174A9964">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 xml:space="preserve">8. </w:t>
      </w:r>
      <w:r>
        <w:rPr>
          <w:rFonts w:hint="eastAsia" w:ascii="宋体" w:hAnsi="宋体" w:eastAsia="宋体" w:cs="宋体"/>
          <w:bCs/>
          <w:color w:val="auto"/>
          <w:sz w:val="24"/>
          <w:highlight w:val="none"/>
        </w:rPr>
        <w:t>本合同正本一式肆份、副本一式拾壹份，均具有同等法律效力，委托人执正本壹份、副本叁份，咨询人执正本壹份、副本贰份，出资人（建设单位）执正本壹份、副本叁份，代建单位执正本壹份、副本叁份。</w:t>
      </w:r>
    </w:p>
    <w:p w14:paraId="1826290F">
      <w:pPr>
        <w:pageBreakBefore w:val="0"/>
        <w:kinsoku/>
        <w:overflowPunct/>
        <w:bidi w:val="0"/>
        <w:spacing w:beforeLines="0" w:afterLines="0" w:line="360" w:lineRule="auto"/>
        <w:ind w:left="0" w:leftChars="0" w:right="0"/>
        <w:rPr>
          <w:rFonts w:hint="eastAsia" w:ascii="宋体" w:hAnsi="宋体" w:eastAsia="宋体" w:cs="宋体"/>
          <w:b/>
          <w:bCs/>
          <w:color w:val="auto"/>
          <w:sz w:val="24"/>
          <w:highlight w:val="none"/>
        </w:rPr>
        <w:sectPr>
          <w:pgSz w:w="11906" w:h="16838"/>
          <w:pgMar w:top="1247" w:right="1247" w:bottom="1247" w:left="1247" w:header="851" w:footer="851" w:gutter="0"/>
          <w:pgBorders>
            <w:top w:val="none" w:sz="0" w:space="0"/>
            <w:left w:val="none" w:sz="0" w:space="0"/>
            <w:bottom w:val="none" w:sz="0" w:space="0"/>
            <w:right w:val="none" w:sz="0" w:space="0"/>
          </w:pgBorders>
          <w:pgNumType w:fmt="decimal"/>
          <w:cols w:space="720" w:num="1"/>
          <w:docGrid w:type="lines" w:linePitch="312" w:charSpace="0"/>
        </w:sectPr>
      </w:pPr>
    </w:p>
    <w:p w14:paraId="578BF319">
      <w:pPr>
        <w:pageBreakBefore w:val="0"/>
        <w:kinsoku/>
        <w:overflowPunct/>
        <w:bidi w:val="0"/>
        <w:spacing w:beforeLines="0" w:afterLines="0" w:line="360" w:lineRule="auto"/>
        <w:ind w:left="0" w:leftChars="0" w:righ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（本页无正文，为合同签署页）</w:t>
      </w:r>
    </w:p>
    <w:p w14:paraId="254F9D08">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委托人：广东南海城建集团有限公司（盖章）</w:t>
      </w:r>
    </w:p>
    <w:p w14:paraId="0F46B714">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u w:val="single"/>
        </w:rPr>
      </w:pPr>
    </w:p>
    <w:p w14:paraId="07C3BAED">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p w14:paraId="35233997">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或其委托代理人：</w:t>
      </w:r>
    </w:p>
    <w:p w14:paraId="5697D7BE">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3A63DFBF">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咨询人：（盖章）</w:t>
      </w:r>
    </w:p>
    <w:p w14:paraId="14849973">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25080B6F">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p w14:paraId="4904DDE5">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或其委托代理人：</w:t>
      </w:r>
    </w:p>
    <w:p w14:paraId="5ECEDFD9">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07CA81BD">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经办人：</w:t>
      </w:r>
    </w:p>
    <w:p w14:paraId="1F0F1F4D">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7A9D48E9">
      <w:pPr>
        <w:pageBreakBefore w:val="0"/>
        <w:kinsoku/>
        <w:overflowPunct/>
        <w:bidi w:val="0"/>
        <w:spacing w:beforeLines="0" w:afterLines="0" w:line="360" w:lineRule="auto"/>
        <w:ind w:left="0" w:leftChars="0" w:right="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eastAsia="zh-CN"/>
        </w:rPr>
        <w:t>代建单位</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 xml:space="preserve">                          （盖章）</w:t>
      </w:r>
    </w:p>
    <w:p w14:paraId="7EE6B79A">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30B4BF83">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p w14:paraId="4E0380DF">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或其委托代理人：</w:t>
      </w:r>
    </w:p>
    <w:p w14:paraId="0D8BB8C7">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1A2B14CC">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经办人：</w:t>
      </w:r>
    </w:p>
    <w:p w14:paraId="3FFDD4F3">
      <w:pPr>
        <w:pageBreakBefore w:val="0"/>
        <w:kinsoku/>
        <w:overflowPunct/>
        <w:bidi w:val="0"/>
        <w:spacing w:beforeLines="0" w:afterLines="0" w:line="360" w:lineRule="auto"/>
        <w:ind w:left="0" w:leftChars="0" w:right="0"/>
        <w:rPr>
          <w:rFonts w:hint="eastAsia" w:ascii="宋体" w:hAnsi="宋体" w:eastAsia="宋体" w:cs="宋体"/>
          <w:b/>
          <w:bCs/>
          <w:color w:val="auto"/>
          <w:sz w:val="24"/>
          <w:highlight w:val="none"/>
          <w:lang w:eastAsia="zh-CN"/>
        </w:rPr>
      </w:pPr>
    </w:p>
    <w:p w14:paraId="64AACB07">
      <w:pPr>
        <w:pageBreakBefore w:val="0"/>
        <w:kinsoku/>
        <w:overflowPunct/>
        <w:bidi w:val="0"/>
        <w:spacing w:beforeLines="0" w:afterLines="0" w:line="360" w:lineRule="auto"/>
        <w:ind w:left="0" w:leftChars="0" w:right="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出资人（建设单位）：</w:t>
      </w:r>
      <w:r>
        <w:rPr>
          <w:rFonts w:hint="eastAsia" w:ascii="宋体" w:hAnsi="宋体" w:eastAsia="宋体" w:cs="宋体"/>
          <w:b/>
          <w:bCs/>
          <w:color w:val="auto"/>
          <w:sz w:val="24"/>
          <w:highlight w:val="none"/>
          <w:lang w:val="en-US" w:eastAsia="zh-CN"/>
        </w:rPr>
        <w:t xml:space="preserve">                          （盖章）</w:t>
      </w:r>
    </w:p>
    <w:p w14:paraId="2C07DBF3">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67763311">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p w14:paraId="729453DF">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或其委托代理人：</w:t>
      </w:r>
    </w:p>
    <w:p w14:paraId="4850D330">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22A9EBE7">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经办人：</w:t>
      </w:r>
    </w:p>
    <w:p w14:paraId="053E9AAA">
      <w:pPr>
        <w:pageBreakBefore w:val="0"/>
        <w:kinsoku/>
        <w:overflowPunct/>
        <w:bidi w:val="0"/>
        <w:spacing w:beforeLines="0" w:afterLines="0" w:line="360" w:lineRule="auto"/>
        <w:ind w:left="0" w:leftChars="0" w:right="0"/>
        <w:jc w:val="center"/>
        <w:rPr>
          <w:rFonts w:hint="eastAsia" w:ascii="宋体" w:hAnsi="宋体" w:eastAsia="宋体" w:cs="宋体"/>
          <w:color w:val="auto"/>
          <w:sz w:val="29"/>
          <w:szCs w:val="29"/>
          <w:highlight w:val="none"/>
        </w:rPr>
      </w:pPr>
      <w:r>
        <w:rPr>
          <w:rFonts w:hint="eastAsia" w:ascii="宋体" w:hAnsi="宋体" w:eastAsia="宋体" w:cs="宋体"/>
          <w:color w:val="auto"/>
          <w:sz w:val="24"/>
          <w:highlight w:val="none"/>
        </w:rPr>
        <w:t xml:space="preserve">                                            时  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8063BBF">
      <w:pPr>
        <w:pageBreakBefore w:val="0"/>
        <w:kinsoku/>
        <w:overflowPunct/>
        <w:bidi w:val="0"/>
        <w:spacing w:beforeLines="0" w:afterLines="0" w:line="360" w:lineRule="auto"/>
        <w:ind w:left="0" w:leftChars="0" w:right="0"/>
        <w:rPr>
          <w:rFonts w:hint="eastAsia" w:ascii="宋体" w:hAnsi="宋体" w:eastAsia="宋体" w:cs="宋体"/>
          <w:color w:val="auto"/>
          <w:highlight w:val="none"/>
        </w:rPr>
      </w:pPr>
    </w:p>
    <w:p w14:paraId="152E0407">
      <w:pPr>
        <w:pageBreakBefore w:val="0"/>
        <w:kinsoku/>
        <w:overflowPunct/>
        <w:bidi w:val="0"/>
        <w:spacing w:beforeLines="0" w:afterLines="0" w:line="360" w:lineRule="auto"/>
        <w:ind w:left="0" w:leftChars="0" w:right="0"/>
        <w:rPr>
          <w:rFonts w:hint="eastAsia" w:ascii="宋体" w:hAnsi="宋体" w:eastAsia="宋体" w:cs="宋体"/>
          <w:color w:val="auto"/>
          <w:highlight w:val="none"/>
        </w:rPr>
      </w:pPr>
    </w:p>
    <w:p w14:paraId="4FFBD7FA">
      <w:pPr>
        <w:pageBreakBefore w:val="0"/>
        <w:kinsoku/>
        <w:overflowPunct/>
        <w:bidi w:val="0"/>
        <w:spacing w:beforeLines="0" w:afterLines="0" w:line="360" w:lineRule="auto"/>
        <w:ind w:left="0" w:leftChars="0" w:right="0"/>
        <w:rPr>
          <w:rFonts w:hint="eastAsia" w:ascii="宋体" w:hAnsi="宋体" w:eastAsia="宋体" w:cs="宋体"/>
          <w:color w:val="auto"/>
          <w:highlight w:val="none"/>
        </w:rPr>
      </w:pPr>
    </w:p>
    <w:p w14:paraId="3C0F238A">
      <w:pPr>
        <w:pageBreakBefore w:val="0"/>
        <w:kinsoku/>
        <w:overflowPunct/>
        <w:bidi w:val="0"/>
        <w:spacing w:beforeLines="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5AE55CF">
      <w:pPr>
        <w:pageBreakBefore w:val="0"/>
        <w:kinsoku/>
        <w:overflowPunct/>
        <w:bidi w:val="0"/>
        <w:spacing w:beforeLines="0" w:afterLines="0" w:line="360" w:lineRule="auto"/>
        <w:ind w:left="0" w:leftChars="0" w:right="0"/>
        <w:rPr>
          <w:rFonts w:hint="eastAsia" w:ascii="宋体" w:hAnsi="宋体" w:eastAsia="宋体" w:cs="宋体"/>
          <w:color w:val="auto"/>
          <w:highlight w:val="none"/>
        </w:rPr>
        <w:sectPr>
          <w:pgSz w:w="11906" w:h="16838"/>
          <w:pgMar w:top="1247" w:right="1247" w:bottom="1247" w:left="1247" w:header="851" w:footer="851" w:gutter="0"/>
          <w:pgBorders>
            <w:top w:val="none" w:sz="0" w:space="0"/>
            <w:left w:val="none" w:sz="0" w:space="0"/>
            <w:bottom w:val="none" w:sz="0" w:space="0"/>
            <w:right w:val="none" w:sz="0" w:space="0"/>
          </w:pgBorders>
          <w:pgNumType w:fmt="decimal"/>
          <w:cols w:space="720" w:num="1"/>
          <w:docGrid w:type="lines" w:linePitch="312" w:charSpace="0"/>
        </w:sectPr>
      </w:pPr>
    </w:p>
    <w:p w14:paraId="681F2DA0">
      <w:pPr>
        <w:pageBreakBefore w:val="0"/>
        <w:kinsoku/>
        <w:overflowPunct/>
        <w:bidi w:val="0"/>
        <w:spacing w:beforeLines="0" w:afterLines="0" w:line="360" w:lineRule="auto"/>
        <w:ind w:left="0" w:leftChars="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附件</w:t>
      </w:r>
      <w:r>
        <w:rPr>
          <w:rFonts w:hint="eastAsia" w:ascii="宋体" w:hAnsi="宋体" w:eastAsia="宋体" w:cs="宋体"/>
          <w:color w:val="auto"/>
          <w:highlight w:val="none"/>
          <w:lang w:val="en-US" w:eastAsia="zh-CN"/>
        </w:rPr>
        <w:t>3：</w:t>
      </w:r>
    </w:p>
    <w:tbl>
      <w:tblPr>
        <w:tblStyle w:val="63"/>
        <w:tblW w:w="13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987"/>
        <w:gridCol w:w="1029"/>
        <w:gridCol w:w="2212"/>
        <w:gridCol w:w="755"/>
        <w:gridCol w:w="1027"/>
        <w:gridCol w:w="1041"/>
        <w:gridCol w:w="872"/>
        <w:gridCol w:w="916"/>
        <w:gridCol w:w="808"/>
        <w:gridCol w:w="833"/>
        <w:gridCol w:w="1102"/>
        <w:gridCol w:w="516"/>
        <w:gridCol w:w="994"/>
      </w:tblGrid>
      <w:tr w14:paraId="2479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882" w:type="dxa"/>
            <w:gridSpan w:val="14"/>
            <w:vMerge w:val="restart"/>
            <w:tcBorders>
              <w:top w:val="nil"/>
              <w:left w:val="nil"/>
              <w:bottom w:val="nil"/>
              <w:right w:val="nil"/>
            </w:tcBorders>
            <w:vAlign w:val="center"/>
          </w:tcPr>
          <w:p w14:paraId="2CA53343">
            <w:pPr>
              <w:pageBreakBefore w:val="0"/>
              <w:widowControl/>
              <w:kinsoku/>
              <w:overflowPunct/>
              <w:bidi w:val="0"/>
              <w:spacing w:beforeLines="0" w:afterLines="0" w:line="360" w:lineRule="auto"/>
              <w:ind w:left="0" w:leftChars="0" w:right="0"/>
              <w:jc w:val="center"/>
              <w:textAlignment w:val="center"/>
              <w:rPr>
                <w:rFonts w:hint="eastAsia" w:ascii="宋体" w:hAnsi="宋体" w:eastAsia="宋体" w:cs="宋体"/>
                <w:b/>
                <w:color w:val="auto"/>
                <w:highlight w:val="none"/>
              </w:rPr>
            </w:pPr>
            <w:r>
              <w:rPr>
                <w:rFonts w:hint="eastAsia" w:ascii="宋体" w:hAnsi="宋体" w:eastAsia="宋体" w:cs="宋体"/>
                <w:b/>
                <w:color w:val="auto"/>
                <w:kern w:val="0"/>
                <w:highlight w:val="none"/>
                <w:lang w:eastAsia="zh-CN"/>
              </w:rPr>
              <w:t>附件</w:t>
            </w:r>
            <w:r>
              <w:rPr>
                <w:rFonts w:hint="eastAsia" w:ascii="宋体" w:hAnsi="宋体" w:eastAsia="宋体" w:cs="宋体"/>
                <w:b/>
                <w:color w:val="auto"/>
                <w:kern w:val="0"/>
                <w:highlight w:val="none"/>
                <w:lang w:val="en-US" w:eastAsia="zh-CN"/>
              </w:rPr>
              <w:t>：</w:t>
            </w:r>
            <w:r>
              <w:rPr>
                <w:rFonts w:hint="eastAsia" w:ascii="宋体" w:hAnsi="宋体" w:eastAsia="宋体" w:cs="宋体"/>
                <w:b/>
                <w:color w:val="auto"/>
                <w:kern w:val="0"/>
                <w:highlight w:val="none"/>
              </w:rPr>
              <w:t>佛山市南海区财政局工程造价咨询服务收费标准表</w:t>
            </w:r>
          </w:p>
        </w:tc>
      </w:tr>
      <w:tr w14:paraId="3F64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882" w:type="dxa"/>
            <w:gridSpan w:val="14"/>
            <w:vMerge w:val="continue"/>
            <w:tcBorders>
              <w:top w:val="nil"/>
              <w:left w:val="nil"/>
              <w:bottom w:val="single" w:color="auto" w:sz="4" w:space="0"/>
              <w:right w:val="nil"/>
            </w:tcBorders>
            <w:vAlign w:val="center"/>
          </w:tcPr>
          <w:p w14:paraId="4F800132">
            <w:pPr>
              <w:pageBreakBefore w:val="0"/>
              <w:kinsoku/>
              <w:overflowPunct/>
              <w:bidi w:val="0"/>
              <w:spacing w:beforeLines="0" w:afterLines="0" w:line="360" w:lineRule="auto"/>
              <w:ind w:left="0" w:leftChars="0" w:right="0"/>
              <w:jc w:val="center"/>
              <w:rPr>
                <w:rFonts w:hint="eastAsia" w:ascii="宋体" w:hAnsi="宋体" w:eastAsia="宋体" w:cs="宋体"/>
                <w:b/>
                <w:color w:val="auto"/>
                <w:highlight w:val="none"/>
              </w:rPr>
            </w:pPr>
          </w:p>
        </w:tc>
      </w:tr>
      <w:tr w14:paraId="78D1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90" w:type="dxa"/>
            <w:vMerge w:val="restart"/>
            <w:tcBorders>
              <w:top w:val="single" w:color="auto" w:sz="4" w:space="0"/>
              <w:bottom w:val="single" w:color="auto" w:sz="4" w:space="0"/>
            </w:tcBorders>
            <w:vAlign w:val="center"/>
          </w:tcPr>
          <w:p w14:paraId="5327AB4A">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序号</w:t>
            </w:r>
          </w:p>
        </w:tc>
        <w:tc>
          <w:tcPr>
            <w:tcW w:w="2016" w:type="dxa"/>
            <w:gridSpan w:val="2"/>
            <w:vMerge w:val="restart"/>
            <w:tcBorders>
              <w:top w:val="single" w:color="auto" w:sz="4" w:space="0"/>
              <w:bottom w:val="single" w:color="auto" w:sz="4" w:space="0"/>
            </w:tcBorders>
            <w:vAlign w:val="center"/>
          </w:tcPr>
          <w:p w14:paraId="2B77BDCF">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咨询项目名称</w:t>
            </w:r>
          </w:p>
        </w:tc>
        <w:tc>
          <w:tcPr>
            <w:tcW w:w="2212" w:type="dxa"/>
            <w:vMerge w:val="restart"/>
            <w:tcBorders>
              <w:top w:val="single" w:color="auto" w:sz="4" w:space="0"/>
              <w:bottom w:val="single" w:color="auto" w:sz="4" w:space="0"/>
            </w:tcBorders>
            <w:vAlign w:val="center"/>
          </w:tcPr>
          <w:p w14:paraId="33D812C2">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服务内容</w:t>
            </w:r>
          </w:p>
        </w:tc>
        <w:tc>
          <w:tcPr>
            <w:tcW w:w="755" w:type="dxa"/>
            <w:vMerge w:val="restart"/>
            <w:tcBorders>
              <w:top w:val="single" w:color="auto" w:sz="4" w:space="0"/>
              <w:bottom w:val="single" w:color="auto" w:sz="4" w:space="0"/>
            </w:tcBorders>
            <w:vAlign w:val="center"/>
          </w:tcPr>
          <w:p w14:paraId="4803691B">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计费基数</w:t>
            </w:r>
          </w:p>
        </w:tc>
        <w:tc>
          <w:tcPr>
            <w:tcW w:w="8109" w:type="dxa"/>
            <w:gridSpan w:val="9"/>
            <w:tcBorders>
              <w:top w:val="single" w:color="auto" w:sz="4" w:space="0"/>
              <w:bottom w:val="single" w:color="auto" w:sz="4" w:space="0"/>
            </w:tcBorders>
            <w:vAlign w:val="center"/>
          </w:tcPr>
          <w:p w14:paraId="15B49237">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计费标准</w:t>
            </w:r>
          </w:p>
        </w:tc>
      </w:tr>
      <w:tr w14:paraId="6F85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90" w:type="dxa"/>
            <w:vMerge w:val="continue"/>
            <w:tcBorders>
              <w:top w:val="single" w:color="auto" w:sz="4" w:space="0"/>
            </w:tcBorders>
            <w:vAlign w:val="center"/>
          </w:tcPr>
          <w:p w14:paraId="3E8DBBB5">
            <w:pPr>
              <w:pageBreakBefore w:val="0"/>
              <w:kinsoku/>
              <w:overflowPunct/>
              <w:bidi w:val="0"/>
              <w:spacing w:beforeLines="0" w:afterLines="0" w:line="360" w:lineRule="auto"/>
              <w:ind w:left="0" w:leftChars="0" w:right="0"/>
              <w:jc w:val="center"/>
              <w:rPr>
                <w:rFonts w:hint="eastAsia" w:ascii="宋体" w:hAnsi="宋体" w:eastAsia="宋体" w:cs="宋体"/>
                <w:i w:val="0"/>
                <w:iCs w:val="0"/>
                <w:color w:val="auto"/>
                <w:sz w:val="20"/>
                <w:szCs w:val="20"/>
                <w:highlight w:val="none"/>
                <w:u w:val="none"/>
              </w:rPr>
            </w:pPr>
          </w:p>
        </w:tc>
        <w:tc>
          <w:tcPr>
            <w:tcW w:w="2016" w:type="dxa"/>
            <w:gridSpan w:val="2"/>
            <w:vMerge w:val="continue"/>
            <w:tcBorders>
              <w:top w:val="single" w:color="auto" w:sz="4" w:space="0"/>
            </w:tcBorders>
            <w:vAlign w:val="center"/>
          </w:tcPr>
          <w:p w14:paraId="2BFEF2D0">
            <w:pPr>
              <w:pageBreakBefore w:val="0"/>
              <w:kinsoku/>
              <w:overflowPunct/>
              <w:bidi w:val="0"/>
              <w:spacing w:beforeLines="0" w:afterLines="0" w:line="360" w:lineRule="auto"/>
              <w:ind w:left="0" w:leftChars="0" w:right="0"/>
              <w:jc w:val="center"/>
              <w:rPr>
                <w:rFonts w:hint="eastAsia" w:ascii="宋体" w:hAnsi="宋体" w:eastAsia="宋体" w:cs="宋体"/>
                <w:i w:val="0"/>
                <w:iCs w:val="0"/>
                <w:color w:val="auto"/>
                <w:sz w:val="20"/>
                <w:szCs w:val="20"/>
                <w:highlight w:val="none"/>
                <w:u w:val="none"/>
              </w:rPr>
            </w:pPr>
          </w:p>
        </w:tc>
        <w:tc>
          <w:tcPr>
            <w:tcW w:w="2212" w:type="dxa"/>
            <w:vMerge w:val="continue"/>
            <w:tcBorders>
              <w:top w:val="single" w:color="auto" w:sz="4" w:space="0"/>
            </w:tcBorders>
            <w:vAlign w:val="center"/>
          </w:tcPr>
          <w:p w14:paraId="569829CC">
            <w:pPr>
              <w:pageBreakBefore w:val="0"/>
              <w:kinsoku/>
              <w:overflowPunct/>
              <w:bidi w:val="0"/>
              <w:spacing w:beforeLines="0" w:afterLines="0" w:line="360" w:lineRule="auto"/>
              <w:ind w:left="0" w:leftChars="0" w:right="0"/>
              <w:jc w:val="center"/>
              <w:rPr>
                <w:rFonts w:hint="eastAsia" w:ascii="宋体" w:hAnsi="宋体" w:eastAsia="宋体" w:cs="宋体"/>
                <w:i w:val="0"/>
                <w:iCs w:val="0"/>
                <w:color w:val="auto"/>
                <w:sz w:val="20"/>
                <w:szCs w:val="20"/>
                <w:highlight w:val="none"/>
                <w:u w:val="none"/>
              </w:rPr>
            </w:pPr>
          </w:p>
        </w:tc>
        <w:tc>
          <w:tcPr>
            <w:tcW w:w="755" w:type="dxa"/>
            <w:vMerge w:val="continue"/>
            <w:tcBorders>
              <w:top w:val="single" w:color="auto" w:sz="4" w:space="0"/>
            </w:tcBorders>
            <w:vAlign w:val="center"/>
          </w:tcPr>
          <w:p w14:paraId="61B062A4">
            <w:pPr>
              <w:pageBreakBefore w:val="0"/>
              <w:kinsoku/>
              <w:overflowPunct/>
              <w:bidi w:val="0"/>
              <w:spacing w:beforeLines="0" w:afterLines="0" w:line="360" w:lineRule="auto"/>
              <w:ind w:left="0" w:leftChars="0" w:right="0"/>
              <w:jc w:val="center"/>
              <w:rPr>
                <w:rFonts w:hint="eastAsia" w:ascii="宋体" w:hAnsi="宋体" w:eastAsia="宋体" w:cs="宋体"/>
                <w:i w:val="0"/>
                <w:iCs w:val="0"/>
                <w:color w:val="auto"/>
                <w:sz w:val="20"/>
                <w:szCs w:val="20"/>
                <w:highlight w:val="none"/>
                <w:u w:val="none"/>
              </w:rPr>
            </w:pPr>
          </w:p>
        </w:tc>
        <w:tc>
          <w:tcPr>
            <w:tcW w:w="1027" w:type="dxa"/>
            <w:tcBorders>
              <w:top w:val="single" w:color="auto" w:sz="4" w:space="0"/>
            </w:tcBorders>
            <w:vAlign w:val="center"/>
          </w:tcPr>
          <w:p w14:paraId="2FBBB77A">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100（含）万元以内</w:t>
            </w:r>
          </w:p>
        </w:tc>
        <w:tc>
          <w:tcPr>
            <w:tcW w:w="1041" w:type="dxa"/>
            <w:tcBorders>
              <w:top w:val="single" w:color="auto" w:sz="4" w:space="0"/>
            </w:tcBorders>
            <w:vAlign w:val="center"/>
          </w:tcPr>
          <w:p w14:paraId="79E615E3">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100-500（含）万元</w:t>
            </w:r>
          </w:p>
        </w:tc>
        <w:tc>
          <w:tcPr>
            <w:tcW w:w="1788" w:type="dxa"/>
            <w:gridSpan w:val="2"/>
            <w:tcBorders>
              <w:top w:val="single" w:color="auto" w:sz="4" w:space="0"/>
            </w:tcBorders>
            <w:vAlign w:val="center"/>
          </w:tcPr>
          <w:p w14:paraId="2183353C">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500-1000（含）万元</w:t>
            </w:r>
          </w:p>
        </w:tc>
        <w:tc>
          <w:tcPr>
            <w:tcW w:w="1641" w:type="dxa"/>
            <w:gridSpan w:val="2"/>
            <w:tcBorders>
              <w:top w:val="single" w:color="auto" w:sz="4" w:space="0"/>
            </w:tcBorders>
            <w:vAlign w:val="center"/>
          </w:tcPr>
          <w:p w14:paraId="57408AC5">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1000-5000（含）万元</w:t>
            </w:r>
          </w:p>
        </w:tc>
        <w:tc>
          <w:tcPr>
            <w:tcW w:w="1618" w:type="dxa"/>
            <w:gridSpan w:val="2"/>
            <w:tcBorders>
              <w:top w:val="single" w:color="auto" w:sz="4" w:space="0"/>
            </w:tcBorders>
            <w:vAlign w:val="center"/>
          </w:tcPr>
          <w:p w14:paraId="0721959C">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5000万元-1（含）亿元</w:t>
            </w:r>
          </w:p>
        </w:tc>
        <w:tc>
          <w:tcPr>
            <w:tcW w:w="994" w:type="dxa"/>
            <w:tcBorders>
              <w:top w:val="single" w:color="auto" w:sz="4" w:space="0"/>
            </w:tcBorders>
            <w:vAlign w:val="center"/>
          </w:tcPr>
          <w:p w14:paraId="56AFEBF3">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1亿元以上</w:t>
            </w:r>
          </w:p>
        </w:tc>
      </w:tr>
      <w:tr w14:paraId="63B0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90" w:type="dxa"/>
            <w:vAlign w:val="center"/>
          </w:tcPr>
          <w:p w14:paraId="349033B4">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w:t>
            </w:r>
          </w:p>
        </w:tc>
        <w:tc>
          <w:tcPr>
            <w:tcW w:w="2016" w:type="dxa"/>
            <w:gridSpan w:val="2"/>
            <w:vAlign w:val="center"/>
          </w:tcPr>
          <w:p w14:paraId="5CBC0E5B">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投资估算的审核</w:t>
            </w:r>
          </w:p>
        </w:tc>
        <w:tc>
          <w:tcPr>
            <w:tcW w:w="2212" w:type="dxa"/>
            <w:vAlign w:val="center"/>
          </w:tcPr>
          <w:p w14:paraId="43B7B462">
            <w:pPr>
              <w:keepNext w:val="0"/>
              <w:keepLines w:val="0"/>
              <w:pageBreakBefore w:val="0"/>
              <w:widowControl/>
              <w:suppressLineNumbers w:val="0"/>
              <w:kinsoku/>
              <w:overflowPunct/>
              <w:bidi w:val="0"/>
              <w:spacing w:beforeLines="0" w:afterLines="0" w:line="360" w:lineRule="auto"/>
              <w:ind w:left="0" w:leftChars="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依据建设项目可行性研究方案核对项目投资估算，出具投资估算审核报告</w:t>
            </w:r>
          </w:p>
        </w:tc>
        <w:tc>
          <w:tcPr>
            <w:tcW w:w="755" w:type="dxa"/>
            <w:vAlign w:val="center"/>
          </w:tcPr>
          <w:p w14:paraId="1EE05C7E">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审定金额</w:t>
            </w:r>
          </w:p>
        </w:tc>
        <w:tc>
          <w:tcPr>
            <w:tcW w:w="1027" w:type="dxa"/>
            <w:vAlign w:val="center"/>
          </w:tcPr>
          <w:p w14:paraId="588ABEF0">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1.17‰</w:t>
            </w:r>
          </w:p>
        </w:tc>
        <w:tc>
          <w:tcPr>
            <w:tcW w:w="1041" w:type="dxa"/>
            <w:vAlign w:val="center"/>
          </w:tcPr>
          <w:p w14:paraId="3807AB5F">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0.99‰</w:t>
            </w:r>
          </w:p>
        </w:tc>
        <w:tc>
          <w:tcPr>
            <w:tcW w:w="1788" w:type="dxa"/>
            <w:gridSpan w:val="2"/>
            <w:vAlign w:val="center"/>
          </w:tcPr>
          <w:p w14:paraId="240F8A9E">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0.81‰</w:t>
            </w:r>
          </w:p>
        </w:tc>
        <w:tc>
          <w:tcPr>
            <w:tcW w:w="1641" w:type="dxa"/>
            <w:gridSpan w:val="2"/>
            <w:vAlign w:val="center"/>
          </w:tcPr>
          <w:p w14:paraId="0D2847E2">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0.63‰</w:t>
            </w:r>
          </w:p>
        </w:tc>
        <w:tc>
          <w:tcPr>
            <w:tcW w:w="1618" w:type="dxa"/>
            <w:gridSpan w:val="2"/>
            <w:vAlign w:val="center"/>
          </w:tcPr>
          <w:p w14:paraId="2B637832">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0.45‰</w:t>
            </w:r>
          </w:p>
        </w:tc>
        <w:tc>
          <w:tcPr>
            <w:tcW w:w="994" w:type="dxa"/>
            <w:vAlign w:val="center"/>
          </w:tcPr>
          <w:p w14:paraId="1F8616FA">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0.324‰</w:t>
            </w:r>
          </w:p>
        </w:tc>
      </w:tr>
      <w:tr w14:paraId="3386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90" w:type="dxa"/>
            <w:vAlign w:val="center"/>
          </w:tcPr>
          <w:p w14:paraId="725F5E99">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2</w:t>
            </w:r>
          </w:p>
        </w:tc>
        <w:tc>
          <w:tcPr>
            <w:tcW w:w="2016" w:type="dxa"/>
            <w:gridSpan w:val="2"/>
            <w:vAlign w:val="center"/>
          </w:tcPr>
          <w:p w14:paraId="73AB56C0">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工程概算的审核</w:t>
            </w:r>
          </w:p>
        </w:tc>
        <w:tc>
          <w:tcPr>
            <w:tcW w:w="2212" w:type="dxa"/>
            <w:vAlign w:val="center"/>
          </w:tcPr>
          <w:p w14:paraId="0C963A30">
            <w:pPr>
              <w:keepNext w:val="0"/>
              <w:keepLines w:val="0"/>
              <w:pageBreakBefore w:val="0"/>
              <w:widowControl/>
              <w:suppressLineNumbers w:val="0"/>
              <w:kinsoku/>
              <w:overflowPunct/>
              <w:bidi w:val="0"/>
              <w:spacing w:beforeLines="0" w:afterLines="0" w:line="360" w:lineRule="auto"/>
              <w:ind w:left="0" w:leftChars="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依据初步设计图纸计算或复核工程量，出具工程概算书或审核报告</w:t>
            </w:r>
          </w:p>
        </w:tc>
        <w:tc>
          <w:tcPr>
            <w:tcW w:w="755" w:type="dxa"/>
            <w:vAlign w:val="center"/>
          </w:tcPr>
          <w:p w14:paraId="7007C38E">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审定金额</w:t>
            </w:r>
          </w:p>
        </w:tc>
        <w:tc>
          <w:tcPr>
            <w:tcW w:w="1027" w:type="dxa"/>
            <w:vAlign w:val="center"/>
          </w:tcPr>
          <w:p w14:paraId="575E70F5">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1.8‰</w:t>
            </w:r>
          </w:p>
        </w:tc>
        <w:tc>
          <w:tcPr>
            <w:tcW w:w="1041" w:type="dxa"/>
            <w:vAlign w:val="center"/>
          </w:tcPr>
          <w:p w14:paraId="30BB14A6">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1.62‰</w:t>
            </w:r>
          </w:p>
        </w:tc>
        <w:tc>
          <w:tcPr>
            <w:tcW w:w="1788" w:type="dxa"/>
            <w:gridSpan w:val="2"/>
            <w:vAlign w:val="center"/>
          </w:tcPr>
          <w:p w14:paraId="09E29AA6">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1.44‰</w:t>
            </w:r>
          </w:p>
        </w:tc>
        <w:tc>
          <w:tcPr>
            <w:tcW w:w="1641" w:type="dxa"/>
            <w:gridSpan w:val="2"/>
            <w:vAlign w:val="center"/>
          </w:tcPr>
          <w:p w14:paraId="49F80363">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1.17‰</w:t>
            </w:r>
          </w:p>
        </w:tc>
        <w:tc>
          <w:tcPr>
            <w:tcW w:w="1618" w:type="dxa"/>
            <w:gridSpan w:val="2"/>
            <w:vAlign w:val="center"/>
          </w:tcPr>
          <w:p w14:paraId="4490B66D">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1.08‰</w:t>
            </w:r>
          </w:p>
        </w:tc>
        <w:tc>
          <w:tcPr>
            <w:tcW w:w="994" w:type="dxa"/>
            <w:vAlign w:val="center"/>
          </w:tcPr>
          <w:p w14:paraId="737F5DBB">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0.891‰</w:t>
            </w:r>
          </w:p>
        </w:tc>
      </w:tr>
      <w:tr w14:paraId="1149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90" w:type="dxa"/>
            <w:vAlign w:val="center"/>
          </w:tcPr>
          <w:p w14:paraId="64E67B3A">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3</w:t>
            </w:r>
          </w:p>
        </w:tc>
        <w:tc>
          <w:tcPr>
            <w:tcW w:w="2016" w:type="dxa"/>
            <w:gridSpan w:val="2"/>
            <w:vAlign w:val="center"/>
          </w:tcPr>
          <w:p w14:paraId="5670E73F">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预算初审审核</w:t>
            </w:r>
          </w:p>
        </w:tc>
        <w:tc>
          <w:tcPr>
            <w:tcW w:w="2212" w:type="dxa"/>
            <w:vAlign w:val="center"/>
          </w:tcPr>
          <w:p w14:paraId="5265B0AF">
            <w:pPr>
              <w:keepNext w:val="0"/>
              <w:keepLines w:val="0"/>
              <w:pageBreakBefore w:val="0"/>
              <w:widowControl/>
              <w:suppressLineNumbers w:val="0"/>
              <w:kinsoku/>
              <w:overflowPunct/>
              <w:bidi w:val="0"/>
              <w:spacing w:beforeLines="0" w:afterLines="0" w:line="360" w:lineRule="auto"/>
              <w:ind w:left="0" w:leftChars="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依据施工图审核工程量清单、清单报价，出具审核报告</w:t>
            </w:r>
          </w:p>
        </w:tc>
        <w:tc>
          <w:tcPr>
            <w:tcW w:w="755" w:type="dxa"/>
            <w:vAlign w:val="center"/>
          </w:tcPr>
          <w:p w14:paraId="083EA23D">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审定金额</w:t>
            </w:r>
          </w:p>
        </w:tc>
        <w:tc>
          <w:tcPr>
            <w:tcW w:w="1027" w:type="dxa"/>
            <w:vAlign w:val="center"/>
          </w:tcPr>
          <w:p w14:paraId="3E94A3FD">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4.32‰</w:t>
            </w:r>
          </w:p>
        </w:tc>
        <w:tc>
          <w:tcPr>
            <w:tcW w:w="1041" w:type="dxa"/>
            <w:vAlign w:val="center"/>
          </w:tcPr>
          <w:p w14:paraId="3EDE216C">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3.69‰</w:t>
            </w:r>
          </w:p>
        </w:tc>
        <w:tc>
          <w:tcPr>
            <w:tcW w:w="1788" w:type="dxa"/>
            <w:gridSpan w:val="2"/>
            <w:vAlign w:val="center"/>
          </w:tcPr>
          <w:p w14:paraId="09EB7C51">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3.42‰</w:t>
            </w:r>
          </w:p>
        </w:tc>
        <w:tc>
          <w:tcPr>
            <w:tcW w:w="1641" w:type="dxa"/>
            <w:gridSpan w:val="2"/>
            <w:vAlign w:val="center"/>
          </w:tcPr>
          <w:p w14:paraId="72103B61">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3.06‰</w:t>
            </w:r>
          </w:p>
        </w:tc>
        <w:tc>
          <w:tcPr>
            <w:tcW w:w="1618" w:type="dxa"/>
            <w:gridSpan w:val="2"/>
            <w:vAlign w:val="center"/>
          </w:tcPr>
          <w:p w14:paraId="5F629D80">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2.61‰</w:t>
            </w:r>
          </w:p>
        </w:tc>
        <w:tc>
          <w:tcPr>
            <w:tcW w:w="994" w:type="dxa"/>
            <w:vAlign w:val="center"/>
          </w:tcPr>
          <w:p w14:paraId="13CD8E24">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2.106‰</w:t>
            </w:r>
          </w:p>
        </w:tc>
      </w:tr>
      <w:tr w14:paraId="0F97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90" w:type="dxa"/>
            <w:vMerge w:val="restart"/>
            <w:vAlign w:val="center"/>
          </w:tcPr>
          <w:p w14:paraId="171B52F0">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4</w:t>
            </w:r>
          </w:p>
        </w:tc>
        <w:tc>
          <w:tcPr>
            <w:tcW w:w="987" w:type="dxa"/>
            <w:vMerge w:val="restart"/>
            <w:vAlign w:val="center"/>
          </w:tcPr>
          <w:p w14:paraId="5CE1BB8A">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结算单审和双审初审</w:t>
            </w:r>
          </w:p>
        </w:tc>
        <w:tc>
          <w:tcPr>
            <w:tcW w:w="1029" w:type="dxa"/>
            <w:vAlign w:val="center"/>
          </w:tcPr>
          <w:p w14:paraId="0A960B27">
            <w:pPr>
              <w:keepNext w:val="0"/>
              <w:keepLines w:val="0"/>
              <w:pageBreakBefore w:val="0"/>
              <w:widowControl/>
              <w:suppressLineNumbers w:val="0"/>
              <w:kinsoku/>
              <w:overflowPunct/>
              <w:bidi w:val="0"/>
              <w:spacing w:beforeLines="0" w:afterLines="0" w:line="360" w:lineRule="auto"/>
              <w:ind w:left="0" w:leftChars="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（1）基本收费</w:t>
            </w:r>
          </w:p>
        </w:tc>
        <w:tc>
          <w:tcPr>
            <w:tcW w:w="2212" w:type="dxa"/>
            <w:vMerge w:val="restart"/>
            <w:vAlign w:val="center"/>
          </w:tcPr>
          <w:p w14:paraId="574A8283">
            <w:pPr>
              <w:keepNext w:val="0"/>
              <w:keepLines w:val="0"/>
              <w:pageBreakBefore w:val="0"/>
              <w:widowControl/>
              <w:suppressLineNumbers w:val="0"/>
              <w:kinsoku/>
              <w:overflowPunct/>
              <w:bidi w:val="0"/>
              <w:spacing w:beforeLines="0" w:afterLines="0" w:line="360" w:lineRule="auto"/>
              <w:ind w:left="0" w:leftChars="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根据竣工图、签证资料、工程结算书等进行审核出具结算审核报告</w:t>
            </w:r>
          </w:p>
        </w:tc>
        <w:tc>
          <w:tcPr>
            <w:tcW w:w="755" w:type="dxa"/>
            <w:vAlign w:val="center"/>
          </w:tcPr>
          <w:p w14:paraId="5C2305D8">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审定金额</w:t>
            </w:r>
          </w:p>
        </w:tc>
        <w:tc>
          <w:tcPr>
            <w:tcW w:w="1027" w:type="dxa"/>
            <w:vAlign w:val="center"/>
          </w:tcPr>
          <w:p w14:paraId="264074CE">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2.52‰</w:t>
            </w:r>
          </w:p>
        </w:tc>
        <w:tc>
          <w:tcPr>
            <w:tcW w:w="1041" w:type="dxa"/>
            <w:vAlign w:val="center"/>
          </w:tcPr>
          <w:p w14:paraId="473F9BEB">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2.25‰</w:t>
            </w:r>
          </w:p>
        </w:tc>
        <w:tc>
          <w:tcPr>
            <w:tcW w:w="1788" w:type="dxa"/>
            <w:gridSpan w:val="2"/>
            <w:vAlign w:val="center"/>
          </w:tcPr>
          <w:p w14:paraId="585ECC9E">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1.98‰</w:t>
            </w:r>
          </w:p>
        </w:tc>
        <w:tc>
          <w:tcPr>
            <w:tcW w:w="1641" w:type="dxa"/>
            <w:gridSpan w:val="2"/>
            <w:vAlign w:val="center"/>
          </w:tcPr>
          <w:p w14:paraId="4C81445E">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1.44‰</w:t>
            </w:r>
          </w:p>
        </w:tc>
        <w:tc>
          <w:tcPr>
            <w:tcW w:w="1618" w:type="dxa"/>
            <w:gridSpan w:val="2"/>
            <w:vAlign w:val="center"/>
          </w:tcPr>
          <w:p w14:paraId="138F15E7">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1.17‰</w:t>
            </w:r>
          </w:p>
        </w:tc>
        <w:tc>
          <w:tcPr>
            <w:tcW w:w="994" w:type="dxa"/>
            <w:vAlign w:val="center"/>
          </w:tcPr>
          <w:p w14:paraId="758709FE">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0.81‰</w:t>
            </w:r>
          </w:p>
        </w:tc>
      </w:tr>
      <w:tr w14:paraId="2566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790" w:type="dxa"/>
            <w:vMerge w:val="continue"/>
            <w:vAlign w:val="center"/>
          </w:tcPr>
          <w:p w14:paraId="34A8C1C5">
            <w:pPr>
              <w:pageBreakBefore w:val="0"/>
              <w:kinsoku/>
              <w:overflowPunct/>
              <w:bidi w:val="0"/>
              <w:spacing w:beforeLines="0" w:afterLines="0" w:line="360" w:lineRule="auto"/>
              <w:ind w:left="0" w:leftChars="0" w:right="0"/>
              <w:jc w:val="center"/>
              <w:rPr>
                <w:rFonts w:hint="eastAsia" w:ascii="宋体" w:hAnsi="宋体" w:eastAsia="宋体" w:cs="宋体"/>
                <w:i w:val="0"/>
                <w:iCs w:val="0"/>
                <w:color w:val="auto"/>
                <w:sz w:val="20"/>
                <w:szCs w:val="20"/>
                <w:highlight w:val="none"/>
                <w:u w:val="none"/>
              </w:rPr>
            </w:pPr>
          </w:p>
        </w:tc>
        <w:tc>
          <w:tcPr>
            <w:tcW w:w="987" w:type="dxa"/>
            <w:vMerge w:val="continue"/>
            <w:vAlign w:val="center"/>
          </w:tcPr>
          <w:p w14:paraId="2CC82C54">
            <w:pPr>
              <w:pageBreakBefore w:val="0"/>
              <w:kinsoku/>
              <w:overflowPunct/>
              <w:bidi w:val="0"/>
              <w:spacing w:beforeLines="0" w:afterLines="0" w:line="360" w:lineRule="auto"/>
              <w:ind w:left="0" w:leftChars="0" w:right="0"/>
              <w:jc w:val="center"/>
              <w:rPr>
                <w:rFonts w:hint="eastAsia" w:ascii="宋体" w:hAnsi="宋体" w:eastAsia="宋体" w:cs="宋体"/>
                <w:i w:val="0"/>
                <w:iCs w:val="0"/>
                <w:color w:val="auto"/>
                <w:sz w:val="20"/>
                <w:szCs w:val="20"/>
                <w:highlight w:val="none"/>
                <w:u w:val="none"/>
              </w:rPr>
            </w:pPr>
          </w:p>
        </w:tc>
        <w:tc>
          <w:tcPr>
            <w:tcW w:w="1029" w:type="dxa"/>
            <w:vAlign w:val="center"/>
          </w:tcPr>
          <w:p w14:paraId="4B62D437">
            <w:pPr>
              <w:keepNext w:val="0"/>
              <w:keepLines w:val="0"/>
              <w:pageBreakBefore w:val="0"/>
              <w:widowControl/>
              <w:suppressLineNumbers w:val="0"/>
              <w:kinsoku/>
              <w:overflowPunct/>
              <w:bidi w:val="0"/>
              <w:spacing w:beforeLines="0" w:afterLines="0" w:line="360" w:lineRule="auto"/>
              <w:ind w:left="0" w:leftChars="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（2）效益收费</w:t>
            </w:r>
          </w:p>
        </w:tc>
        <w:tc>
          <w:tcPr>
            <w:tcW w:w="2212" w:type="dxa"/>
            <w:vMerge w:val="continue"/>
            <w:vAlign w:val="center"/>
          </w:tcPr>
          <w:p w14:paraId="289A4376">
            <w:pPr>
              <w:pageBreakBefore w:val="0"/>
              <w:widowControl/>
              <w:kinsoku/>
              <w:overflowPunct/>
              <w:bidi w:val="0"/>
              <w:spacing w:beforeLines="0" w:afterLines="0" w:line="360" w:lineRule="auto"/>
              <w:ind w:left="0" w:leftChars="0" w:right="0"/>
              <w:jc w:val="left"/>
              <w:textAlignment w:val="center"/>
              <w:rPr>
                <w:rFonts w:hint="eastAsia" w:ascii="宋体" w:hAnsi="宋体" w:eastAsia="宋体" w:cs="宋体"/>
                <w:i w:val="0"/>
                <w:iCs w:val="0"/>
                <w:color w:val="auto"/>
                <w:kern w:val="0"/>
                <w:sz w:val="20"/>
                <w:szCs w:val="20"/>
                <w:highlight w:val="none"/>
                <w:u w:val="none"/>
              </w:rPr>
            </w:pPr>
          </w:p>
        </w:tc>
        <w:tc>
          <w:tcPr>
            <w:tcW w:w="755" w:type="dxa"/>
            <w:vAlign w:val="center"/>
          </w:tcPr>
          <w:p w14:paraId="39D50A2B">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kern w:val="0"/>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核减额</w:t>
            </w:r>
          </w:p>
        </w:tc>
        <w:tc>
          <w:tcPr>
            <w:tcW w:w="8109" w:type="dxa"/>
            <w:gridSpan w:val="9"/>
            <w:vAlign w:val="center"/>
          </w:tcPr>
          <w:p w14:paraId="489139C4">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4.5%</w:t>
            </w:r>
          </w:p>
        </w:tc>
      </w:tr>
      <w:tr w14:paraId="2A6C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0" w:type="dxa"/>
            <w:vMerge w:val="restart"/>
            <w:vAlign w:val="center"/>
          </w:tcPr>
          <w:p w14:paraId="44DCEC50">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5</w:t>
            </w:r>
          </w:p>
        </w:tc>
        <w:tc>
          <w:tcPr>
            <w:tcW w:w="2016" w:type="dxa"/>
            <w:gridSpan w:val="2"/>
            <w:vMerge w:val="restart"/>
            <w:vAlign w:val="center"/>
          </w:tcPr>
          <w:p w14:paraId="1F4F45F3">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预算复审费用</w:t>
            </w:r>
          </w:p>
        </w:tc>
        <w:tc>
          <w:tcPr>
            <w:tcW w:w="2212" w:type="dxa"/>
            <w:vMerge w:val="restart"/>
            <w:vAlign w:val="center"/>
          </w:tcPr>
          <w:p w14:paraId="34255BE7">
            <w:pPr>
              <w:keepNext w:val="0"/>
              <w:keepLines w:val="0"/>
              <w:pageBreakBefore w:val="0"/>
              <w:widowControl/>
              <w:suppressLineNumbers w:val="0"/>
              <w:kinsoku/>
              <w:overflowPunct/>
              <w:bidi w:val="0"/>
              <w:spacing w:beforeLines="0" w:afterLines="0" w:line="360" w:lineRule="auto"/>
              <w:ind w:left="0" w:leftChars="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按初审结果作为复审单位的送审金额，核减额的计算是相对初审结果作出的，即核减额=定案金额-初审结果</w:t>
            </w:r>
          </w:p>
        </w:tc>
        <w:tc>
          <w:tcPr>
            <w:tcW w:w="755" w:type="dxa"/>
            <w:vMerge w:val="restart"/>
            <w:vAlign w:val="center"/>
          </w:tcPr>
          <w:p w14:paraId="2628A7BE">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核减额</w:t>
            </w:r>
          </w:p>
        </w:tc>
        <w:tc>
          <w:tcPr>
            <w:tcW w:w="1027" w:type="dxa"/>
            <w:vAlign w:val="center"/>
          </w:tcPr>
          <w:p w14:paraId="74B2DDA0">
            <w:pPr>
              <w:keepNext w:val="0"/>
              <w:keepLines w:val="0"/>
              <w:pageBreakBefore w:val="0"/>
              <w:widowControl/>
              <w:suppressLineNumbers w:val="0"/>
              <w:kinsoku/>
              <w:overflowPunct/>
              <w:bidi w:val="0"/>
              <w:spacing w:beforeLines="0" w:afterLines="0" w:line="360" w:lineRule="auto"/>
              <w:ind w:left="0" w:leftChars="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10万以下</w:t>
            </w:r>
          </w:p>
        </w:tc>
        <w:tc>
          <w:tcPr>
            <w:tcW w:w="1041" w:type="dxa"/>
            <w:vAlign w:val="center"/>
          </w:tcPr>
          <w:p w14:paraId="20B2A5CF">
            <w:pPr>
              <w:keepNext w:val="0"/>
              <w:keepLines w:val="0"/>
              <w:pageBreakBefore w:val="0"/>
              <w:widowControl/>
              <w:suppressLineNumbers w:val="0"/>
              <w:kinsoku/>
              <w:overflowPunct/>
              <w:bidi w:val="0"/>
              <w:spacing w:beforeLines="0" w:afterLines="0" w:line="360" w:lineRule="auto"/>
              <w:ind w:left="0" w:leftChars="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10-50万</w:t>
            </w:r>
          </w:p>
        </w:tc>
        <w:tc>
          <w:tcPr>
            <w:tcW w:w="872" w:type="dxa"/>
            <w:vAlign w:val="center"/>
          </w:tcPr>
          <w:p w14:paraId="520A8DD3">
            <w:pPr>
              <w:keepNext w:val="0"/>
              <w:keepLines w:val="0"/>
              <w:pageBreakBefore w:val="0"/>
              <w:widowControl/>
              <w:suppressLineNumbers w:val="0"/>
              <w:kinsoku/>
              <w:overflowPunct/>
              <w:bidi w:val="0"/>
              <w:spacing w:beforeLines="0" w:afterLines="0" w:line="360" w:lineRule="auto"/>
              <w:ind w:left="0" w:leftChars="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50万-100万（含）</w:t>
            </w:r>
          </w:p>
        </w:tc>
        <w:tc>
          <w:tcPr>
            <w:tcW w:w="916" w:type="dxa"/>
            <w:vAlign w:val="center"/>
          </w:tcPr>
          <w:p w14:paraId="1FA542FF">
            <w:pPr>
              <w:keepNext w:val="0"/>
              <w:keepLines w:val="0"/>
              <w:pageBreakBefore w:val="0"/>
              <w:widowControl/>
              <w:suppressLineNumbers w:val="0"/>
              <w:kinsoku/>
              <w:overflowPunct/>
              <w:bidi w:val="0"/>
              <w:spacing w:beforeLines="0" w:afterLines="0" w:line="360" w:lineRule="auto"/>
              <w:ind w:left="0" w:leftChars="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100-500万</w:t>
            </w:r>
          </w:p>
        </w:tc>
        <w:tc>
          <w:tcPr>
            <w:tcW w:w="808" w:type="dxa"/>
            <w:vAlign w:val="center"/>
          </w:tcPr>
          <w:p w14:paraId="169E169E">
            <w:pPr>
              <w:keepNext w:val="0"/>
              <w:keepLines w:val="0"/>
              <w:pageBreakBefore w:val="0"/>
              <w:widowControl/>
              <w:suppressLineNumbers w:val="0"/>
              <w:kinsoku/>
              <w:overflowPunct/>
              <w:bidi w:val="0"/>
              <w:spacing w:beforeLines="0" w:afterLines="0" w:line="360" w:lineRule="auto"/>
              <w:ind w:left="0" w:leftChars="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500万以上</w:t>
            </w:r>
          </w:p>
        </w:tc>
        <w:tc>
          <w:tcPr>
            <w:tcW w:w="3445" w:type="dxa"/>
            <w:gridSpan w:val="4"/>
            <w:vAlign w:val="center"/>
          </w:tcPr>
          <w:p w14:paraId="2D25A518">
            <w:pPr>
              <w:keepNext w:val="0"/>
              <w:keepLines w:val="0"/>
              <w:pageBreakBefore w:val="0"/>
              <w:widowControl/>
              <w:suppressLineNumbers w:val="0"/>
              <w:kinsoku/>
              <w:overflowPunct/>
              <w:bidi w:val="0"/>
              <w:spacing w:beforeLines="0" w:afterLines="0" w:line="360" w:lineRule="auto"/>
              <w:ind w:left="0" w:leftChars="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预算复审只计算效益收费，按差额定率累进计算，再乘以对应折率计算最终复审费用。折率按送审金额划分，送审金额3000万元以下打9折，3000万（含）至6000万的按8折计算，6000万（含）至1亿的按7折计算，1亿（含）以上按6折计算。核减额的计算是相对初审结果作出的，即核减额＝定案金额-初审结果。若出现核增时，效益收费为0，按2000元/宗计算复审费用；</w:t>
            </w:r>
          </w:p>
        </w:tc>
      </w:tr>
      <w:tr w14:paraId="1375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90" w:type="dxa"/>
            <w:vMerge w:val="continue"/>
            <w:vAlign w:val="center"/>
          </w:tcPr>
          <w:p w14:paraId="4BA8FCC1">
            <w:pPr>
              <w:pageBreakBefore w:val="0"/>
              <w:kinsoku/>
              <w:overflowPunct/>
              <w:bidi w:val="0"/>
              <w:spacing w:beforeLines="0" w:afterLines="0" w:line="360" w:lineRule="auto"/>
              <w:ind w:left="0" w:leftChars="0" w:right="0"/>
              <w:jc w:val="center"/>
              <w:rPr>
                <w:rFonts w:hint="eastAsia" w:ascii="宋体" w:hAnsi="宋体" w:eastAsia="宋体" w:cs="宋体"/>
                <w:i w:val="0"/>
                <w:iCs w:val="0"/>
                <w:color w:val="auto"/>
                <w:sz w:val="20"/>
                <w:szCs w:val="20"/>
                <w:highlight w:val="none"/>
                <w:u w:val="none"/>
              </w:rPr>
            </w:pPr>
          </w:p>
        </w:tc>
        <w:tc>
          <w:tcPr>
            <w:tcW w:w="2016" w:type="dxa"/>
            <w:gridSpan w:val="2"/>
            <w:vMerge w:val="continue"/>
            <w:vAlign w:val="center"/>
          </w:tcPr>
          <w:p w14:paraId="5A1D86F8">
            <w:pPr>
              <w:pageBreakBefore w:val="0"/>
              <w:kinsoku/>
              <w:overflowPunct/>
              <w:bidi w:val="0"/>
              <w:spacing w:beforeLines="0" w:afterLines="0" w:line="360" w:lineRule="auto"/>
              <w:ind w:left="0" w:leftChars="0" w:right="0"/>
              <w:jc w:val="center"/>
              <w:rPr>
                <w:rFonts w:hint="eastAsia" w:ascii="宋体" w:hAnsi="宋体" w:eastAsia="宋体" w:cs="宋体"/>
                <w:i w:val="0"/>
                <w:iCs w:val="0"/>
                <w:color w:val="auto"/>
                <w:sz w:val="20"/>
                <w:szCs w:val="20"/>
                <w:highlight w:val="none"/>
                <w:u w:val="none"/>
              </w:rPr>
            </w:pPr>
          </w:p>
        </w:tc>
        <w:tc>
          <w:tcPr>
            <w:tcW w:w="2212" w:type="dxa"/>
            <w:vMerge w:val="continue"/>
            <w:vAlign w:val="center"/>
          </w:tcPr>
          <w:p w14:paraId="1B8AC701">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c>
          <w:tcPr>
            <w:tcW w:w="755" w:type="dxa"/>
            <w:vMerge w:val="continue"/>
            <w:vAlign w:val="center"/>
          </w:tcPr>
          <w:p w14:paraId="61B9103B">
            <w:pPr>
              <w:pageBreakBefore w:val="0"/>
              <w:kinsoku/>
              <w:overflowPunct/>
              <w:bidi w:val="0"/>
              <w:spacing w:beforeLines="0" w:afterLines="0" w:line="360" w:lineRule="auto"/>
              <w:ind w:left="0" w:leftChars="0" w:right="0"/>
              <w:jc w:val="center"/>
              <w:rPr>
                <w:rFonts w:hint="eastAsia" w:ascii="宋体" w:hAnsi="宋体" w:eastAsia="宋体" w:cs="宋体"/>
                <w:i w:val="0"/>
                <w:iCs w:val="0"/>
                <w:color w:val="auto"/>
                <w:sz w:val="20"/>
                <w:szCs w:val="20"/>
                <w:highlight w:val="none"/>
                <w:u w:val="none"/>
              </w:rPr>
            </w:pPr>
          </w:p>
        </w:tc>
        <w:tc>
          <w:tcPr>
            <w:tcW w:w="1027" w:type="dxa"/>
            <w:vAlign w:val="center"/>
          </w:tcPr>
          <w:p w14:paraId="304C4DA5">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20%</w:t>
            </w:r>
          </w:p>
        </w:tc>
        <w:tc>
          <w:tcPr>
            <w:tcW w:w="1041" w:type="dxa"/>
            <w:vAlign w:val="center"/>
          </w:tcPr>
          <w:p w14:paraId="5383458C">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15%</w:t>
            </w:r>
          </w:p>
        </w:tc>
        <w:tc>
          <w:tcPr>
            <w:tcW w:w="872" w:type="dxa"/>
            <w:vAlign w:val="center"/>
          </w:tcPr>
          <w:p w14:paraId="5B2D537D">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10%</w:t>
            </w:r>
          </w:p>
        </w:tc>
        <w:tc>
          <w:tcPr>
            <w:tcW w:w="916" w:type="dxa"/>
            <w:vAlign w:val="center"/>
          </w:tcPr>
          <w:p w14:paraId="390AB6EA">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5%</w:t>
            </w:r>
          </w:p>
        </w:tc>
        <w:tc>
          <w:tcPr>
            <w:tcW w:w="808" w:type="dxa"/>
            <w:vAlign w:val="center"/>
          </w:tcPr>
          <w:p w14:paraId="5016FAAC">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3%</w:t>
            </w:r>
          </w:p>
        </w:tc>
        <w:tc>
          <w:tcPr>
            <w:tcW w:w="3445" w:type="dxa"/>
            <w:gridSpan w:val="4"/>
            <w:vAlign w:val="center"/>
          </w:tcPr>
          <w:p w14:paraId="6EC8CFF1">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6A71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90" w:type="dxa"/>
            <w:vMerge w:val="restart"/>
            <w:vAlign w:val="center"/>
          </w:tcPr>
          <w:p w14:paraId="43A9BCCA">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6</w:t>
            </w:r>
          </w:p>
        </w:tc>
        <w:tc>
          <w:tcPr>
            <w:tcW w:w="2016" w:type="dxa"/>
            <w:gridSpan w:val="2"/>
            <w:vMerge w:val="restart"/>
            <w:vAlign w:val="center"/>
          </w:tcPr>
          <w:p w14:paraId="569F3C6F">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竣工财务决算审核</w:t>
            </w:r>
          </w:p>
        </w:tc>
        <w:tc>
          <w:tcPr>
            <w:tcW w:w="2212" w:type="dxa"/>
            <w:vMerge w:val="restart"/>
            <w:vAlign w:val="center"/>
          </w:tcPr>
          <w:p w14:paraId="107BCC3D">
            <w:pPr>
              <w:keepNext w:val="0"/>
              <w:keepLines w:val="0"/>
              <w:pageBreakBefore w:val="0"/>
              <w:widowControl/>
              <w:suppressLineNumbers w:val="0"/>
              <w:kinsoku/>
              <w:overflowPunct/>
              <w:bidi w:val="0"/>
              <w:spacing w:beforeLines="0" w:afterLines="0" w:line="360" w:lineRule="auto"/>
              <w:ind w:left="0" w:leftChars="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按《财政投资项目评审操作规程》、《基本建设财务管理规定》和《财政部关于解释〈基本建设财务管理规定〉执行中有关问题的通知》等要求审核</w:t>
            </w:r>
          </w:p>
        </w:tc>
        <w:tc>
          <w:tcPr>
            <w:tcW w:w="755" w:type="dxa"/>
            <w:vMerge w:val="restart"/>
            <w:vAlign w:val="center"/>
          </w:tcPr>
          <w:p w14:paraId="5CE44F03">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审定金额</w:t>
            </w:r>
          </w:p>
        </w:tc>
        <w:tc>
          <w:tcPr>
            <w:tcW w:w="2068" w:type="dxa"/>
            <w:gridSpan w:val="2"/>
            <w:vAlign w:val="center"/>
          </w:tcPr>
          <w:p w14:paraId="71D05053">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3000万（含）以内</w:t>
            </w:r>
          </w:p>
          <w:p w14:paraId="43873E37">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p>
        </w:tc>
        <w:tc>
          <w:tcPr>
            <w:tcW w:w="1788" w:type="dxa"/>
            <w:gridSpan w:val="2"/>
            <w:vAlign w:val="center"/>
          </w:tcPr>
          <w:p w14:paraId="3F8BCB55">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3000万-5000万（含）</w:t>
            </w:r>
          </w:p>
        </w:tc>
        <w:tc>
          <w:tcPr>
            <w:tcW w:w="1641" w:type="dxa"/>
            <w:gridSpan w:val="2"/>
            <w:vAlign w:val="center"/>
          </w:tcPr>
          <w:p w14:paraId="11972829">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5000万-</w:t>
            </w:r>
          </w:p>
          <w:p w14:paraId="1AC1C4DF">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1亿（含）</w:t>
            </w:r>
          </w:p>
        </w:tc>
        <w:tc>
          <w:tcPr>
            <w:tcW w:w="1102" w:type="dxa"/>
            <w:vAlign w:val="center"/>
          </w:tcPr>
          <w:p w14:paraId="5F0C0D65">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1亿-5亿（含）</w:t>
            </w:r>
          </w:p>
        </w:tc>
        <w:tc>
          <w:tcPr>
            <w:tcW w:w="1510" w:type="dxa"/>
            <w:gridSpan w:val="2"/>
            <w:vAlign w:val="center"/>
          </w:tcPr>
          <w:p w14:paraId="47B8D0E6">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5亿</w:t>
            </w:r>
          </w:p>
          <w:p w14:paraId="157737F6">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以上</w:t>
            </w:r>
          </w:p>
        </w:tc>
      </w:tr>
      <w:tr w14:paraId="40BB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90" w:type="dxa"/>
            <w:vMerge w:val="continue"/>
            <w:vAlign w:val="center"/>
          </w:tcPr>
          <w:p w14:paraId="4503A8CE">
            <w:pPr>
              <w:pageBreakBefore w:val="0"/>
              <w:kinsoku/>
              <w:overflowPunct/>
              <w:bidi w:val="0"/>
              <w:spacing w:beforeLines="0" w:afterLines="0" w:line="360" w:lineRule="auto"/>
              <w:ind w:left="0" w:leftChars="0" w:right="0"/>
              <w:jc w:val="center"/>
              <w:rPr>
                <w:rFonts w:hint="eastAsia" w:ascii="宋体" w:hAnsi="宋体" w:eastAsia="宋体" w:cs="宋体"/>
                <w:i w:val="0"/>
                <w:iCs w:val="0"/>
                <w:color w:val="auto"/>
                <w:sz w:val="20"/>
                <w:szCs w:val="20"/>
                <w:highlight w:val="none"/>
                <w:u w:val="none"/>
              </w:rPr>
            </w:pPr>
          </w:p>
        </w:tc>
        <w:tc>
          <w:tcPr>
            <w:tcW w:w="2016" w:type="dxa"/>
            <w:gridSpan w:val="2"/>
            <w:vMerge w:val="continue"/>
            <w:vAlign w:val="center"/>
          </w:tcPr>
          <w:p w14:paraId="6181C783">
            <w:pPr>
              <w:pageBreakBefore w:val="0"/>
              <w:kinsoku/>
              <w:overflowPunct/>
              <w:bidi w:val="0"/>
              <w:spacing w:beforeLines="0" w:afterLines="0" w:line="360" w:lineRule="auto"/>
              <w:ind w:left="0" w:leftChars="0" w:right="0"/>
              <w:jc w:val="center"/>
              <w:rPr>
                <w:rFonts w:hint="eastAsia" w:ascii="宋体" w:hAnsi="宋体" w:eastAsia="宋体" w:cs="宋体"/>
                <w:i w:val="0"/>
                <w:iCs w:val="0"/>
                <w:color w:val="auto"/>
                <w:sz w:val="20"/>
                <w:szCs w:val="20"/>
                <w:highlight w:val="none"/>
                <w:u w:val="none"/>
              </w:rPr>
            </w:pPr>
          </w:p>
        </w:tc>
        <w:tc>
          <w:tcPr>
            <w:tcW w:w="2212" w:type="dxa"/>
            <w:vMerge w:val="continue"/>
            <w:vAlign w:val="center"/>
          </w:tcPr>
          <w:p w14:paraId="54E8E78A">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c>
          <w:tcPr>
            <w:tcW w:w="755" w:type="dxa"/>
            <w:vMerge w:val="continue"/>
            <w:vAlign w:val="center"/>
          </w:tcPr>
          <w:p w14:paraId="0ED42475">
            <w:pPr>
              <w:pageBreakBefore w:val="0"/>
              <w:kinsoku/>
              <w:overflowPunct/>
              <w:bidi w:val="0"/>
              <w:spacing w:beforeLines="0" w:afterLines="0" w:line="360" w:lineRule="auto"/>
              <w:ind w:left="0" w:leftChars="0" w:right="0"/>
              <w:jc w:val="center"/>
              <w:rPr>
                <w:rFonts w:hint="eastAsia" w:ascii="宋体" w:hAnsi="宋体" w:eastAsia="宋体" w:cs="宋体"/>
                <w:i w:val="0"/>
                <w:iCs w:val="0"/>
                <w:color w:val="auto"/>
                <w:sz w:val="20"/>
                <w:szCs w:val="20"/>
                <w:highlight w:val="none"/>
                <w:u w:val="none"/>
              </w:rPr>
            </w:pPr>
          </w:p>
        </w:tc>
        <w:tc>
          <w:tcPr>
            <w:tcW w:w="2068" w:type="dxa"/>
            <w:gridSpan w:val="2"/>
            <w:vAlign w:val="center"/>
          </w:tcPr>
          <w:p w14:paraId="3BFA422F">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0.864‰</w:t>
            </w:r>
          </w:p>
        </w:tc>
        <w:tc>
          <w:tcPr>
            <w:tcW w:w="1788" w:type="dxa"/>
            <w:gridSpan w:val="2"/>
            <w:vAlign w:val="center"/>
          </w:tcPr>
          <w:p w14:paraId="04D9BC7C">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0.576‰</w:t>
            </w:r>
          </w:p>
        </w:tc>
        <w:tc>
          <w:tcPr>
            <w:tcW w:w="1641" w:type="dxa"/>
            <w:gridSpan w:val="2"/>
            <w:vAlign w:val="center"/>
          </w:tcPr>
          <w:p w14:paraId="733082D6">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0.432‰</w:t>
            </w:r>
          </w:p>
        </w:tc>
        <w:tc>
          <w:tcPr>
            <w:tcW w:w="1102" w:type="dxa"/>
            <w:vAlign w:val="center"/>
          </w:tcPr>
          <w:p w14:paraId="7776A907">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0.288‰</w:t>
            </w:r>
          </w:p>
        </w:tc>
        <w:tc>
          <w:tcPr>
            <w:tcW w:w="1510" w:type="dxa"/>
            <w:gridSpan w:val="2"/>
            <w:vAlign w:val="center"/>
          </w:tcPr>
          <w:p w14:paraId="1E1DBA29">
            <w:pPr>
              <w:keepNext w:val="0"/>
              <w:keepLines w:val="0"/>
              <w:pageBreakBefore w:val="0"/>
              <w:widowControl/>
              <w:suppressLineNumbers w:val="0"/>
              <w:kinsoku/>
              <w:overflowPunct/>
              <w:bidi w:val="0"/>
              <w:spacing w:beforeLines="0" w:afterLines="0" w:line="360" w:lineRule="auto"/>
              <w:ind w:left="0" w:leftChars="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rPr>
              <w:t>0.144‰</w:t>
            </w:r>
          </w:p>
        </w:tc>
      </w:tr>
      <w:tr w14:paraId="0723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restart"/>
          </w:tcPr>
          <w:p w14:paraId="3168094C">
            <w:pPr>
              <w:keepNext w:val="0"/>
              <w:keepLines w:val="0"/>
              <w:pageBreakBefore w:val="0"/>
              <w:widowControl/>
              <w:suppressLineNumbers w:val="0"/>
              <w:kinsoku/>
              <w:overflowPunct/>
              <w:bidi w:val="0"/>
              <w:spacing w:beforeLines="0" w:afterLines="0" w:line="360" w:lineRule="auto"/>
              <w:ind w:left="0" w:leftChars="0" w:right="0"/>
              <w:jc w:val="left"/>
              <w:textAlignment w:val="top"/>
              <w:rPr>
                <w:rFonts w:hint="eastAsia" w:ascii="宋体" w:hAnsi="宋体" w:eastAsia="宋体" w:cs="宋体"/>
                <w:i w:val="0"/>
                <w:iCs w:val="0"/>
                <w:color w:val="auto"/>
                <w:kern w:val="0"/>
                <w:sz w:val="20"/>
                <w:szCs w:val="20"/>
                <w:highlight w:val="none"/>
                <w:u w:val="none"/>
                <w:lang w:val="en-US" w:eastAsia="zh-CN"/>
              </w:rPr>
            </w:pPr>
          </w:p>
          <w:tbl>
            <w:tblPr>
              <w:tblStyle w:val="63"/>
              <w:tblW w:w="136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66"/>
            </w:tblGrid>
            <w:tr w14:paraId="51E0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3666" w:type="dxa"/>
                  <w:vMerge w:val="restart"/>
                  <w:tcBorders>
                    <w:top w:val="nil"/>
                    <w:left w:val="nil"/>
                    <w:bottom w:val="nil"/>
                    <w:right w:val="nil"/>
                  </w:tcBorders>
                  <w:vAlign w:val="top"/>
                </w:tcPr>
                <w:p w14:paraId="294A4B4B">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rPr>
                    <w:t>注:1、按以上计费标准计算费用后减扣罚费用后为中标人的最终收费；</w:t>
                  </w:r>
                </w:p>
                <w:p w14:paraId="2D29C50C">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29"/>
                      <w:rFonts w:ascii="宋体" w:hAnsi="宋体" w:eastAsia="宋体" w:cs="宋体"/>
                      <w:color w:val="auto"/>
                      <w:highlight w:val="none"/>
                      <w:lang w:val="en-US" w:eastAsia="zh-CN"/>
                    </w:rPr>
                  </w:pPr>
                  <w:r>
                    <w:rPr>
                      <w:rStyle w:val="229"/>
                      <w:rFonts w:ascii="宋体" w:hAnsi="宋体" w:eastAsia="宋体" w:cs="宋体"/>
                      <w:color w:val="auto"/>
                      <w:highlight w:val="none"/>
                      <w:lang w:val="en-US" w:eastAsia="zh-CN"/>
                    </w:rPr>
                    <w:t>2、序号第1至6项最终收费不足2000元的按2000元计算；序号第1至6项的计费均按差额定率累进计算。</w:t>
                  </w:r>
                </w:p>
                <w:p w14:paraId="5F0BA13D">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30"/>
                      <w:rFonts w:ascii="宋体" w:hAnsi="宋体" w:eastAsia="宋体" w:cs="宋体"/>
                      <w:color w:val="auto"/>
                      <w:highlight w:val="none"/>
                      <w:lang w:val="en-US" w:eastAsia="zh-CN"/>
                    </w:rPr>
                  </w:pPr>
                  <w:r>
                    <w:rPr>
                      <w:rStyle w:val="230"/>
                      <w:rFonts w:ascii="宋体" w:hAnsi="宋体" w:eastAsia="宋体" w:cs="宋体"/>
                      <w:color w:val="auto"/>
                      <w:highlight w:val="none"/>
                      <w:lang w:val="en-US" w:eastAsia="zh-CN"/>
                    </w:rPr>
                    <w:t xml:space="preserve">3、工程主材若不计入工程造价，则不计入取费基数；征地拆迁费、预备费和送审已明确不需评审的费用不计入取费基数。 </w:t>
                  </w:r>
                </w:p>
                <w:p w14:paraId="22B29492">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30"/>
                      <w:rFonts w:ascii="宋体" w:hAnsi="宋体" w:eastAsia="宋体" w:cs="宋体"/>
                      <w:color w:val="auto"/>
                      <w:highlight w:val="none"/>
                      <w:lang w:val="en-US" w:eastAsia="zh-CN"/>
                    </w:rPr>
                  </w:pPr>
                  <w:r>
                    <w:rPr>
                      <w:rStyle w:val="230"/>
                      <w:rFonts w:ascii="宋体" w:hAnsi="宋体" w:eastAsia="宋体" w:cs="宋体"/>
                      <w:color w:val="auto"/>
                      <w:highlight w:val="none"/>
                      <w:lang w:val="en-US" w:eastAsia="zh-CN"/>
                    </w:rPr>
                    <w:t>4、以实际送审金额为准计算审核费。</w:t>
                  </w:r>
                </w:p>
                <w:p w14:paraId="67648C58">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30"/>
                      <w:rFonts w:ascii="宋体" w:hAnsi="宋体" w:eastAsia="宋体" w:cs="宋体"/>
                      <w:color w:val="auto"/>
                      <w:highlight w:val="none"/>
                      <w:lang w:val="en-US" w:eastAsia="zh-CN"/>
                    </w:rPr>
                  </w:pPr>
                  <w:r>
                    <w:rPr>
                      <w:rStyle w:val="230"/>
                      <w:rFonts w:ascii="宋体" w:hAnsi="宋体" w:eastAsia="宋体" w:cs="宋体"/>
                      <w:color w:val="auto"/>
                      <w:highlight w:val="none"/>
                      <w:lang w:val="en-US" w:eastAsia="zh-CN"/>
                    </w:rPr>
                    <w:t>5、结算初审的审核计费=基本收费+效益收费；审核工程结算时，施工合同约定的下浮额和暂列金，高于合同约定上限的差额以及第三方核减金额不作为核减额计费。</w:t>
                  </w:r>
                </w:p>
                <w:p w14:paraId="05100C60">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30"/>
                      <w:rFonts w:ascii="宋体" w:hAnsi="宋体" w:eastAsia="宋体" w:cs="宋体"/>
                      <w:color w:val="auto"/>
                      <w:highlight w:val="none"/>
                      <w:lang w:val="en-US" w:eastAsia="zh-CN"/>
                    </w:rPr>
                  </w:pPr>
                  <w:r>
                    <w:rPr>
                      <w:rStyle w:val="229"/>
                      <w:rFonts w:ascii="宋体" w:hAnsi="宋体" w:eastAsia="宋体" w:cs="宋体"/>
                      <w:color w:val="auto"/>
                      <w:highlight w:val="none"/>
                      <w:lang w:val="en-US" w:eastAsia="zh-CN"/>
                    </w:rPr>
                    <w:t>6、</w:t>
                  </w:r>
                  <w:r>
                    <w:rPr>
                      <w:rStyle w:val="230"/>
                      <w:rFonts w:ascii="宋体" w:hAnsi="宋体" w:eastAsia="宋体" w:cs="宋体"/>
                      <w:color w:val="auto"/>
                      <w:highlight w:val="none"/>
                      <w:lang w:val="en-US" w:eastAsia="zh-CN"/>
                    </w:rPr>
                    <w:t>预算复审按预算初审计费标准的90%计费。</w:t>
                  </w:r>
                </w:p>
                <w:p w14:paraId="0AF931E2">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30"/>
                      <w:rFonts w:ascii="宋体" w:hAnsi="宋体" w:eastAsia="宋体" w:cs="宋体"/>
                      <w:color w:val="auto"/>
                      <w:highlight w:val="none"/>
                      <w:lang w:val="en-US" w:eastAsia="zh-CN"/>
                    </w:rPr>
                  </w:pPr>
                  <w:r>
                    <w:rPr>
                      <w:rStyle w:val="230"/>
                      <w:rFonts w:ascii="宋体" w:hAnsi="宋体" w:eastAsia="宋体" w:cs="宋体"/>
                      <w:color w:val="auto"/>
                      <w:highlight w:val="none"/>
                      <w:lang w:val="en-US" w:eastAsia="zh-CN"/>
                    </w:rPr>
                    <w:t>7、公路交通项目以及轨道交通中的区间工程的概算审核、预算审核以及结算单审和双审的基本收费，按上述计费标准的50%计费。</w:t>
                  </w:r>
                </w:p>
                <w:p w14:paraId="2C5E4192">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30"/>
                      <w:rFonts w:ascii="宋体" w:hAnsi="宋体" w:eastAsia="宋体" w:cs="宋体"/>
                      <w:color w:val="auto"/>
                      <w:highlight w:val="none"/>
                      <w:lang w:val="en-US" w:eastAsia="zh-CN"/>
                    </w:rPr>
                  </w:pPr>
                  <w:r>
                    <w:rPr>
                      <w:rStyle w:val="230"/>
                      <w:rFonts w:hint="eastAsia" w:ascii="宋体" w:hAnsi="宋体" w:eastAsia="宋体" w:cs="宋体"/>
                      <w:color w:val="auto"/>
                      <w:highlight w:val="none"/>
                      <w:lang w:val="en-US" w:eastAsia="zh-CN"/>
                    </w:rPr>
                    <w:t>8</w:t>
                  </w:r>
                  <w:r>
                    <w:rPr>
                      <w:rStyle w:val="230"/>
                      <w:rFonts w:ascii="宋体" w:hAnsi="宋体" w:eastAsia="宋体" w:cs="宋体"/>
                      <w:color w:val="auto"/>
                      <w:highlight w:val="none"/>
                      <w:lang w:val="en-US" w:eastAsia="zh-CN"/>
                    </w:rPr>
                    <w:t>、弃审补偿标准：</w:t>
                  </w:r>
                </w:p>
                <w:p w14:paraId="5DC40D64">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30"/>
                      <w:rFonts w:ascii="宋体" w:hAnsi="宋体" w:eastAsia="宋体" w:cs="宋体"/>
                      <w:color w:val="auto"/>
                      <w:highlight w:val="none"/>
                      <w:lang w:val="en-US" w:eastAsia="zh-CN"/>
                    </w:rPr>
                  </w:pPr>
                  <w:r>
                    <w:rPr>
                      <w:rStyle w:val="230"/>
                      <w:rFonts w:ascii="宋体" w:hAnsi="宋体" w:eastAsia="宋体" w:cs="宋体"/>
                      <w:color w:val="auto"/>
                      <w:highlight w:val="none"/>
                      <w:lang w:val="en-US" w:eastAsia="zh-CN"/>
                    </w:rPr>
                    <w:t>在审核过程中出现因甲方原因引起退件弃审的情况，对未提交审核初稿，不支付付审核费；对已提交初稿但未进行对数的的工程按协议价的60%支付审核费；对已提交初稿并已进行对数的的工程按协议价的70%支付审核费；对已办理定案手续的工程按协议价的100%支付审核费。本协议经甲乙双方确认后终止履行。若退件弃审由审核方原因引起的，甲方则无需向审核方支付审核费。退件弃审表示该工程审核工作不再继续，审核任务不再由原审核方承担，如弃审后又需要原审核方审核的，则按原收费标准计算审核费，并扣除已支付部分后，支付剩余部分费用。</w:t>
                  </w:r>
                </w:p>
                <w:p w14:paraId="61C14FAC">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30"/>
                      <w:rFonts w:ascii="宋体" w:hAnsi="宋体" w:eastAsia="宋体" w:cs="宋体"/>
                      <w:color w:val="auto"/>
                      <w:highlight w:val="none"/>
                      <w:lang w:val="en-US" w:eastAsia="zh-CN"/>
                    </w:rPr>
                  </w:pPr>
                  <w:r>
                    <w:rPr>
                      <w:rStyle w:val="230"/>
                      <w:rFonts w:hint="eastAsia" w:ascii="宋体" w:hAnsi="宋体" w:eastAsia="宋体" w:cs="宋体"/>
                      <w:color w:val="auto"/>
                      <w:highlight w:val="none"/>
                      <w:lang w:val="en-US" w:eastAsia="zh-CN"/>
                    </w:rPr>
                    <w:t>9</w:t>
                  </w:r>
                  <w:r>
                    <w:rPr>
                      <w:rStyle w:val="230"/>
                      <w:rFonts w:ascii="宋体" w:hAnsi="宋体" w:eastAsia="宋体" w:cs="宋体"/>
                      <w:color w:val="auto"/>
                      <w:highlight w:val="none"/>
                      <w:lang w:val="en-US" w:eastAsia="zh-CN"/>
                    </w:rPr>
                    <w:t>、</w:t>
                  </w:r>
                  <w:r>
                    <w:rPr>
                      <w:rStyle w:val="230"/>
                      <w:rFonts w:hint="eastAsia" w:ascii="宋体" w:hAnsi="宋体" w:eastAsia="宋体" w:cs="宋体"/>
                      <w:color w:val="auto"/>
                      <w:highlight w:val="none"/>
                      <w:lang w:val="en-US" w:eastAsia="zh-CN"/>
                    </w:rPr>
                    <w:t>合同总价包干</w:t>
                  </w:r>
                  <w:r>
                    <w:rPr>
                      <w:rStyle w:val="230"/>
                      <w:rFonts w:ascii="宋体" w:hAnsi="宋体" w:eastAsia="宋体" w:cs="宋体"/>
                      <w:color w:val="auto"/>
                      <w:highlight w:val="none"/>
                      <w:lang w:val="en-US" w:eastAsia="zh-CN"/>
                    </w:rPr>
                    <w:t>项目结算工程造价咨询服务费，按以下方式计取：</w:t>
                  </w:r>
                </w:p>
                <w:p w14:paraId="633481E0">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29"/>
                      <w:rFonts w:ascii="宋体" w:hAnsi="宋体" w:eastAsia="宋体" w:cs="宋体"/>
                      <w:color w:val="auto"/>
                      <w:highlight w:val="none"/>
                      <w:lang w:val="en-US" w:eastAsia="zh-CN"/>
                    </w:rPr>
                  </w:pPr>
                  <w:r>
                    <w:rPr>
                      <w:rStyle w:val="229"/>
                      <w:rFonts w:ascii="宋体" w:hAnsi="宋体" w:eastAsia="宋体" w:cs="宋体"/>
                      <w:color w:val="auto"/>
                      <w:highlight w:val="none"/>
                      <w:lang w:val="en-US" w:eastAsia="zh-CN"/>
                    </w:rPr>
                    <w:t>（1）基本收费：送审金额1亿元以内（含）按本表结算基本收费的30%计取，1亿元以上至3亿（含）按本表结算基本收费的20%计取，3亿至10亿（含）按本表结算基本收费的10%计取，10亿以上部分按本表结算基本收费的5%计取，基本收费上限为30万元。</w:t>
                  </w:r>
                </w:p>
                <w:p w14:paraId="3FA01772">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30"/>
                      <w:rFonts w:ascii="宋体" w:hAnsi="宋体" w:eastAsia="宋体" w:cs="宋体"/>
                      <w:color w:val="auto"/>
                      <w:highlight w:val="none"/>
                      <w:lang w:val="en-US" w:eastAsia="zh-CN"/>
                    </w:rPr>
                  </w:pPr>
                  <w:r>
                    <w:rPr>
                      <w:rStyle w:val="230"/>
                      <w:rFonts w:ascii="宋体" w:hAnsi="宋体" w:eastAsia="宋体" w:cs="宋体"/>
                      <w:color w:val="auto"/>
                      <w:highlight w:val="none"/>
                      <w:lang w:val="en-US" w:eastAsia="zh-CN"/>
                    </w:rPr>
                    <w:t>（2）效益收费：按本表结算效益收费标准执行。</w:t>
                  </w:r>
                </w:p>
                <w:p w14:paraId="23912A13">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30"/>
                      <w:rFonts w:ascii="宋体" w:hAnsi="宋体" w:eastAsia="宋体" w:cs="宋体"/>
                      <w:color w:val="auto"/>
                      <w:highlight w:val="none"/>
                      <w:lang w:val="en-US" w:eastAsia="zh-CN"/>
                    </w:rPr>
                  </w:pPr>
                  <w:r>
                    <w:rPr>
                      <w:rStyle w:val="230"/>
                      <w:rFonts w:ascii="宋体" w:hAnsi="宋体" w:eastAsia="宋体" w:cs="宋体"/>
                      <w:color w:val="auto"/>
                      <w:highlight w:val="none"/>
                      <w:lang w:val="en-US" w:eastAsia="zh-CN"/>
                    </w:rPr>
                    <w:t>1</w:t>
                  </w:r>
                  <w:r>
                    <w:rPr>
                      <w:rStyle w:val="230"/>
                      <w:rFonts w:hint="eastAsia" w:ascii="宋体" w:hAnsi="宋体" w:eastAsia="宋体" w:cs="宋体"/>
                      <w:color w:val="auto"/>
                      <w:highlight w:val="none"/>
                      <w:lang w:val="en-US" w:eastAsia="zh-CN"/>
                    </w:rPr>
                    <w:t>0</w:t>
                  </w:r>
                  <w:r>
                    <w:rPr>
                      <w:rStyle w:val="230"/>
                      <w:rFonts w:ascii="宋体" w:hAnsi="宋体" w:eastAsia="宋体" w:cs="宋体"/>
                      <w:color w:val="auto"/>
                      <w:highlight w:val="none"/>
                      <w:lang w:val="en-US" w:eastAsia="zh-CN"/>
                    </w:rPr>
                    <w:t>、若项目中设备购置费</w:t>
                  </w:r>
                  <w:r>
                    <w:rPr>
                      <w:rStyle w:val="230"/>
                      <w:rFonts w:hint="eastAsia" w:ascii="宋体" w:hAnsi="宋体" w:eastAsia="宋体" w:cs="宋体"/>
                      <w:color w:val="auto"/>
                      <w:highlight w:val="none"/>
                      <w:lang w:val="en-US" w:eastAsia="zh-CN"/>
                    </w:rPr>
                    <w:t>（含税价）</w:t>
                  </w:r>
                  <w:r>
                    <w:rPr>
                      <w:rStyle w:val="230"/>
                      <w:rFonts w:ascii="宋体" w:hAnsi="宋体" w:eastAsia="宋体" w:cs="宋体"/>
                      <w:color w:val="auto"/>
                      <w:highlight w:val="none"/>
                      <w:lang w:val="en-US" w:eastAsia="zh-CN"/>
                    </w:rPr>
                    <w:t>超过1000万元且符合以下条件：1）单价超过10万元的设备；2）设备单价不超过10万元，但同一型号设备总价超过300万元。则符合条件的设备购置费（含税价）按收费标准的50%计算，不符合条件的设备购置费（含税价）按正常收费标准计算。</w:t>
                  </w:r>
                </w:p>
                <w:p w14:paraId="142F0E88">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29"/>
                      <w:rFonts w:ascii="宋体" w:hAnsi="宋体" w:eastAsia="宋体" w:cs="宋体"/>
                      <w:color w:val="auto"/>
                      <w:highlight w:val="none"/>
                      <w:lang w:val="en-US" w:eastAsia="zh-CN"/>
                    </w:rPr>
                  </w:pPr>
                  <w:r>
                    <w:rPr>
                      <w:rStyle w:val="229"/>
                      <w:rFonts w:ascii="宋体" w:hAnsi="宋体" w:eastAsia="宋体" w:cs="宋体"/>
                      <w:color w:val="auto"/>
                      <w:highlight w:val="none"/>
                      <w:lang w:val="en-US" w:eastAsia="zh-CN"/>
                    </w:rPr>
                    <w:t>1</w:t>
                  </w:r>
                  <w:r>
                    <w:rPr>
                      <w:rStyle w:val="229"/>
                      <w:rFonts w:hint="eastAsia" w:ascii="宋体" w:hAnsi="宋体" w:eastAsia="宋体" w:cs="宋体"/>
                      <w:color w:val="auto"/>
                      <w:highlight w:val="none"/>
                      <w:lang w:val="en-US" w:eastAsia="zh-CN"/>
                    </w:rPr>
                    <w:t>1</w:t>
                  </w:r>
                  <w:r>
                    <w:rPr>
                      <w:rStyle w:val="229"/>
                      <w:rFonts w:ascii="宋体" w:hAnsi="宋体" w:eastAsia="宋体" w:cs="宋体"/>
                      <w:color w:val="auto"/>
                      <w:highlight w:val="none"/>
                      <w:lang w:val="en-US" w:eastAsia="zh-CN"/>
                    </w:rPr>
                    <w:t>、工程建设其他费用的工程造价咨询服务费按以下方式收费：</w:t>
                  </w:r>
                </w:p>
                <w:p w14:paraId="351A251C">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29"/>
                      <w:rFonts w:ascii="宋体" w:hAnsi="宋体" w:eastAsia="宋体" w:cs="宋体"/>
                      <w:color w:val="auto"/>
                      <w:highlight w:val="none"/>
                      <w:lang w:val="en-US" w:eastAsia="zh-CN"/>
                    </w:rPr>
                  </w:pPr>
                  <w:r>
                    <w:rPr>
                      <w:rStyle w:val="229"/>
                      <w:rFonts w:ascii="宋体" w:hAnsi="宋体" w:eastAsia="宋体" w:cs="宋体"/>
                      <w:color w:val="auto"/>
                      <w:highlight w:val="none"/>
                      <w:lang w:val="en-US" w:eastAsia="zh-CN"/>
                    </w:rPr>
                    <w:t>（1）工程建设其他费用单独委托的项目，按标准表的30%计取；</w:t>
                  </w:r>
                </w:p>
                <w:p w14:paraId="6D42037B">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29"/>
                      <w:rFonts w:ascii="宋体" w:hAnsi="宋体" w:eastAsia="宋体" w:cs="宋体"/>
                      <w:color w:val="auto"/>
                      <w:highlight w:val="none"/>
                      <w:lang w:val="en-US" w:eastAsia="zh-CN"/>
                    </w:rPr>
                  </w:pPr>
                  <w:r>
                    <w:rPr>
                      <w:rStyle w:val="229"/>
                      <w:rFonts w:ascii="宋体" w:hAnsi="宋体" w:eastAsia="宋体" w:cs="宋体"/>
                      <w:color w:val="auto"/>
                      <w:highlight w:val="none"/>
                      <w:lang w:val="en-US" w:eastAsia="zh-CN"/>
                    </w:rPr>
                    <w:t>（2）大项目分成若干个项目委托给不同的造价咨询服务单位审核，其中甲单位审核工程建设其他费用和部分建安费审核的情况：甲单位审核以外的建安费对应的工程建设其他费计费基数按</w:t>
                  </w:r>
                  <w:r>
                    <w:rPr>
                      <w:rStyle w:val="229"/>
                      <w:rFonts w:hint="eastAsia" w:ascii="宋体" w:hAnsi="宋体" w:eastAsia="宋体" w:cs="宋体"/>
                      <w:color w:val="auto"/>
                      <w:highlight w:val="none"/>
                      <w:lang w:val="en-US" w:eastAsia="zh-CN"/>
                    </w:rPr>
                    <w:t>30%计取，因此，咨询服务费</w:t>
                  </w:r>
                  <w:r>
                    <w:rPr>
                      <w:rStyle w:val="229"/>
                      <w:rFonts w:ascii="宋体" w:hAnsi="宋体" w:eastAsia="宋体" w:cs="宋体"/>
                      <w:color w:val="auto"/>
                      <w:highlight w:val="none"/>
                      <w:lang w:val="en-US" w:eastAsia="zh-CN"/>
                    </w:rPr>
                    <w:t>计费基数=C/A</w:t>
                  </w:r>
                  <w:r>
                    <w:rPr>
                      <w:rStyle w:val="229"/>
                      <w:rFonts w:hint="eastAsia" w:ascii="宋体" w:hAnsi="宋体" w:eastAsia="宋体" w:cs="宋体"/>
                      <w:color w:val="auto"/>
                      <w:highlight w:val="none"/>
                      <w:lang w:val="en-US" w:eastAsia="zh-CN"/>
                    </w:rPr>
                    <w:t>×</w:t>
                  </w:r>
                  <w:r>
                    <w:rPr>
                      <w:rStyle w:val="229"/>
                      <w:rFonts w:ascii="宋体" w:hAnsi="宋体" w:eastAsia="宋体" w:cs="宋体"/>
                      <w:color w:val="auto"/>
                      <w:highlight w:val="none"/>
                      <w:lang w:val="en-US" w:eastAsia="zh-CN"/>
                    </w:rPr>
                    <w:t>（0.3A+0.7B）</w:t>
                  </w:r>
                  <w:r>
                    <w:rPr>
                      <w:rStyle w:val="229"/>
                      <w:rFonts w:hint="eastAsia" w:ascii="宋体" w:hAnsi="宋体" w:eastAsia="宋体" w:cs="宋体"/>
                      <w:color w:val="auto"/>
                      <w:highlight w:val="none"/>
                      <w:lang w:val="en-US" w:eastAsia="zh-CN"/>
                    </w:rPr>
                    <w:t>+B</w:t>
                  </w:r>
                  <w:r>
                    <w:rPr>
                      <w:rStyle w:val="229"/>
                      <w:rFonts w:ascii="宋体" w:hAnsi="宋体" w:eastAsia="宋体" w:cs="宋体"/>
                      <w:color w:val="auto"/>
                      <w:highlight w:val="none"/>
                      <w:lang w:val="en-US" w:eastAsia="zh-CN"/>
                    </w:rPr>
                    <w:t>，其中A为大项目总建安费，B为甲单位审核建安费，C为工程建设其他费用；</w:t>
                  </w:r>
                </w:p>
                <w:p w14:paraId="0E998F57">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29"/>
                      <w:rFonts w:ascii="宋体" w:hAnsi="宋体" w:eastAsia="宋体" w:cs="宋体"/>
                      <w:color w:val="auto"/>
                      <w:highlight w:val="none"/>
                      <w:lang w:val="en-US" w:eastAsia="zh-CN"/>
                    </w:rPr>
                  </w:pPr>
                  <w:r>
                    <w:rPr>
                      <w:rStyle w:val="229"/>
                      <w:rFonts w:ascii="宋体" w:hAnsi="宋体" w:eastAsia="宋体" w:cs="宋体"/>
                      <w:color w:val="auto"/>
                      <w:highlight w:val="none"/>
                      <w:lang w:val="en-US" w:eastAsia="zh-CN"/>
                    </w:rPr>
                    <w:t>（3）其余情况按标准表执行。</w:t>
                  </w:r>
                </w:p>
                <w:p w14:paraId="7B000E47">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Style w:val="230"/>
                      <w:rFonts w:ascii="宋体" w:hAnsi="宋体" w:eastAsia="宋体" w:cs="宋体"/>
                      <w:color w:val="auto"/>
                      <w:highlight w:val="none"/>
                      <w:lang w:val="en-US" w:eastAsia="zh-CN"/>
                    </w:rPr>
                  </w:pPr>
                  <w:r>
                    <w:rPr>
                      <w:rStyle w:val="230"/>
                      <w:rFonts w:ascii="宋体" w:hAnsi="宋体" w:eastAsia="宋体" w:cs="宋体"/>
                      <w:color w:val="auto"/>
                      <w:highlight w:val="none"/>
                      <w:lang w:val="en-US" w:eastAsia="zh-CN"/>
                    </w:rPr>
                    <w:t>1</w:t>
                  </w:r>
                  <w:r>
                    <w:rPr>
                      <w:rStyle w:val="230"/>
                      <w:rFonts w:hint="eastAsia" w:ascii="宋体" w:hAnsi="宋体" w:eastAsia="宋体" w:cs="宋体"/>
                      <w:color w:val="auto"/>
                      <w:highlight w:val="none"/>
                      <w:lang w:val="en-US" w:eastAsia="zh-CN"/>
                    </w:rPr>
                    <w:t>2</w:t>
                  </w:r>
                  <w:r>
                    <w:rPr>
                      <w:rStyle w:val="230"/>
                      <w:rFonts w:ascii="宋体" w:hAnsi="宋体" w:eastAsia="宋体" w:cs="宋体"/>
                      <w:color w:val="auto"/>
                      <w:highlight w:val="none"/>
                      <w:lang w:val="en-US" w:eastAsia="zh-CN"/>
                    </w:rPr>
                    <w:t>、结算抽审计费参照预算复审计费标准执行。</w:t>
                  </w:r>
                </w:p>
                <w:p w14:paraId="75BB88EE">
                  <w:pPr>
                    <w:keepNext w:val="0"/>
                    <w:keepLines w:val="0"/>
                    <w:pageBreakBefore w:val="0"/>
                    <w:widowControl/>
                    <w:suppressLineNumbers w:val="0"/>
                    <w:kinsoku/>
                    <w:overflowPunct/>
                    <w:bidi w:val="0"/>
                    <w:spacing w:beforeLines="0" w:afterLines="0" w:line="360" w:lineRule="auto"/>
                    <w:ind w:left="0" w:leftChars="0" w:right="0" w:firstLine="400" w:firstLineChars="200"/>
                    <w:jc w:val="left"/>
                    <w:textAlignment w:val="top"/>
                    <w:rPr>
                      <w:rFonts w:hint="eastAsia" w:ascii="宋体" w:hAnsi="宋体" w:eastAsia="宋体" w:cs="宋体"/>
                      <w:i w:val="0"/>
                      <w:iCs w:val="0"/>
                      <w:color w:val="auto"/>
                      <w:sz w:val="20"/>
                      <w:szCs w:val="20"/>
                      <w:highlight w:val="none"/>
                      <w:u w:val="none"/>
                    </w:rPr>
                  </w:pPr>
                  <w:r>
                    <w:rPr>
                      <w:rStyle w:val="230"/>
                      <w:rFonts w:ascii="宋体" w:hAnsi="宋体" w:eastAsia="宋体" w:cs="宋体"/>
                      <w:color w:val="auto"/>
                      <w:highlight w:val="none"/>
                      <w:lang w:val="en-US" w:eastAsia="zh-CN"/>
                    </w:rPr>
                    <w:t>1</w:t>
                  </w:r>
                  <w:r>
                    <w:rPr>
                      <w:rStyle w:val="230"/>
                      <w:rFonts w:hint="eastAsia" w:ascii="宋体" w:hAnsi="宋体" w:eastAsia="宋体" w:cs="宋体"/>
                      <w:color w:val="auto"/>
                      <w:highlight w:val="none"/>
                      <w:lang w:val="en-US" w:eastAsia="zh-CN"/>
                    </w:rPr>
                    <w:t>3</w:t>
                  </w:r>
                  <w:r>
                    <w:rPr>
                      <w:rStyle w:val="230"/>
                      <w:rFonts w:ascii="宋体" w:hAnsi="宋体" w:eastAsia="宋体" w:cs="宋体"/>
                      <w:color w:val="auto"/>
                      <w:highlight w:val="none"/>
                      <w:lang w:val="en-US" w:eastAsia="zh-CN"/>
                    </w:rPr>
                    <w:t>、审核过程中如出现某些上述收费标准未能涵盖的特殊情况，审核费用在不高于上述标准的前提下，由双方协商确定。其他未尽事宜参照粤价函[2011]742号文的有关收费标准执行。</w:t>
                  </w:r>
                </w:p>
              </w:tc>
            </w:tr>
            <w:tr w14:paraId="33CA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77C8A166">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4B2C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77B41A7E">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2E35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328BA391">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5585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05BD23A9">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5210C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25900D9C">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53400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210756F8">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0338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1280C159">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7A12B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4FD0B959">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2E89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69435CE8">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2D53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4DC745C1">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12CB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5D57CC2B">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61AF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08F91FDB">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1F165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7CE44C7A">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26C2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4DCC8BA3">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6F0C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200C01BD">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2F44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02D87244">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786C3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666" w:type="dxa"/>
                  <w:vMerge w:val="continue"/>
                  <w:tcBorders>
                    <w:top w:val="nil"/>
                    <w:left w:val="nil"/>
                    <w:bottom w:val="nil"/>
                    <w:right w:val="nil"/>
                  </w:tcBorders>
                </w:tcPr>
                <w:p w14:paraId="0CD58992">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bl>
          <w:p w14:paraId="6381742D">
            <w:pPr>
              <w:keepNext w:val="0"/>
              <w:keepLines w:val="0"/>
              <w:pageBreakBefore w:val="0"/>
              <w:widowControl/>
              <w:suppressLineNumbers w:val="0"/>
              <w:kinsoku/>
              <w:overflowPunct/>
              <w:bidi w:val="0"/>
              <w:spacing w:beforeLines="0" w:afterLines="0" w:line="360" w:lineRule="auto"/>
              <w:ind w:left="0" w:leftChars="0" w:right="0"/>
              <w:jc w:val="left"/>
              <w:textAlignment w:val="top"/>
              <w:rPr>
                <w:rFonts w:hint="eastAsia" w:ascii="宋体" w:hAnsi="宋体" w:eastAsia="宋体" w:cs="宋体"/>
                <w:i w:val="0"/>
                <w:iCs w:val="0"/>
                <w:color w:val="auto"/>
                <w:sz w:val="20"/>
                <w:szCs w:val="20"/>
                <w:highlight w:val="none"/>
                <w:u w:val="none"/>
              </w:rPr>
            </w:pPr>
          </w:p>
        </w:tc>
      </w:tr>
      <w:tr w14:paraId="7836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7E1A0EBD">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3914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29173885">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239A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01CE3393">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4DBB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28E7C58E">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53A1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67DF18BA">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1BAC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4A9BF418">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492D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48749776">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6414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0FC5F546">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39C1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2D643027">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68BA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147DB0E7">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13D2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79187AA0">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2F22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08595526">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44E4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0BF8509D">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1CDF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771E1F4F">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1AE3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0276D70C">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21A2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2F930E50">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r w14:paraId="67AC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882" w:type="dxa"/>
            <w:gridSpan w:val="14"/>
            <w:vMerge w:val="continue"/>
          </w:tcPr>
          <w:p w14:paraId="5453736B">
            <w:pPr>
              <w:pageBreakBefore w:val="0"/>
              <w:kinsoku/>
              <w:overflowPunct/>
              <w:bidi w:val="0"/>
              <w:spacing w:beforeLines="0" w:afterLines="0" w:line="360" w:lineRule="auto"/>
              <w:ind w:left="0" w:leftChars="0" w:right="0"/>
              <w:jc w:val="left"/>
              <w:rPr>
                <w:rFonts w:hint="eastAsia" w:ascii="宋体" w:hAnsi="宋体" w:eastAsia="宋体" w:cs="宋体"/>
                <w:i w:val="0"/>
                <w:iCs w:val="0"/>
                <w:color w:val="auto"/>
                <w:sz w:val="20"/>
                <w:szCs w:val="20"/>
                <w:highlight w:val="none"/>
                <w:u w:val="none"/>
              </w:rPr>
            </w:pPr>
          </w:p>
        </w:tc>
      </w:tr>
    </w:tbl>
    <w:p w14:paraId="23CD9E98">
      <w:pPr>
        <w:pageBreakBefore w:val="0"/>
        <w:kinsoku/>
        <w:overflowPunct/>
        <w:bidi w:val="0"/>
        <w:spacing w:beforeLines="0" w:afterLines="0" w:line="360" w:lineRule="auto"/>
        <w:ind w:left="0" w:leftChars="0" w:right="0"/>
        <w:rPr>
          <w:rFonts w:hint="eastAsia" w:ascii="宋体" w:hAnsi="宋体" w:eastAsia="宋体" w:cs="宋体"/>
          <w:color w:val="auto"/>
          <w:highlight w:val="none"/>
        </w:rPr>
        <w:sectPr>
          <w:pgSz w:w="16838" w:h="11906" w:orient="landscape"/>
          <w:pgMar w:top="1440" w:right="1732" w:bottom="1440" w:left="1440" w:header="851" w:footer="851" w:gutter="0"/>
          <w:pgBorders>
            <w:top w:val="none" w:sz="0" w:space="0"/>
            <w:left w:val="none" w:sz="0" w:space="0"/>
            <w:bottom w:val="none" w:sz="0" w:space="0"/>
            <w:right w:val="none" w:sz="0" w:space="0"/>
          </w:pgBorders>
          <w:pgNumType w:fmt="decimal"/>
          <w:cols w:space="720" w:num="1"/>
          <w:docGrid w:type="lines" w:linePitch="312" w:charSpace="0"/>
        </w:sectPr>
      </w:pPr>
    </w:p>
    <w:p w14:paraId="18BEF653">
      <w:pPr>
        <w:pStyle w:val="3"/>
        <w:pageBreakBefore w:val="0"/>
        <w:kinsoku/>
        <w:overflowPunct/>
        <w:bidi w:val="0"/>
        <w:spacing w:beforeLines="0" w:afterLines="0" w:line="360" w:lineRule="auto"/>
        <w:ind w:left="0" w:leftChars="0" w:right="0"/>
        <w:rPr>
          <w:rFonts w:hint="default" w:ascii="宋体" w:hAnsi="宋体" w:eastAsia="宋体" w:cs="宋体"/>
          <w:color w:val="auto"/>
          <w:highlight w:val="none"/>
          <w:lang w:val="en-US" w:eastAsia="zh-CN"/>
        </w:rPr>
      </w:pPr>
      <w:r>
        <w:rPr>
          <w:rFonts w:hint="eastAsia" w:cs="宋体"/>
          <w:color w:val="auto"/>
          <w:highlight w:val="none"/>
          <w:lang w:eastAsia="zh-CN"/>
        </w:rPr>
        <w:t>附件</w:t>
      </w:r>
      <w:r>
        <w:rPr>
          <w:rFonts w:hint="eastAsia" w:cs="宋体"/>
          <w:color w:val="auto"/>
          <w:highlight w:val="none"/>
          <w:lang w:val="en-US" w:eastAsia="zh-CN"/>
        </w:rPr>
        <w:t>4 中标通知书</w:t>
      </w:r>
    </w:p>
    <w:p w14:paraId="5811B0BD">
      <w:pPr>
        <w:spacing w:beforeLines="0" w:afterLines="0" w:line="360" w:lineRule="auto"/>
        <w:rPr>
          <w:rFonts w:hint="eastAsia" w:ascii="宋体" w:hAnsi="宋体" w:eastAsia="宋体" w:cs="宋体"/>
          <w:color w:val="auto"/>
          <w:sz w:val="28"/>
          <w:szCs w:val="28"/>
          <w:highlight w:val="none"/>
        </w:rPr>
      </w:pPr>
      <w:bookmarkStart w:id="636" w:name="_Toc524942605"/>
      <w:bookmarkStart w:id="637" w:name="_Toc12158"/>
      <w:bookmarkStart w:id="638" w:name="_Toc1827699086"/>
      <w:bookmarkStart w:id="639" w:name="_Toc740102955"/>
      <w:bookmarkStart w:id="640" w:name="_Toc11911"/>
      <w:bookmarkStart w:id="641" w:name="_Toc31834"/>
      <w:bookmarkStart w:id="642" w:name="_Toc8871"/>
      <w:bookmarkStart w:id="643" w:name="_Toc9741"/>
      <w:bookmarkStart w:id="644" w:name="_Toc20990"/>
      <w:bookmarkStart w:id="645" w:name="_Toc9986"/>
      <w:r>
        <w:rPr>
          <w:rFonts w:hint="eastAsia" w:ascii="宋体" w:hAnsi="宋体" w:eastAsia="宋体" w:cs="宋体"/>
          <w:color w:val="auto"/>
          <w:sz w:val="28"/>
          <w:szCs w:val="28"/>
          <w:highlight w:val="none"/>
        </w:rPr>
        <w:br w:type="page"/>
      </w:r>
    </w:p>
    <w:p w14:paraId="79DFF17A">
      <w:pPr>
        <w:pStyle w:val="21"/>
        <w:pageBreakBefore w:val="0"/>
        <w:kinsoku/>
        <w:overflowPunct/>
        <w:bidi w:val="0"/>
        <w:spacing w:beforeLines="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sz w:val="28"/>
          <w:szCs w:val="28"/>
          <w:highlight w:val="none"/>
        </w:rPr>
        <w:t xml:space="preserve">第六章 </w:t>
      </w:r>
      <w:bookmarkEnd w:id="636"/>
      <w:bookmarkEnd w:id="637"/>
      <w:bookmarkEnd w:id="638"/>
      <w:bookmarkEnd w:id="639"/>
      <w:r>
        <w:rPr>
          <w:rStyle w:val="224"/>
          <w:rFonts w:hint="eastAsia" w:ascii="宋体" w:hAnsi="宋体" w:eastAsia="宋体" w:cs="宋体"/>
          <w:b/>
          <w:bCs/>
          <w:color w:val="auto"/>
          <w:sz w:val="28"/>
          <w:szCs w:val="28"/>
          <w:highlight w:val="none"/>
        </w:rPr>
        <w:t>图纸和资料</w:t>
      </w:r>
      <w:bookmarkEnd w:id="640"/>
      <w:bookmarkEnd w:id="641"/>
      <w:bookmarkEnd w:id="642"/>
      <w:bookmarkEnd w:id="643"/>
      <w:bookmarkEnd w:id="644"/>
      <w:bookmarkEnd w:id="645"/>
      <w:r>
        <w:rPr>
          <w:rStyle w:val="224"/>
          <w:rFonts w:hint="eastAsia" w:ascii="宋体" w:hAnsi="宋体" w:eastAsia="宋体" w:cs="宋体"/>
          <w:b/>
          <w:bCs/>
          <w:color w:val="auto"/>
          <w:sz w:val="28"/>
          <w:szCs w:val="28"/>
          <w:highlight w:val="none"/>
        </w:rPr>
        <w:t>（</w:t>
      </w:r>
      <w:r>
        <w:rPr>
          <w:rStyle w:val="224"/>
          <w:rFonts w:hint="eastAsia" w:ascii="宋体" w:hAnsi="宋体" w:eastAsia="宋体" w:cs="宋体"/>
          <w:b/>
          <w:bCs/>
          <w:color w:val="auto"/>
          <w:sz w:val="28"/>
          <w:szCs w:val="28"/>
          <w:highlight w:val="none"/>
          <w:lang w:val="en-US"/>
        </w:rPr>
        <w:t>如有</w:t>
      </w:r>
      <w:r>
        <w:rPr>
          <w:rStyle w:val="224"/>
          <w:rFonts w:hint="eastAsia" w:ascii="宋体" w:hAnsi="宋体" w:eastAsia="宋体" w:cs="宋体"/>
          <w:b/>
          <w:bCs/>
          <w:color w:val="auto"/>
          <w:sz w:val="28"/>
          <w:szCs w:val="28"/>
          <w:highlight w:val="none"/>
        </w:rPr>
        <w:t>）</w:t>
      </w:r>
    </w:p>
    <w:p w14:paraId="54BFC67B">
      <w:pPr>
        <w:spacing w:line="320" w:lineRule="exact"/>
        <w:jc w:val="center"/>
        <w:rPr>
          <w:color w:val="auto"/>
          <w:highlight w:val="none"/>
        </w:rPr>
      </w:pPr>
      <w:r>
        <w:rPr>
          <w:rFonts w:hint="eastAsia"/>
          <w:color w:val="auto"/>
          <w:highlight w:val="none"/>
        </w:rPr>
        <w:t>（</w:t>
      </w:r>
      <w:r>
        <w:rPr>
          <w:rFonts w:hint="eastAsia"/>
          <w:color w:val="auto"/>
          <w:sz w:val="24"/>
          <w:highlight w:val="none"/>
        </w:rPr>
        <w:t>与招标文件同时发布</w:t>
      </w:r>
      <w:r>
        <w:rPr>
          <w:rFonts w:hint="eastAsia"/>
          <w:color w:val="auto"/>
          <w:highlight w:val="none"/>
        </w:rPr>
        <w:t>）</w:t>
      </w:r>
    </w:p>
    <w:p w14:paraId="4B8CA591">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13374496">
      <w:pPr>
        <w:pageBreakBefore w:val="0"/>
        <w:kinsoku/>
        <w:overflowPunct/>
        <w:bidi w:val="0"/>
        <w:spacing w:beforeLines="0" w:afterLines="0" w:line="360" w:lineRule="auto"/>
        <w:ind w:left="0" w:leftChars="0" w:right="0" w:firstLine="422" w:firstLineChars="200"/>
        <w:jc w:val="left"/>
        <w:rPr>
          <w:rFonts w:hint="eastAsia" w:ascii="宋体" w:hAnsi="宋体" w:eastAsia="宋体" w:cs="宋体"/>
          <w:b/>
          <w:color w:val="auto"/>
          <w:szCs w:val="21"/>
          <w:highlight w:val="none"/>
        </w:rPr>
      </w:pPr>
      <w:bookmarkStart w:id="646" w:name="_Toc2611064"/>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eastAsia="zh-CN"/>
        </w:rPr>
        <w:t>预算复审造价咨询服务</w:t>
      </w:r>
      <w:r>
        <w:rPr>
          <w:rFonts w:hint="eastAsia" w:ascii="宋体" w:hAnsi="宋体" w:eastAsia="宋体" w:cs="宋体"/>
          <w:b/>
          <w:color w:val="auto"/>
          <w:szCs w:val="21"/>
          <w:highlight w:val="none"/>
        </w:rPr>
        <w:t>基础资料</w:t>
      </w:r>
      <w:bookmarkEnd w:id="646"/>
    </w:p>
    <w:p w14:paraId="290CCA0A">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□施工场地及毗邻区域内的供水、排水、供电、供气、供热、通信、广播电视等地下管线资料、气象和水文观测资料，相邻建筑物和构筑物、地下工程的有关资料，以及其他与建设工程有关的原始资料。</w:t>
      </w:r>
    </w:p>
    <w:p w14:paraId="1176E02D">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□定位放线的基准点、基准线和基准标高。 </w:t>
      </w:r>
    </w:p>
    <w:p w14:paraId="29CD218B">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□发包人取得的有关审批、核准和备案材料。</w:t>
      </w:r>
    </w:p>
    <w:p w14:paraId="22888504">
      <w:pPr>
        <w:pageBreakBefore w:val="0"/>
        <w:kinsoku/>
        <w:overflowPunct/>
        <w:bidi w:val="0"/>
        <w:spacing w:beforeLines="0" w:afterLines="0" w:line="360" w:lineRule="auto"/>
        <w:ind w:left="0" w:leftChars="0" w:right="0"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☑其他资料：</w:t>
      </w:r>
      <w:r>
        <w:rPr>
          <w:rFonts w:hint="eastAsia" w:ascii="宋体" w:hAnsi="宋体" w:cs="宋体"/>
          <w:color w:val="auto"/>
          <w:szCs w:val="21"/>
          <w:highlight w:val="none"/>
          <w:u w:val="single"/>
          <w:lang w:val="en-US" w:eastAsia="zh-CN"/>
        </w:rPr>
        <w:t xml:space="preserve">                     </w:t>
      </w:r>
    </w:p>
    <w:p w14:paraId="728E436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42C0C113">
      <w:pPr>
        <w:pageBreakBefore w:val="0"/>
        <w:kinsoku/>
        <w:overflowPunct/>
        <w:bidi w:val="0"/>
        <w:spacing w:beforeLines="0" w:afterLines="0" w:line="360" w:lineRule="auto"/>
        <w:ind w:left="0" w:leftChars="0" w:right="0" w:firstLine="422" w:firstLineChars="200"/>
        <w:jc w:val="left"/>
        <w:rPr>
          <w:rFonts w:hint="eastAsia" w:ascii="宋体" w:hAnsi="宋体" w:eastAsia="宋体" w:cs="宋体"/>
          <w:b/>
          <w:color w:val="auto"/>
          <w:szCs w:val="21"/>
          <w:highlight w:val="none"/>
        </w:rPr>
      </w:pPr>
      <w:bookmarkStart w:id="647" w:name="_Toc2611065"/>
      <w:r>
        <w:rPr>
          <w:rFonts w:hint="eastAsia" w:ascii="宋体" w:hAnsi="宋体" w:eastAsia="宋体" w:cs="宋体"/>
          <w:b/>
          <w:color w:val="auto"/>
          <w:szCs w:val="21"/>
          <w:highlight w:val="none"/>
        </w:rPr>
        <w:t>2. 其他说明（如有）</w:t>
      </w:r>
      <w:bookmarkEnd w:id="647"/>
    </w:p>
    <w:p w14:paraId="2C29569F">
      <w:pPr>
        <w:pageBreakBefore w:val="0"/>
        <w:kinsoku/>
        <w:overflowPunct/>
        <w:bidi w:val="0"/>
        <w:spacing w:beforeLines="0" w:afterLines="0" w:line="360" w:lineRule="auto"/>
        <w:ind w:left="0" w:leftChars="0" w:right="0"/>
        <w:jc w:val="center"/>
        <w:outlineLvl w:val="0"/>
        <w:rPr>
          <w:rFonts w:hint="eastAsia" w:ascii="宋体" w:hAnsi="宋体" w:eastAsia="宋体" w:cs="宋体"/>
          <w:b/>
          <w:bCs/>
          <w:color w:val="auto"/>
          <w:kern w:val="32"/>
          <w:sz w:val="32"/>
          <w:szCs w:val="44"/>
          <w:highlight w:val="none"/>
        </w:rPr>
      </w:pPr>
      <w:r>
        <w:rPr>
          <w:rFonts w:hint="eastAsia" w:ascii="宋体" w:hAnsi="宋体" w:eastAsia="宋体" w:cs="宋体"/>
          <w:color w:val="auto"/>
          <w:highlight w:val="none"/>
        </w:rPr>
        <w:br w:type="page"/>
      </w:r>
      <w:bookmarkStart w:id="648" w:name="_Toc14407"/>
      <w:bookmarkStart w:id="649" w:name="_Toc919"/>
      <w:bookmarkStart w:id="650" w:name="_Toc1087"/>
      <w:bookmarkStart w:id="651" w:name="_Toc9445"/>
      <w:bookmarkStart w:id="652" w:name="_Toc4092"/>
      <w:bookmarkStart w:id="653" w:name="_Toc11430"/>
      <w:bookmarkStart w:id="654" w:name="_Toc27034"/>
      <w:r>
        <w:rPr>
          <w:rStyle w:val="224"/>
          <w:rFonts w:hint="eastAsia" w:ascii="宋体" w:hAnsi="宋体" w:eastAsia="宋体" w:cs="宋体"/>
          <w:color w:val="auto"/>
          <w:sz w:val="28"/>
          <w:szCs w:val="28"/>
          <w:highlight w:val="none"/>
        </w:rPr>
        <w:t>第七章 规范和技术要求</w:t>
      </w:r>
      <w:bookmarkEnd w:id="648"/>
      <w:bookmarkEnd w:id="649"/>
      <w:bookmarkEnd w:id="650"/>
      <w:bookmarkEnd w:id="651"/>
      <w:bookmarkEnd w:id="652"/>
      <w:bookmarkEnd w:id="653"/>
      <w:bookmarkEnd w:id="654"/>
    </w:p>
    <w:p w14:paraId="2ACEA4C4">
      <w:pPr>
        <w:pageBreakBefore w:val="0"/>
        <w:kinsoku/>
        <w:overflowPunct/>
        <w:bidi w:val="0"/>
        <w:spacing w:beforeLines="0" w:afterLines="0" w:line="360" w:lineRule="auto"/>
        <w:ind w:left="0" w:leftChars="0" w:right="0" w:firstLine="420" w:firstLineChars="200"/>
        <w:jc w:val="center"/>
        <w:rPr>
          <w:rFonts w:hint="eastAsia" w:ascii="宋体" w:hAnsi="宋体" w:eastAsia="宋体" w:cs="宋体"/>
          <w:color w:val="auto"/>
          <w:highlight w:val="none"/>
        </w:rPr>
      </w:pPr>
    </w:p>
    <w:p w14:paraId="7EF308E8">
      <w:pPr>
        <w:pStyle w:val="24"/>
        <w:pageBreakBefore w:val="0"/>
        <w:kinsoku/>
        <w:overflowPunct/>
        <w:bidi w:val="0"/>
        <w:spacing w:beforeLines="0" w:afterLines="0" w:line="360" w:lineRule="auto"/>
        <w:ind w:left="0" w:leftChars="0" w:right="0" w:firstLine="422" w:firstLineChars="200"/>
        <w:rPr>
          <w:rFonts w:hint="eastAsia" w:ascii="宋体" w:hAnsi="宋体" w:eastAsia="宋体" w:cs="宋体"/>
          <w:color w:val="auto"/>
          <w:sz w:val="21"/>
          <w:szCs w:val="21"/>
          <w:highlight w:val="none"/>
        </w:rPr>
      </w:pPr>
      <w:bookmarkStart w:id="655" w:name="_Toc35454787"/>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造价咨询</w:t>
      </w:r>
      <w:r>
        <w:rPr>
          <w:rFonts w:hint="eastAsia" w:ascii="宋体" w:hAnsi="宋体" w:eastAsia="宋体" w:cs="宋体"/>
          <w:color w:val="auto"/>
          <w:sz w:val="21"/>
          <w:szCs w:val="21"/>
          <w:highlight w:val="none"/>
        </w:rPr>
        <w:t>规范</w:t>
      </w:r>
      <w:bookmarkEnd w:id="655"/>
    </w:p>
    <w:p w14:paraId="40F23A0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本招标项目的</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与相关服务活动须符合现行的国家标准建设工程</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规范以及所有与建设工程相关的国家、省、行业和招标项目所在地现行的标准、规范、规程及相关文件的要求。</w:t>
      </w:r>
    </w:p>
    <w:p w14:paraId="76BAEF5D">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eastAsia="zh-CN"/>
        </w:rPr>
        <w:t>造价咨询单位</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 xml:space="preserve">工作中使用或参考上述标准、规范以外的技术标准、规范时，应征得发包人或发包人指定代表人的同意。 </w:t>
      </w:r>
    </w:p>
    <w:p w14:paraId="67409962">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1.3在</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过程中，如果国家或有关部门颁布了新的技术标准或规范，则</w:t>
      </w:r>
      <w:r>
        <w:rPr>
          <w:rFonts w:hint="eastAsia" w:ascii="宋体" w:hAnsi="宋体" w:eastAsia="宋体" w:cs="宋体"/>
          <w:color w:val="auto"/>
          <w:szCs w:val="21"/>
          <w:highlight w:val="none"/>
          <w:lang w:eastAsia="zh-CN"/>
        </w:rPr>
        <w:t>造价咨询单位</w:t>
      </w:r>
      <w:r>
        <w:rPr>
          <w:rFonts w:hint="eastAsia" w:ascii="宋体" w:hAnsi="宋体" w:eastAsia="宋体" w:cs="宋体"/>
          <w:color w:val="auto"/>
          <w:szCs w:val="21"/>
          <w:highlight w:val="none"/>
        </w:rPr>
        <w:t>应采用新的标准或规范进行</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w:t>
      </w:r>
    </w:p>
    <w:p w14:paraId="38A746C9">
      <w:pPr>
        <w:pStyle w:val="24"/>
        <w:pageBreakBefore w:val="0"/>
        <w:kinsoku/>
        <w:overflowPunct/>
        <w:bidi w:val="0"/>
        <w:spacing w:beforeLines="0" w:afterLines="0" w:line="360" w:lineRule="auto"/>
        <w:ind w:left="0" w:leftChars="0" w:right="0" w:firstLine="422" w:firstLineChars="200"/>
        <w:rPr>
          <w:rFonts w:hint="eastAsia" w:ascii="宋体" w:hAnsi="宋体" w:eastAsia="宋体" w:cs="宋体"/>
          <w:color w:val="auto"/>
          <w:sz w:val="21"/>
          <w:szCs w:val="21"/>
          <w:highlight w:val="none"/>
        </w:rPr>
      </w:pPr>
      <w:bookmarkStart w:id="656" w:name="_Toc35454788"/>
      <w:r>
        <w:rPr>
          <w:rFonts w:hint="eastAsia" w:ascii="宋体" w:hAnsi="宋体" w:eastAsia="宋体" w:cs="宋体"/>
          <w:color w:val="auto"/>
          <w:sz w:val="21"/>
          <w:szCs w:val="21"/>
          <w:highlight w:val="none"/>
        </w:rPr>
        <w:t>2. 发包人根据工程需要另行补充的</w:t>
      </w:r>
      <w:r>
        <w:rPr>
          <w:rFonts w:hint="eastAsia" w:ascii="宋体" w:hAnsi="宋体" w:eastAsia="宋体" w:cs="宋体"/>
          <w:color w:val="auto"/>
          <w:sz w:val="21"/>
          <w:szCs w:val="21"/>
          <w:highlight w:val="none"/>
          <w:lang w:eastAsia="zh-CN"/>
        </w:rPr>
        <w:t>造价咨询</w:t>
      </w:r>
      <w:r>
        <w:rPr>
          <w:rFonts w:hint="eastAsia" w:ascii="宋体" w:hAnsi="宋体" w:eastAsia="宋体" w:cs="宋体"/>
          <w:color w:val="auto"/>
          <w:sz w:val="21"/>
          <w:szCs w:val="21"/>
          <w:highlight w:val="none"/>
        </w:rPr>
        <w:t>技术要求（如有）</w:t>
      </w:r>
      <w:bookmarkEnd w:id="656"/>
    </w:p>
    <w:p w14:paraId="5DCC1351">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p>
    <w:p w14:paraId="0839C08B">
      <w:pPr>
        <w:pageBreakBefore w:val="0"/>
        <w:kinsoku/>
        <w:overflowPunct/>
        <w:bidi w:val="0"/>
        <w:spacing w:beforeLines="0" w:afterLines="0" w:line="360" w:lineRule="auto"/>
        <w:ind w:left="0" w:leftChars="0" w:right="0"/>
        <w:jc w:val="center"/>
        <w:outlineLvl w:val="0"/>
        <w:rPr>
          <w:rFonts w:hint="eastAsia" w:ascii="宋体" w:hAnsi="宋体" w:eastAsia="宋体" w:cs="宋体"/>
          <w:b/>
          <w:bCs/>
          <w:color w:val="auto"/>
          <w:kern w:val="32"/>
          <w:sz w:val="28"/>
          <w:szCs w:val="40"/>
          <w:highlight w:val="none"/>
        </w:rPr>
      </w:pPr>
      <w:r>
        <w:rPr>
          <w:rFonts w:hint="eastAsia" w:ascii="宋体" w:hAnsi="宋体" w:eastAsia="宋体" w:cs="宋体"/>
          <w:color w:val="auto"/>
          <w:highlight w:val="none"/>
        </w:rPr>
        <w:br w:type="page"/>
      </w:r>
      <w:bookmarkStart w:id="657" w:name="_Toc22148"/>
      <w:bookmarkStart w:id="658" w:name="_Toc4715"/>
      <w:bookmarkStart w:id="659" w:name="_Toc12060"/>
      <w:bookmarkStart w:id="660" w:name="_Toc15050"/>
      <w:bookmarkStart w:id="661" w:name="_Toc437961125"/>
      <w:bookmarkStart w:id="662" w:name="_Toc354672438"/>
      <w:bookmarkStart w:id="663" w:name="_Toc274691344"/>
      <w:bookmarkStart w:id="664" w:name="_Toc280259824"/>
      <w:bookmarkStart w:id="665" w:name="_Toc213725587"/>
      <w:bookmarkStart w:id="666" w:name="_Toc306284273"/>
      <w:r>
        <w:rPr>
          <w:rFonts w:hint="eastAsia" w:ascii="宋体" w:hAnsi="宋体" w:eastAsia="宋体" w:cs="宋体"/>
          <w:b/>
          <w:bCs/>
          <w:color w:val="auto"/>
          <w:kern w:val="32"/>
          <w:sz w:val="28"/>
          <w:szCs w:val="40"/>
          <w:highlight w:val="none"/>
        </w:rPr>
        <w:t>第八章 投标文件格式</w:t>
      </w:r>
      <w:bookmarkEnd w:id="657"/>
      <w:bookmarkEnd w:id="658"/>
      <w:bookmarkEnd w:id="659"/>
      <w:bookmarkEnd w:id="660"/>
    </w:p>
    <w:p w14:paraId="389DB2BF">
      <w:pPr>
        <w:pStyle w:val="24"/>
        <w:pageBreakBefore w:val="0"/>
        <w:kinsoku/>
        <w:overflowPunct/>
        <w:bidi w:val="0"/>
        <w:spacing w:beforeLines="0" w:afterLines="0" w:line="360" w:lineRule="auto"/>
        <w:ind w:left="0" w:leftChars="0" w:right="0" w:firstLine="482" w:firstLineChars="200"/>
        <w:jc w:val="center"/>
        <w:rPr>
          <w:rFonts w:hint="eastAsia" w:ascii="宋体" w:hAnsi="宋体" w:eastAsia="宋体" w:cs="宋体"/>
          <w:color w:val="auto"/>
          <w:sz w:val="24"/>
          <w:szCs w:val="24"/>
          <w:highlight w:val="none"/>
        </w:rPr>
      </w:pPr>
    </w:p>
    <w:p w14:paraId="1FD8BB0B">
      <w:pPr>
        <w:pStyle w:val="24"/>
        <w:pageBreakBefore w:val="0"/>
        <w:kinsoku/>
        <w:overflowPunct/>
        <w:bidi w:val="0"/>
        <w:spacing w:beforeLines="0" w:afterLines="0" w:line="360" w:lineRule="auto"/>
        <w:ind w:left="0" w:leftChars="0" w:right="0" w:firstLine="482" w:firstLineChars="200"/>
        <w:jc w:val="center"/>
        <w:rPr>
          <w:rFonts w:hint="eastAsia" w:ascii="宋体" w:hAnsi="宋体" w:eastAsia="宋体" w:cs="宋体"/>
          <w:color w:val="auto"/>
          <w:sz w:val="24"/>
          <w:szCs w:val="24"/>
          <w:highlight w:val="none"/>
        </w:rPr>
      </w:pPr>
    </w:p>
    <w:p w14:paraId="1D02E7B6">
      <w:pPr>
        <w:pStyle w:val="24"/>
        <w:pageBreakBefore w:val="0"/>
        <w:kinsoku/>
        <w:overflowPunct/>
        <w:bidi w:val="0"/>
        <w:spacing w:beforeLines="0" w:afterLines="0" w:line="360" w:lineRule="auto"/>
        <w:ind w:left="0" w:leftChars="0" w:right="0" w:firstLine="482" w:firstLineChars="200"/>
        <w:jc w:val="center"/>
        <w:rPr>
          <w:rFonts w:hint="eastAsia" w:ascii="宋体" w:hAnsi="宋体" w:eastAsia="宋体" w:cs="宋体"/>
          <w:color w:val="auto"/>
          <w:sz w:val="24"/>
          <w:szCs w:val="24"/>
          <w:highlight w:val="none"/>
        </w:rPr>
      </w:pPr>
    </w:p>
    <w:p w14:paraId="23864E61">
      <w:pPr>
        <w:pStyle w:val="24"/>
        <w:pageBreakBefore w:val="0"/>
        <w:kinsoku/>
        <w:overflowPunct/>
        <w:bidi w:val="0"/>
        <w:spacing w:beforeLines="0" w:afterLines="0" w:line="360" w:lineRule="auto"/>
        <w:ind w:left="0" w:leftChars="0" w:right="0" w:firstLine="482" w:firstLineChars="200"/>
        <w:jc w:val="center"/>
        <w:rPr>
          <w:rFonts w:hint="eastAsia" w:ascii="宋体" w:hAnsi="宋体" w:eastAsia="宋体" w:cs="宋体"/>
          <w:color w:val="auto"/>
          <w:sz w:val="24"/>
          <w:szCs w:val="24"/>
          <w:highlight w:val="none"/>
        </w:rPr>
      </w:pPr>
    </w:p>
    <w:p w14:paraId="445DF716">
      <w:pPr>
        <w:pStyle w:val="24"/>
        <w:pageBreakBefore w:val="0"/>
        <w:kinsoku/>
        <w:overflowPunct/>
        <w:bidi w:val="0"/>
        <w:spacing w:beforeLines="0" w:afterLines="0" w:line="360" w:lineRule="auto"/>
        <w:ind w:left="0" w:leftChars="0" w:right="0" w:firstLine="482" w:firstLineChars="200"/>
        <w:jc w:val="center"/>
        <w:rPr>
          <w:rFonts w:hint="eastAsia" w:ascii="宋体" w:hAnsi="宋体" w:eastAsia="宋体" w:cs="宋体"/>
          <w:color w:val="auto"/>
          <w:sz w:val="24"/>
          <w:szCs w:val="24"/>
          <w:highlight w:val="none"/>
        </w:rPr>
      </w:pPr>
    </w:p>
    <w:p w14:paraId="273C355C">
      <w:pPr>
        <w:pStyle w:val="24"/>
        <w:pageBreakBefore w:val="0"/>
        <w:kinsoku/>
        <w:overflowPunct/>
        <w:bidi w:val="0"/>
        <w:spacing w:beforeLines="0" w:afterLines="0" w:line="360" w:lineRule="auto"/>
        <w:ind w:left="0" w:leftChars="0" w:right="0"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第一节 技术标格式</w:t>
      </w:r>
    </w:p>
    <w:p w14:paraId="09336750">
      <w:pPr>
        <w:pageBreakBefore w:val="0"/>
        <w:kinsoku/>
        <w:overflowPunct/>
        <w:bidi w:val="0"/>
        <w:spacing w:beforeLines="0" w:afterLines="0" w:line="360" w:lineRule="auto"/>
        <w:ind w:left="0" w:leftChars="0" w:right="0" w:firstLine="560" w:firstLineChars="200"/>
        <w:jc w:val="center"/>
        <w:rPr>
          <w:rFonts w:hint="eastAsia" w:ascii="宋体" w:hAnsi="宋体" w:eastAsia="宋体" w:cs="宋体"/>
          <w:color w:val="auto"/>
          <w:sz w:val="28"/>
          <w:szCs w:val="28"/>
          <w:highlight w:val="none"/>
        </w:rPr>
      </w:pPr>
    </w:p>
    <w:p w14:paraId="5239653A">
      <w:pPr>
        <w:pageBreakBefore w:val="0"/>
        <w:kinsoku/>
        <w:overflowPunct/>
        <w:bidi w:val="0"/>
        <w:spacing w:beforeLines="0" w:afterLines="0" w:line="360" w:lineRule="auto"/>
        <w:ind w:left="0" w:leftChars="0" w:right="0" w:firstLine="560" w:firstLineChars="200"/>
        <w:jc w:val="center"/>
        <w:rPr>
          <w:rFonts w:hint="eastAsia" w:ascii="宋体" w:hAnsi="宋体" w:eastAsia="宋体" w:cs="宋体"/>
          <w:color w:val="auto"/>
          <w:sz w:val="28"/>
          <w:szCs w:val="28"/>
          <w:highlight w:val="none"/>
        </w:rPr>
      </w:pPr>
    </w:p>
    <w:p w14:paraId="3E9E6100">
      <w:pPr>
        <w:pageBreakBefore w:val="0"/>
        <w:kinsoku/>
        <w:overflowPunct/>
        <w:bidi w:val="0"/>
        <w:spacing w:beforeLines="0" w:afterLines="0" w:line="360" w:lineRule="auto"/>
        <w:ind w:left="0" w:leftChars="0" w:right="0" w:firstLine="560" w:firstLineChars="200"/>
        <w:jc w:val="center"/>
        <w:rPr>
          <w:rFonts w:hint="eastAsia" w:ascii="宋体" w:hAnsi="宋体" w:eastAsia="宋体" w:cs="宋体"/>
          <w:color w:val="auto"/>
          <w:sz w:val="28"/>
          <w:szCs w:val="28"/>
          <w:highlight w:val="none"/>
        </w:rPr>
      </w:pPr>
    </w:p>
    <w:p w14:paraId="31025F47">
      <w:pPr>
        <w:pageBreakBefore w:val="0"/>
        <w:kinsoku/>
        <w:overflowPunct/>
        <w:bidi w:val="0"/>
        <w:spacing w:beforeLines="0" w:afterLines="0" w:line="360" w:lineRule="auto"/>
        <w:ind w:left="0" w:leftChars="0" w:right="0" w:firstLine="560" w:firstLineChars="200"/>
        <w:jc w:val="center"/>
        <w:rPr>
          <w:rFonts w:hint="eastAsia" w:ascii="宋体" w:hAnsi="宋体" w:eastAsia="宋体" w:cs="宋体"/>
          <w:color w:val="auto"/>
          <w:sz w:val="28"/>
          <w:szCs w:val="28"/>
          <w:highlight w:val="none"/>
        </w:rPr>
      </w:pPr>
    </w:p>
    <w:p w14:paraId="738C4F0C">
      <w:pPr>
        <w:pageBreakBefore w:val="0"/>
        <w:kinsoku/>
        <w:overflowPunct/>
        <w:bidi w:val="0"/>
        <w:spacing w:beforeLines="0" w:afterLines="0" w:line="360" w:lineRule="auto"/>
        <w:ind w:left="0" w:leftChars="0" w:right="0" w:firstLine="560" w:firstLineChars="200"/>
        <w:jc w:val="center"/>
        <w:rPr>
          <w:rFonts w:hint="eastAsia" w:ascii="宋体" w:hAnsi="宋体" w:eastAsia="宋体" w:cs="宋体"/>
          <w:color w:val="auto"/>
          <w:sz w:val="28"/>
          <w:szCs w:val="28"/>
          <w:highlight w:val="none"/>
        </w:rPr>
      </w:pPr>
    </w:p>
    <w:p w14:paraId="25319176">
      <w:pPr>
        <w:pageBreakBefore w:val="0"/>
        <w:kinsoku/>
        <w:overflowPunct/>
        <w:bidi w:val="0"/>
        <w:spacing w:beforeLines="0" w:afterLines="0" w:line="360" w:lineRule="auto"/>
        <w:ind w:left="0" w:leftChars="0" w:right="0" w:firstLine="560" w:firstLineChars="200"/>
        <w:jc w:val="center"/>
        <w:rPr>
          <w:rFonts w:hint="eastAsia" w:ascii="宋体" w:hAnsi="宋体" w:eastAsia="宋体" w:cs="宋体"/>
          <w:color w:val="auto"/>
          <w:sz w:val="28"/>
          <w:szCs w:val="28"/>
          <w:highlight w:val="none"/>
        </w:rPr>
      </w:pPr>
    </w:p>
    <w:p w14:paraId="457768A5">
      <w:pPr>
        <w:pageBreakBefore w:val="0"/>
        <w:kinsoku/>
        <w:overflowPunct/>
        <w:bidi w:val="0"/>
        <w:spacing w:beforeLines="0" w:afterLines="0" w:line="360" w:lineRule="auto"/>
        <w:ind w:left="0" w:leftChars="0" w:right="0" w:firstLine="560" w:firstLineChars="200"/>
        <w:jc w:val="center"/>
        <w:rPr>
          <w:rFonts w:hint="eastAsia" w:ascii="宋体" w:hAnsi="宋体" w:eastAsia="宋体" w:cs="宋体"/>
          <w:color w:val="auto"/>
          <w:sz w:val="28"/>
          <w:szCs w:val="28"/>
          <w:highlight w:val="none"/>
        </w:rPr>
      </w:pPr>
    </w:p>
    <w:p w14:paraId="3EC6F335">
      <w:pPr>
        <w:pageBreakBefore w:val="0"/>
        <w:kinsoku/>
        <w:overflowPunct/>
        <w:bidi w:val="0"/>
        <w:spacing w:beforeLines="0" w:afterLines="0" w:line="360" w:lineRule="auto"/>
        <w:ind w:left="0" w:leftChars="0" w:right="0" w:firstLine="560" w:firstLineChars="200"/>
        <w:jc w:val="center"/>
        <w:rPr>
          <w:rFonts w:hint="eastAsia" w:ascii="宋体" w:hAnsi="宋体" w:eastAsia="宋体" w:cs="宋体"/>
          <w:color w:val="auto"/>
          <w:sz w:val="28"/>
          <w:szCs w:val="28"/>
          <w:highlight w:val="none"/>
        </w:rPr>
      </w:pPr>
    </w:p>
    <w:p w14:paraId="4C1BAC8B">
      <w:pPr>
        <w:pageBreakBefore w:val="0"/>
        <w:kinsoku/>
        <w:overflowPunct/>
        <w:bidi w:val="0"/>
        <w:spacing w:beforeLines="0" w:afterLines="0" w:line="360" w:lineRule="auto"/>
        <w:ind w:left="0" w:leftChars="0" w:right="0" w:firstLine="560" w:firstLineChars="200"/>
        <w:jc w:val="center"/>
        <w:rPr>
          <w:rFonts w:hint="eastAsia" w:ascii="宋体" w:hAnsi="宋体" w:eastAsia="宋体" w:cs="宋体"/>
          <w:color w:val="auto"/>
          <w:sz w:val="28"/>
          <w:szCs w:val="28"/>
          <w:highlight w:val="none"/>
        </w:rPr>
      </w:pPr>
    </w:p>
    <w:p w14:paraId="1085CC63">
      <w:pPr>
        <w:pageBreakBefore w:val="0"/>
        <w:kinsoku/>
        <w:overflowPunct/>
        <w:bidi w:val="0"/>
        <w:spacing w:beforeLines="0" w:afterLines="0" w:line="360" w:lineRule="auto"/>
        <w:ind w:left="0" w:leftChars="0" w:right="0" w:firstLine="560" w:firstLineChars="200"/>
        <w:jc w:val="center"/>
        <w:rPr>
          <w:rFonts w:hint="eastAsia" w:ascii="宋体" w:hAnsi="宋体" w:eastAsia="宋体" w:cs="宋体"/>
          <w:color w:val="auto"/>
          <w:sz w:val="28"/>
          <w:szCs w:val="28"/>
          <w:highlight w:val="none"/>
        </w:rPr>
      </w:pPr>
    </w:p>
    <w:p w14:paraId="26AE71AB">
      <w:pPr>
        <w:pageBreakBefore w:val="0"/>
        <w:kinsoku/>
        <w:overflowPunct/>
        <w:bidi w:val="0"/>
        <w:spacing w:beforeLines="0" w:afterLines="0" w:line="360" w:lineRule="auto"/>
        <w:ind w:left="0" w:leftChars="0" w:right="0" w:firstLine="560" w:firstLineChars="200"/>
        <w:jc w:val="center"/>
        <w:rPr>
          <w:rFonts w:hint="eastAsia" w:ascii="宋体" w:hAnsi="宋体" w:eastAsia="宋体" w:cs="宋体"/>
          <w:color w:val="auto"/>
          <w:sz w:val="28"/>
          <w:szCs w:val="28"/>
          <w:highlight w:val="none"/>
        </w:rPr>
      </w:pPr>
    </w:p>
    <w:p w14:paraId="5516C8FC">
      <w:pPr>
        <w:pageBreakBefore w:val="0"/>
        <w:kinsoku/>
        <w:overflowPunct/>
        <w:bidi w:val="0"/>
        <w:spacing w:beforeLines="0" w:afterLines="0" w:line="360" w:lineRule="auto"/>
        <w:ind w:left="0" w:leftChars="0" w:right="0" w:firstLine="560" w:firstLineChars="200"/>
        <w:jc w:val="center"/>
        <w:rPr>
          <w:rFonts w:hint="eastAsia" w:ascii="宋体" w:hAnsi="宋体" w:eastAsia="宋体" w:cs="宋体"/>
          <w:color w:val="auto"/>
          <w:sz w:val="28"/>
          <w:szCs w:val="28"/>
          <w:highlight w:val="none"/>
        </w:rPr>
      </w:pPr>
    </w:p>
    <w:p w14:paraId="358633D4">
      <w:pPr>
        <w:pageBreakBefore w:val="0"/>
        <w:kinsoku/>
        <w:overflowPunct/>
        <w:bidi w:val="0"/>
        <w:spacing w:beforeLines="0" w:afterLines="0" w:line="360" w:lineRule="auto"/>
        <w:ind w:left="0" w:leftChars="0" w:right="0" w:firstLine="560" w:firstLineChars="200"/>
        <w:jc w:val="center"/>
        <w:rPr>
          <w:rFonts w:hint="eastAsia" w:ascii="宋体" w:hAnsi="宋体" w:eastAsia="宋体" w:cs="宋体"/>
          <w:color w:val="auto"/>
          <w:sz w:val="28"/>
          <w:szCs w:val="28"/>
          <w:highlight w:val="none"/>
        </w:rPr>
      </w:pPr>
    </w:p>
    <w:p w14:paraId="3372DA69">
      <w:pPr>
        <w:pStyle w:val="62"/>
        <w:pageBreakBefore w:val="0"/>
        <w:kinsoku/>
        <w:overflowPunct/>
        <w:bidi w:val="0"/>
        <w:spacing w:beforeLines="0" w:after="0" w:afterLines="0" w:line="360" w:lineRule="auto"/>
        <w:ind w:left="0" w:leftChars="0" w:right="0" w:firstLine="560" w:firstLineChars="200"/>
        <w:rPr>
          <w:rFonts w:hint="eastAsia" w:ascii="宋体" w:hAnsi="宋体" w:eastAsia="宋体" w:cs="宋体"/>
          <w:color w:val="auto"/>
          <w:sz w:val="28"/>
          <w:szCs w:val="28"/>
          <w:highlight w:val="none"/>
        </w:rPr>
      </w:pPr>
    </w:p>
    <w:p w14:paraId="776F2244">
      <w:pPr>
        <w:pStyle w:val="36"/>
        <w:pageBreakBefore w:val="0"/>
        <w:kinsoku/>
        <w:overflowPunct/>
        <w:bidi w:val="0"/>
        <w:spacing w:beforeLines="0" w:after="0" w:afterLines="0" w:line="360" w:lineRule="auto"/>
        <w:ind w:left="0" w:leftChars="0" w:right="0" w:firstLine="560" w:firstLineChars="200"/>
        <w:rPr>
          <w:rFonts w:hint="eastAsia" w:ascii="宋体" w:hAnsi="宋体" w:eastAsia="宋体" w:cs="宋体"/>
          <w:color w:val="auto"/>
          <w:sz w:val="28"/>
          <w:szCs w:val="28"/>
          <w:highlight w:val="none"/>
        </w:rPr>
      </w:pPr>
    </w:p>
    <w:p w14:paraId="6AF570A0">
      <w:pPr>
        <w:pStyle w:val="36"/>
        <w:pageBreakBefore w:val="0"/>
        <w:kinsoku/>
        <w:overflowPunct/>
        <w:bidi w:val="0"/>
        <w:spacing w:beforeLines="0" w:after="0" w:afterLines="0" w:line="360" w:lineRule="auto"/>
        <w:ind w:left="0" w:leftChars="0" w:right="0" w:firstLine="560" w:firstLineChars="200"/>
        <w:rPr>
          <w:rFonts w:hint="eastAsia" w:ascii="宋体" w:hAnsi="宋体" w:eastAsia="宋体" w:cs="宋体"/>
          <w:color w:val="auto"/>
          <w:sz w:val="28"/>
          <w:szCs w:val="28"/>
          <w:highlight w:val="none"/>
        </w:rPr>
      </w:pPr>
    </w:p>
    <w:p w14:paraId="55B55ED2">
      <w:pPr>
        <w:pageBreakBefore w:val="0"/>
        <w:kinsoku/>
        <w:overflowPunct/>
        <w:bidi w:val="0"/>
        <w:spacing w:beforeLines="0" w:afterLines="0" w:line="360" w:lineRule="auto"/>
        <w:ind w:left="0" w:leftChars="0" w:right="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DEB9FB1">
      <w:pPr>
        <w:spacing w:line="440" w:lineRule="exact"/>
        <w:jc w:val="right"/>
        <w:rPr>
          <w:rFonts w:hint="eastAsia" w:ascii="仿宋_GB2312" w:eastAsia="仿宋_GB2312"/>
          <w:b/>
          <w:color w:val="auto"/>
          <w:sz w:val="20"/>
          <w:szCs w:val="20"/>
          <w:highlight w:val="none"/>
        </w:rPr>
      </w:pPr>
      <w:r>
        <w:rPr>
          <w:rFonts w:hint="eastAsia" w:ascii="仿宋_GB2312" w:eastAsia="仿宋_GB2312"/>
          <w:b/>
          <w:color w:val="auto"/>
          <w:sz w:val="32"/>
          <w:szCs w:val="32"/>
          <w:highlight w:val="none"/>
          <w:lang w:val="en-US" w:eastAsia="zh-CN"/>
        </w:rPr>
        <w:t>正本/副本</w:t>
      </w:r>
    </w:p>
    <w:p w14:paraId="48712A45">
      <w:pPr>
        <w:pageBreakBefore w:val="0"/>
        <w:kinsoku/>
        <w:overflowPunct/>
        <w:bidi w:val="0"/>
        <w:spacing w:beforeLines="0" w:afterLines="0" w:line="360" w:lineRule="auto"/>
        <w:ind w:left="0" w:leftChars="0" w:right="0"/>
        <w:jc w:val="right"/>
        <w:rPr>
          <w:rFonts w:hint="eastAsia" w:ascii="宋体" w:hAnsi="宋体" w:eastAsia="宋体" w:cs="宋体"/>
          <w:b/>
          <w:color w:val="auto"/>
          <w:sz w:val="28"/>
          <w:szCs w:val="28"/>
          <w:highlight w:val="none"/>
        </w:rPr>
      </w:pPr>
    </w:p>
    <w:p w14:paraId="50EF7477">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0A50B31E">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407DA3AE">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7C31A9D6">
      <w:pPr>
        <w:pageBreakBefore w:val="0"/>
        <w:kinsoku/>
        <w:overflowPunct/>
        <w:bidi w:val="0"/>
        <w:spacing w:beforeLines="0" w:afterLines="0" w:line="360" w:lineRule="auto"/>
        <w:ind w:left="0" w:leftChars="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44"/>
          <w:szCs w:val="44"/>
          <w:highlight w:val="none"/>
          <w:u w:val="single"/>
          <w:lang w:eastAsia="zh-CN"/>
        </w:rPr>
        <w:t>粤港澳大湾区—佛山市南海区电力管廊（一期）项目—佛山220千伏沥中输变电线路配套电力管廊建设工程预算审核（复审）</w:t>
      </w:r>
      <w:r>
        <w:rPr>
          <w:rFonts w:hint="eastAsia" w:ascii="宋体" w:hAnsi="宋体" w:eastAsia="宋体" w:cs="宋体"/>
          <w:b/>
          <w:color w:val="auto"/>
          <w:sz w:val="44"/>
          <w:szCs w:val="44"/>
          <w:highlight w:val="none"/>
        </w:rPr>
        <w:t>招标</w:t>
      </w:r>
    </w:p>
    <w:p w14:paraId="0AA923FB">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70120ACC">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5875B4D9">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6ECB8639">
      <w:pPr>
        <w:pageBreakBefore w:val="0"/>
        <w:kinsoku/>
        <w:overflowPunct/>
        <w:bidi w:val="0"/>
        <w:spacing w:beforeLines="0" w:afterLines="0" w:line="360" w:lineRule="auto"/>
        <w:ind w:left="0" w:leftChars="0" w:right="0"/>
        <w:rPr>
          <w:rFonts w:hint="eastAsia" w:ascii="宋体" w:hAnsi="宋体" w:eastAsia="宋体" w:cs="宋体"/>
          <w:b/>
          <w:color w:val="auto"/>
          <w:sz w:val="28"/>
          <w:szCs w:val="28"/>
          <w:highlight w:val="none"/>
        </w:rPr>
      </w:pPr>
    </w:p>
    <w:p w14:paraId="51B1A70C">
      <w:pPr>
        <w:pageBreakBefore w:val="0"/>
        <w:kinsoku/>
        <w:overflowPunct/>
        <w:bidi w:val="0"/>
        <w:spacing w:beforeLines="0" w:afterLines="0" w:line="360" w:lineRule="auto"/>
        <w:ind w:left="0" w:leftChars="0" w:right="0"/>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技术标</w:t>
      </w:r>
    </w:p>
    <w:p w14:paraId="1907D8DB">
      <w:pPr>
        <w:pageBreakBefore w:val="0"/>
        <w:kinsoku/>
        <w:overflowPunct/>
        <w:bidi w:val="0"/>
        <w:spacing w:beforeLines="0" w:afterLines="0" w:line="360" w:lineRule="auto"/>
        <w:ind w:left="0" w:leftChars="0" w:right="0"/>
        <w:jc w:val="center"/>
        <w:rPr>
          <w:rFonts w:hint="eastAsia" w:ascii="宋体" w:hAnsi="宋体" w:eastAsia="宋体" w:cs="宋体"/>
          <w:b/>
          <w:color w:val="auto"/>
          <w:sz w:val="30"/>
          <w:szCs w:val="30"/>
          <w:highlight w:val="none"/>
        </w:rPr>
      </w:pPr>
    </w:p>
    <w:p w14:paraId="4FE9288F">
      <w:pPr>
        <w:pageBreakBefore w:val="0"/>
        <w:kinsoku/>
        <w:overflowPunct/>
        <w:bidi w:val="0"/>
        <w:spacing w:beforeLines="0" w:afterLines="0" w:line="360" w:lineRule="auto"/>
        <w:ind w:left="0" w:leftChars="0" w:right="0"/>
        <w:rPr>
          <w:rFonts w:hint="eastAsia" w:ascii="宋体" w:hAnsi="宋体" w:eastAsia="宋体" w:cs="宋体"/>
          <w:b/>
          <w:color w:val="auto"/>
          <w:sz w:val="28"/>
          <w:szCs w:val="28"/>
          <w:highlight w:val="none"/>
        </w:rPr>
      </w:pPr>
    </w:p>
    <w:p w14:paraId="46DA3C5C">
      <w:pPr>
        <w:pageBreakBefore w:val="0"/>
        <w:kinsoku/>
        <w:overflowPunct/>
        <w:bidi w:val="0"/>
        <w:spacing w:beforeLines="0" w:afterLines="0" w:line="360" w:lineRule="auto"/>
        <w:ind w:left="0" w:leftChars="0" w:right="0"/>
        <w:rPr>
          <w:rFonts w:hint="eastAsia" w:ascii="宋体" w:hAnsi="宋体" w:eastAsia="宋体" w:cs="宋体"/>
          <w:b/>
          <w:color w:val="auto"/>
          <w:sz w:val="28"/>
          <w:szCs w:val="28"/>
          <w:highlight w:val="none"/>
        </w:rPr>
      </w:pPr>
    </w:p>
    <w:p w14:paraId="5AF3FF6E">
      <w:pPr>
        <w:pageBreakBefore w:val="0"/>
        <w:kinsoku/>
        <w:overflowPunct/>
        <w:bidi w:val="0"/>
        <w:spacing w:beforeLines="0" w:afterLines="0" w:line="360" w:lineRule="auto"/>
        <w:ind w:left="0" w:leftChars="0" w:right="0" w:firstLine="1687" w:firstLineChars="6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（盖公章）</w:t>
      </w:r>
    </w:p>
    <w:p w14:paraId="70A2EAF4">
      <w:pPr>
        <w:pageBreakBefore w:val="0"/>
        <w:kinsoku/>
        <w:overflowPunct/>
        <w:bidi w:val="0"/>
        <w:spacing w:beforeLines="0" w:afterLines="0" w:line="360" w:lineRule="auto"/>
        <w:ind w:left="0" w:leftChars="0" w:right="0" w:firstLine="1687" w:firstLineChars="600"/>
        <w:rPr>
          <w:rFonts w:hint="eastAsia" w:ascii="宋体" w:hAnsi="宋体" w:eastAsia="宋体" w:cs="宋体"/>
          <w:b/>
          <w:color w:val="auto"/>
          <w:sz w:val="28"/>
          <w:szCs w:val="28"/>
          <w:highlight w:val="none"/>
        </w:rPr>
      </w:pPr>
    </w:p>
    <w:p w14:paraId="12558B26">
      <w:pPr>
        <w:pageBreakBefore w:val="0"/>
        <w:kinsoku/>
        <w:overflowPunct/>
        <w:bidi w:val="0"/>
        <w:spacing w:beforeLines="0" w:afterLines="0" w:line="360" w:lineRule="auto"/>
        <w:ind w:left="0" w:leftChars="0" w:right="0" w:firstLine="1687" w:firstLineChars="600"/>
        <w:rPr>
          <w:rFonts w:hint="eastAsia" w:ascii="宋体" w:hAnsi="宋体" w:eastAsia="宋体" w:cs="宋体"/>
          <w:b/>
          <w:color w:val="auto"/>
          <w:sz w:val="28"/>
          <w:szCs w:val="28"/>
          <w:highlight w:val="none"/>
          <w:u w:val="single"/>
        </w:rPr>
      </w:pPr>
    </w:p>
    <w:p w14:paraId="12563C44">
      <w:pPr>
        <w:pageBreakBefore w:val="0"/>
        <w:kinsoku/>
        <w:overflowPunct/>
        <w:bidi w:val="0"/>
        <w:spacing w:beforeLines="0" w:afterLines="0" w:line="360" w:lineRule="auto"/>
        <w:ind w:left="0" w:leftChars="0" w:right="0" w:firstLine="1687" w:firstLineChars="6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14:paraId="474832F6">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20E60C3A">
      <w:pPr>
        <w:pStyle w:val="192"/>
        <w:keepNext w:val="0"/>
        <w:keepLines w:val="0"/>
        <w:pageBreakBefore w:val="0"/>
        <w:kinsoku/>
        <w:overflowPunct/>
        <w:bidi w:val="0"/>
        <w:spacing w:before="0" w:beforeLines="0" w:afterLines="0" w:line="360" w:lineRule="auto"/>
        <w:ind w:left="0" w:leftChars="0" w:right="0"/>
        <w:rPr>
          <w:rFonts w:hint="eastAsia" w:ascii="宋体" w:hAnsi="宋体" w:eastAsia="宋体" w:cs="宋体"/>
          <w:b/>
          <w:color w:val="auto"/>
          <w:highlight w:val="none"/>
        </w:rPr>
      </w:pPr>
    </w:p>
    <w:p w14:paraId="4DE2CAB5">
      <w:pPr>
        <w:pageBreakBefore w:val="0"/>
        <w:kinsoku/>
        <w:overflowPunct/>
        <w:bidi w:val="0"/>
        <w:spacing w:beforeLines="0" w:afterLines="0" w:line="360" w:lineRule="auto"/>
        <w:ind w:left="0" w:leftChars="0" w:right="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br w:type="page"/>
      </w:r>
    </w:p>
    <w:p w14:paraId="13A97A82">
      <w:pPr>
        <w:widowControl/>
        <w:spacing w:line="360" w:lineRule="auto"/>
        <w:jc w:val="center"/>
        <w:rPr>
          <w:rFonts w:hint="eastAsia" w:ascii="宋体" w:hAnsi="宋体"/>
          <w:color w:val="auto"/>
          <w:kern w:val="0"/>
          <w:sz w:val="32"/>
          <w:szCs w:val="32"/>
          <w:highlight w:val="none"/>
        </w:rPr>
      </w:pPr>
      <w:r>
        <w:rPr>
          <w:rFonts w:hint="eastAsia" w:ascii="宋体" w:hAnsi="宋体"/>
          <w:b/>
          <w:bCs/>
          <w:color w:val="auto"/>
          <w:kern w:val="0"/>
          <w:sz w:val="32"/>
          <w:szCs w:val="32"/>
          <w:highlight w:val="none"/>
        </w:rPr>
        <w:t>目    录</w:t>
      </w:r>
    </w:p>
    <w:p w14:paraId="60AB9B7A">
      <w:pPr>
        <w:widowControl/>
        <w:spacing w:line="360" w:lineRule="auto"/>
        <w:rPr>
          <w:rFonts w:hint="eastAsia" w:ascii="宋体" w:hAnsi="宋体" w:cs="宋体"/>
          <w:color w:val="auto"/>
          <w:sz w:val="24"/>
          <w:szCs w:val="24"/>
          <w:highlight w:val="none"/>
        </w:rPr>
      </w:pPr>
    </w:p>
    <w:p w14:paraId="4EB8E434">
      <w:pPr>
        <w:widowControl/>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w:t>
      </w:r>
    </w:p>
    <w:p w14:paraId="4F802574">
      <w:pPr>
        <w:widowControl/>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1.格式自拟；</w:t>
      </w:r>
    </w:p>
    <w:p w14:paraId="40DE4A5A">
      <w:pPr>
        <w:widowControl/>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编制目录且逐页（封面、封底</w:t>
      </w:r>
      <w:r>
        <w:rPr>
          <w:rFonts w:hint="eastAsia" w:ascii="宋体" w:hAnsi="宋体" w:cs="宋体"/>
          <w:b/>
          <w:bCs/>
          <w:color w:val="auto"/>
          <w:sz w:val="24"/>
          <w:szCs w:val="24"/>
          <w:highlight w:val="none"/>
          <w:lang w:val="en-US" w:eastAsia="zh-CN"/>
        </w:rPr>
        <w:t>及目录</w:t>
      </w:r>
      <w:r>
        <w:rPr>
          <w:rFonts w:hint="eastAsia" w:ascii="宋体" w:hAnsi="宋体" w:cs="宋体"/>
          <w:b/>
          <w:bCs/>
          <w:color w:val="auto"/>
          <w:sz w:val="24"/>
          <w:szCs w:val="24"/>
          <w:highlight w:val="none"/>
        </w:rPr>
        <w:t>除外）连续标注页码。</w:t>
      </w:r>
    </w:p>
    <w:p w14:paraId="591163DF">
      <w:pPr>
        <w:pStyle w:val="2"/>
        <w:rPr>
          <w:rFonts w:hint="eastAsia"/>
          <w:color w:val="auto"/>
          <w:highlight w:val="none"/>
        </w:rPr>
      </w:pPr>
    </w:p>
    <w:p w14:paraId="06CF6C8F">
      <w:pPr>
        <w:pageBreakBefore w:val="0"/>
        <w:kinsoku/>
        <w:overflowPunct/>
        <w:bidi w:val="0"/>
        <w:spacing w:beforeLines="0" w:afterLines="0" w:line="360" w:lineRule="auto"/>
        <w:ind w:left="0" w:leftChars="0" w:right="0"/>
        <w:jc w:val="center"/>
        <w:rPr>
          <w:rFonts w:hint="eastAsia" w:ascii="宋体" w:hAnsi="宋体" w:eastAsia="宋体" w:cs="宋体"/>
          <w:color w:val="auto"/>
          <w:sz w:val="24"/>
          <w:highlight w:val="none"/>
        </w:rPr>
      </w:pPr>
    </w:p>
    <w:p w14:paraId="3BDF9B19">
      <w:pPr>
        <w:pStyle w:val="24"/>
        <w:pageBreakBefore w:val="0"/>
        <w:kinsoku/>
        <w:overflowPunct/>
        <w:bidi w:val="0"/>
        <w:spacing w:beforeLines="0" w:afterLines="0" w:line="360" w:lineRule="auto"/>
        <w:ind w:left="0" w:leftChars="0" w:right="0"/>
        <w:jc w:val="center"/>
        <w:rPr>
          <w:rFonts w:hint="eastAsia" w:ascii="宋体" w:hAnsi="宋体" w:eastAsia="宋体" w:cs="宋体"/>
          <w:color w:val="auto"/>
          <w:sz w:val="24"/>
          <w:szCs w:val="24"/>
          <w:highlight w:val="none"/>
        </w:rPr>
      </w:pPr>
    </w:p>
    <w:p w14:paraId="251F959B">
      <w:pPr>
        <w:pStyle w:val="24"/>
        <w:pageBreakBefore w:val="0"/>
        <w:kinsoku/>
        <w:overflowPunct/>
        <w:bidi w:val="0"/>
        <w:spacing w:beforeLines="0" w:afterLines="0" w:line="360" w:lineRule="auto"/>
        <w:ind w:left="0" w:leftChars="0" w:right="0"/>
        <w:jc w:val="center"/>
        <w:rPr>
          <w:rFonts w:hint="eastAsia" w:ascii="宋体" w:hAnsi="宋体" w:eastAsia="宋体" w:cs="宋体"/>
          <w:color w:val="auto"/>
          <w:sz w:val="24"/>
          <w:szCs w:val="24"/>
          <w:highlight w:val="none"/>
        </w:rPr>
      </w:pPr>
    </w:p>
    <w:p w14:paraId="1D925779">
      <w:pPr>
        <w:pStyle w:val="24"/>
        <w:pageBreakBefore w:val="0"/>
        <w:kinsoku/>
        <w:overflowPunct/>
        <w:bidi w:val="0"/>
        <w:spacing w:beforeLines="0" w:afterLines="0" w:line="360" w:lineRule="auto"/>
        <w:ind w:left="0" w:leftChars="0" w:right="0"/>
        <w:jc w:val="center"/>
        <w:rPr>
          <w:rFonts w:hint="eastAsia" w:ascii="宋体" w:hAnsi="宋体" w:eastAsia="宋体" w:cs="宋体"/>
          <w:color w:val="auto"/>
          <w:sz w:val="24"/>
          <w:szCs w:val="24"/>
          <w:highlight w:val="none"/>
        </w:rPr>
      </w:pPr>
    </w:p>
    <w:p w14:paraId="56BD42CB">
      <w:pPr>
        <w:pStyle w:val="24"/>
        <w:pageBreakBefore w:val="0"/>
        <w:kinsoku/>
        <w:overflowPunct/>
        <w:bidi w:val="0"/>
        <w:spacing w:beforeLines="0" w:afterLines="0" w:line="360" w:lineRule="auto"/>
        <w:ind w:left="0" w:leftChars="0" w:right="0"/>
        <w:jc w:val="center"/>
        <w:rPr>
          <w:rFonts w:hint="eastAsia" w:ascii="宋体" w:hAnsi="宋体" w:eastAsia="宋体" w:cs="宋体"/>
          <w:color w:val="auto"/>
          <w:sz w:val="24"/>
          <w:szCs w:val="24"/>
          <w:highlight w:val="none"/>
        </w:rPr>
      </w:pPr>
    </w:p>
    <w:p w14:paraId="16C2B4E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8C9EC88">
      <w:pPr>
        <w:pStyle w:val="27"/>
        <w:spacing w:line="240" w:lineRule="auto"/>
        <w:rPr>
          <w:rFonts w:hint="eastAsia"/>
          <w:b/>
          <w:color w:val="auto"/>
          <w:sz w:val="36"/>
          <w:szCs w:val="32"/>
          <w:highlight w:val="none"/>
        </w:rPr>
      </w:pPr>
      <w:r>
        <w:rPr>
          <w:rFonts w:hint="eastAsia"/>
          <w:b/>
          <w:color w:val="auto"/>
          <w:sz w:val="36"/>
          <w:szCs w:val="32"/>
          <w:highlight w:val="none"/>
        </w:rPr>
        <w:t>技术</w:t>
      </w:r>
      <w:r>
        <w:rPr>
          <w:rFonts w:hint="eastAsia"/>
          <w:b/>
          <w:color w:val="auto"/>
          <w:sz w:val="36"/>
          <w:szCs w:val="32"/>
          <w:highlight w:val="none"/>
          <w:lang w:val="en-US" w:eastAsia="zh-CN"/>
        </w:rPr>
        <w:t>标</w:t>
      </w:r>
      <w:r>
        <w:rPr>
          <w:rFonts w:hint="eastAsia"/>
          <w:b/>
          <w:color w:val="auto"/>
          <w:sz w:val="36"/>
          <w:szCs w:val="32"/>
          <w:highlight w:val="none"/>
        </w:rPr>
        <w:t>评分索引</w:t>
      </w:r>
    </w:p>
    <w:p w14:paraId="474D54F3">
      <w:pPr>
        <w:rPr>
          <w:rFonts w:hint="eastAsia"/>
          <w:color w:val="auto"/>
          <w:highlight w:val="none"/>
        </w:rPr>
      </w:pPr>
    </w:p>
    <w:tbl>
      <w:tblPr>
        <w:tblStyle w:val="6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2284"/>
        <w:gridCol w:w="1454"/>
        <w:gridCol w:w="1812"/>
        <w:gridCol w:w="2139"/>
      </w:tblGrid>
      <w:tr w14:paraId="47E1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591" w:type="dxa"/>
            <w:vAlign w:val="center"/>
          </w:tcPr>
          <w:p w14:paraId="65656810">
            <w:pPr>
              <w:pStyle w:val="36"/>
              <w:keepNext w:val="0"/>
              <w:keepLines w:val="0"/>
              <w:suppressLineNumbers w:val="0"/>
              <w:spacing w:before="0" w:beforeAutospacing="0" w:afterAutospacing="0" w:line="240" w:lineRule="auto"/>
              <w:ind w:left="0" w:right="0"/>
              <w:jc w:val="center"/>
              <w:rPr>
                <w:rFonts w:hint="default" w:cs="Times New Roman"/>
                <w:b/>
                <w:bCs/>
                <w:color w:val="auto"/>
                <w:sz w:val="24"/>
                <w:highlight w:val="none"/>
              </w:rPr>
            </w:pPr>
            <w:r>
              <w:rPr>
                <w:rFonts w:hint="eastAsia" w:cs="Times New Roman"/>
                <w:b/>
                <w:bCs/>
                <w:color w:val="auto"/>
                <w:sz w:val="24"/>
                <w:highlight w:val="none"/>
              </w:rPr>
              <w:t>序号</w:t>
            </w:r>
          </w:p>
        </w:tc>
        <w:tc>
          <w:tcPr>
            <w:tcW w:w="2284" w:type="dxa"/>
            <w:vAlign w:val="center"/>
          </w:tcPr>
          <w:p w14:paraId="50E3325B">
            <w:pPr>
              <w:pStyle w:val="36"/>
              <w:keepNext w:val="0"/>
              <w:keepLines w:val="0"/>
              <w:suppressLineNumbers w:val="0"/>
              <w:spacing w:before="0" w:beforeAutospacing="0" w:afterAutospacing="0" w:line="240" w:lineRule="auto"/>
              <w:ind w:left="0" w:right="0"/>
              <w:jc w:val="center"/>
              <w:rPr>
                <w:rFonts w:hint="default" w:cs="Times New Roman"/>
                <w:b/>
                <w:bCs/>
                <w:color w:val="auto"/>
                <w:sz w:val="24"/>
                <w:highlight w:val="none"/>
              </w:rPr>
            </w:pPr>
            <w:r>
              <w:rPr>
                <w:rFonts w:hint="eastAsia" w:cs="Times New Roman"/>
                <w:b/>
                <w:bCs/>
                <w:color w:val="auto"/>
                <w:sz w:val="24"/>
                <w:highlight w:val="none"/>
              </w:rPr>
              <w:t>评审因素</w:t>
            </w:r>
          </w:p>
        </w:tc>
        <w:tc>
          <w:tcPr>
            <w:tcW w:w="1454" w:type="dxa"/>
            <w:vAlign w:val="center"/>
          </w:tcPr>
          <w:p w14:paraId="477D82E5">
            <w:pPr>
              <w:pStyle w:val="36"/>
              <w:keepNext w:val="0"/>
              <w:keepLines w:val="0"/>
              <w:suppressLineNumbers w:val="0"/>
              <w:spacing w:before="0" w:beforeAutospacing="0" w:afterAutospacing="0" w:line="240" w:lineRule="auto"/>
              <w:ind w:left="0" w:right="0"/>
              <w:jc w:val="center"/>
              <w:rPr>
                <w:rFonts w:hint="default" w:cs="Times New Roman"/>
                <w:b/>
                <w:bCs/>
                <w:color w:val="auto"/>
                <w:sz w:val="24"/>
                <w:highlight w:val="none"/>
              </w:rPr>
            </w:pPr>
            <w:r>
              <w:rPr>
                <w:rFonts w:hint="eastAsia" w:cs="Times New Roman"/>
                <w:b/>
                <w:bCs/>
                <w:color w:val="auto"/>
                <w:sz w:val="24"/>
                <w:highlight w:val="none"/>
              </w:rPr>
              <w:t>分值</w:t>
            </w:r>
          </w:p>
        </w:tc>
        <w:tc>
          <w:tcPr>
            <w:tcW w:w="1812" w:type="dxa"/>
            <w:vAlign w:val="center"/>
          </w:tcPr>
          <w:p w14:paraId="790973CF">
            <w:pPr>
              <w:pStyle w:val="36"/>
              <w:keepNext w:val="0"/>
              <w:keepLines w:val="0"/>
              <w:suppressLineNumbers w:val="0"/>
              <w:spacing w:before="0" w:beforeAutospacing="0" w:afterAutospacing="0" w:line="240" w:lineRule="auto"/>
              <w:ind w:left="0" w:right="0"/>
              <w:jc w:val="center"/>
              <w:rPr>
                <w:rFonts w:hint="eastAsia" w:cs="Times New Roman"/>
                <w:b/>
                <w:bCs/>
                <w:color w:val="auto"/>
                <w:sz w:val="24"/>
                <w:highlight w:val="none"/>
              </w:rPr>
            </w:pPr>
            <w:r>
              <w:rPr>
                <w:rFonts w:hint="eastAsia" w:cs="Times New Roman"/>
                <w:b/>
                <w:bCs/>
                <w:color w:val="auto"/>
                <w:sz w:val="24"/>
                <w:highlight w:val="none"/>
              </w:rPr>
              <w:t>投标人自评分</w:t>
            </w:r>
          </w:p>
          <w:p w14:paraId="24D18646">
            <w:pPr>
              <w:pStyle w:val="36"/>
              <w:keepNext w:val="0"/>
              <w:keepLines w:val="0"/>
              <w:suppressLineNumbers w:val="0"/>
              <w:spacing w:before="0" w:beforeAutospacing="0" w:afterAutospacing="0" w:line="240" w:lineRule="auto"/>
              <w:ind w:left="0" w:right="0"/>
              <w:jc w:val="center"/>
              <w:rPr>
                <w:rFonts w:hint="default" w:cs="Times New Roman"/>
                <w:b/>
                <w:bCs/>
                <w:color w:val="auto"/>
                <w:sz w:val="24"/>
                <w:highlight w:val="none"/>
              </w:rPr>
            </w:pPr>
            <w:r>
              <w:rPr>
                <w:rFonts w:hint="eastAsia" w:cs="Times New Roman"/>
                <w:b/>
                <w:bCs/>
                <w:color w:val="auto"/>
                <w:sz w:val="24"/>
                <w:highlight w:val="none"/>
              </w:rPr>
              <w:t>（</w:t>
            </w:r>
            <w:r>
              <w:rPr>
                <w:rFonts w:hint="eastAsia" w:cs="Times New Roman"/>
                <w:b/>
                <w:bCs/>
                <w:color w:val="auto"/>
                <w:sz w:val="24"/>
                <w:highlight w:val="none"/>
                <w:lang w:val="en-US" w:eastAsia="zh-CN"/>
              </w:rPr>
              <w:t>仅供</w:t>
            </w:r>
            <w:r>
              <w:rPr>
                <w:rFonts w:hint="eastAsia" w:cs="Times New Roman"/>
                <w:b/>
                <w:bCs/>
                <w:color w:val="auto"/>
                <w:sz w:val="24"/>
                <w:highlight w:val="none"/>
              </w:rPr>
              <w:t>参考）</w:t>
            </w:r>
          </w:p>
        </w:tc>
        <w:tc>
          <w:tcPr>
            <w:tcW w:w="2139" w:type="dxa"/>
            <w:vAlign w:val="center"/>
          </w:tcPr>
          <w:p w14:paraId="10A83D57">
            <w:pPr>
              <w:pStyle w:val="36"/>
              <w:keepNext w:val="0"/>
              <w:keepLines w:val="0"/>
              <w:suppressLineNumbers w:val="0"/>
              <w:spacing w:before="0" w:beforeAutospacing="0" w:afterAutospacing="0" w:line="240" w:lineRule="auto"/>
              <w:ind w:left="0" w:right="0"/>
              <w:jc w:val="center"/>
              <w:rPr>
                <w:rFonts w:hint="default" w:cs="Times New Roman"/>
                <w:b/>
                <w:bCs/>
                <w:color w:val="auto"/>
                <w:sz w:val="24"/>
                <w:highlight w:val="none"/>
              </w:rPr>
            </w:pPr>
            <w:r>
              <w:rPr>
                <w:rFonts w:hint="eastAsia" w:cs="Times New Roman"/>
                <w:b/>
                <w:bCs/>
                <w:color w:val="auto"/>
                <w:sz w:val="24"/>
                <w:highlight w:val="none"/>
                <w:lang w:val="en-US" w:eastAsia="zh-CN"/>
              </w:rPr>
              <w:t>评审</w:t>
            </w:r>
            <w:r>
              <w:rPr>
                <w:rFonts w:hint="eastAsia" w:cs="Times New Roman"/>
                <w:b/>
                <w:bCs/>
                <w:color w:val="auto"/>
                <w:sz w:val="24"/>
                <w:highlight w:val="none"/>
              </w:rPr>
              <w:t>资料所在页码范围（必填）</w:t>
            </w:r>
          </w:p>
        </w:tc>
      </w:tr>
      <w:tr w14:paraId="0983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591" w:type="dxa"/>
            <w:vAlign w:val="center"/>
          </w:tcPr>
          <w:p w14:paraId="60693887">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2284" w:type="dxa"/>
            <w:vAlign w:val="center"/>
          </w:tcPr>
          <w:p w14:paraId="3773D6F5">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1454" w:type="dxa"/>
            <w:vAlign w:val="center"/>
          </w:tcPr>
          <w:p w14:paraId="5CD60858">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1812" w:type="dxa"/>
            <w:vAlign w:val="center"/>
          </w:tcPr>
          <w:p w14:paraId="69122556">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2139" w:type="dxa"/>
            <w:vAlign w:val="center"/>
          </w:tcPr>
          <w:p w14:paraId="65FD9CA9">
            <w:pPr>
              <w:pStyle w:val="36"/>
              <w:keepNext w:val="0"/>
              <w:keepLines w:val="0"/>
              <w:suppressLineNumbers w:val="0"/>
              <w:spacing w:before="0" w:beforeAutospacing="0" w:afterAutospacing="0" w:line="240" w:lineRule="auto"/>
              <w:ind w:left="0" w:right="0"/>
              <w:jc w:val="center"/>
              <w:rPr>
                <w:rFonts w:hint="eastAsia" w:cs="Times New Roman"/>
                <w:color w:val="auto"/>
                <w:sz w:val="24"/>
                <w:highlight w:val="none"/>
              </w:rPr>
            </w:pPr>
            <w:r>
              <w:rPr>
                <w:rFonts w:hint="eastAsia" w:cs="Times New Roman"/>
                <w:color w:val="auto"/>
                <w:sz w:val="24"/>
                <w:highlight w:val="none"/>
              </w:rPr>
              <w:t>见投标文件</w:t>
            </w:r>
          </w:p>
          <w:p w14:paraId="4D138059">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r>
              <w:rPr>
                <w:rFonts w:hint="eastAsia" w:cs="Times New Roman"/>
                <w:color w:val="auto"/>
                <w:sz w:val="24"/>
                <w:highlight w:val="none"/>
              </w:rPr>
              <w:t>第（）页</w:t>
            </w:r>
          </w:p>
        </w:tc>
      </w:tr>
      <w:tr w14:paraId="6EC0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591" w:type="dxa"/>
            <w:vAlign w:val="center"/>
          </w:tcPr>
          <w:p w14:paraId="3BD99665">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2284" w:type="dxa"/>
            <w:vAlign w:val="center"/>
          </w:tcPr>
          <w:p w14:paraId="4DD14AC4">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1454" w:type="dxa"/>
            <w:vAlign w:val="center"/>
          </w:tcPr>
          <w:p w14:paraId="6F38A15B">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1812" w:type="dxa"/>
            <w:vAlign w:val="center"/>
          </w:tcPr>
          <w:p w14:paraId="0E79D89C">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2139" w:type="dxa"/>
            <w:vAlign w:val="center"/>
          </w:tcPr>
          <w:p w14:paraId="37704CC4">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见投标文件</w:t>
            </w:r>
          </w:p>
          <w:p w14:paraId="0813A904">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rPr>
              <w:t>第（）页</w:t>
            </w:r>
          </w:p>
        </w:tc>
      </w:tr>
      <w:tr w14:paraId="1CF5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591" w:type="dxa"/>
            <w:vAlign w:val="center"/>
          </w:tcPr>
          <w:p w14:paraId="59177711">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2284" w:type="dxa"/>
            <w:vAlign w:val="center"/>
          </w:tcPr>
          <w:p w14:paraId="2BBEF5F2">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1454" w:type="dxa"/>
            <w:vAlign w:val="center"/>
          </w:tcPr>
          <w:p w14:paraId="2BEE1CED">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1812" w:type="dxa"/>
            <w:vAlign w:val="center"/>
          </w:tcPr>
          <w:p w14:paraId="1CF800BC">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2139" w:type="dxa"/>
            <w:vAlign w:val="center"/>
          </w:tcPr>
          <w:p w14:paraId="076C22FC">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见投标文件</w:t>
            </w:r>
          </w:p>
          <w:p w14:paraId="5F94AED1">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第（）页</w:t>
            </w:r>
          </w:p>
        </w:tc>
      </w:tr>
      <w:tr w14:paraId="3625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591" w:type="dxa"/>
            <w:vAlign w:val="center"/>
          </w:tcPr>
          <w:p w14:paraId="4A1E7B83">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2284" w:type="dxa"/>
            <w:vAlign w:val="center"/>
          </w:tcPr>
          <w:p w14:paraId="47564BA0">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1454" w:type="dxa"/>
            <w:vAlign w:val="center"/>
          </w:tcPr>
          <w:p w14:paraId="4A9441FF">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1812" w:type="dxa"/>
            <w:vAlign w:val="center"/>
          </w:tcPr>
          <w:p w14:paraId="73EA9B4A">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2139" w:type="dxa"/>
            <w:vAlign w:val="center"/>
          </w:tcPr>
          <w:p w14:paraId="788BFE79">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见投标文件</w:t>
            </w:r>
          </w:p>
          <w:p w14:paraId="1B945229">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rPr>
              <w:t>第（）页</w:t>
            </w:r>
          </w:p>
        </w:tc>
      </w:tr>
      <w:tr w14:paraId="3E95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591" w:type="dxa"/>
            <w:vAlign w:val="center"/>
          </w:tcPr>
          <w:p w14:paraId="1890BD06">
            <w:pPr>
              <w:pStyle w:val="36"/>
              <w:keepNext w:val="0"/>
              <w:keepLines w:val="0"/>
              <w:suppressLineNumbers w:val="0"/>
              <w:spacing w:before="0" w:beforeAutospacing="0" w:afterAutospacing="0" w:line="240" w:lineRule="auto"/>
              <w:ind w:left="0" w:right="0"/>
              <w:jc w:val="center"/>
              <w:rPr>
                <w:rFonts w:hint="default" w:eastAsia="宋体" w:cs="Times New Roman"/>
                <w:color w:val="auto"/>
                <w:sz w:val="24"/>
                <w:highlight w:val="none"/>
                <w:lang w:val="en-US" w:eastAsia="zh-CN"/>
              </w:rPr>
            </w:pPr>
          </w:p>
        </w:tc>
        <w:tc>
          <w:tcPr>
            <w:tcW w:w="2284" w:type="dxa"/>
            <w:vAlign w:val="center"/>
          </w:tcPr>
          <w:p w14:paraId="4759FCEE">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1454" w:type="dxa"/>
            <w:vAlign w:val="center"/>
          </w:tcPr>
          <w:p w14:paraId="3EDB6173">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1812" w:type="dxa"/>
            <w:vAlign w:val="center"/>
          </w:tcPr>
          <w:p w14:paraId="6EB40F6C">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2139" w:type="dxa"/>
            <w:vAlign w:val="center"/>
          </w:tcPr>
          <w:p w14:paraId="7A51394A">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见投标文件</w:t>
            </w:r>
          </w:p>
          <w:p w14:paraId="1FB57981">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rPr>
              <w:t>第（）页</w:t>
            </w:r>
          </w:p>
        </w:tc>
      </w:tr>
      <w:tr w14:paraId="6BD2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591" w:type="dxa"/>
            <w:vAlign w:val="center"/>
          </w:tcPr>
          <w:p w14:paraId="1B110D59">
            <w:pPr>
              <w:pStyle w:val="36"/>
              <w:keepNext w:val="0"/>
              <w:keepLines w:val="0"/>
              <w:suppressLineNumbers w:val="0"/>
              <w:spacing w:before="0" w:beforeAutospacing="0" w:afterAutospacing="0" w:line="240" w:lineRule="auto"/>
              <w:ind w:left="0" w:right="0"/>
              <w:jc w:val="center"/>
              <w:rPr>
                <w:rFonts w:hint="eastAsia" w:cs="Times New Roman"/>
                <w:b/>
                <w:bCs/>
                <w:color w:val="auto"/>
                <w:sz w:val="28"/>
                <w:szCs w:val="28"/>
                <w:highlight w:val="none"/>
                <w:lang w:val="en-US" w:eastAsia="zh-CN"/>
              </w:rPr>
            </w:pPr>
            <w:r>
              <w:rPr>
                <w:rFonts w:hint="eastAsia" w:cs="Times New Roman"/>
                <w:b/>
                <w:bCs/>
                <w:color w:val="auto"/>
                <w:sz w:val="28"/>
                <w:szCs w:val="28"/>
                <w:highlight w:val="none"/>
                <w:lang w:val="en-US" w:eastAsia="zh-CN"/>
              </w:rPr>
              <w:t>.......</w:t>
            </w:r>
          </w:p>
        </w:tc>
        <w:tc>
          <w:tcPr>
            <w:tcW w:w="2284" w:type="dxa"/>
            <w:vAlign w:val="center"/>
          </w:tcPr>
          <w:p w14:paraId="06EE89D5">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1454" w:type="dxa"/>
            <w:vAlign w:val="center"/>
          </w:tcPr>
          <w:p w14:paraId="56E2368E">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1812" w:type="dxa"/>
            <w:vAlign w:val="center"/>
          </w:tcPr>
          <w:p w14:paraId="63D86737">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p>
        </w:tc>
        <w:tc>
          <w:tcPr>
            <w:tcW w:w="2139" w:type="dxa"/>
            <w:vAlign w:val="center"/>
          </w:tcPr>
          <w:p w14:paraId="1B18CAD8">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4"/>
                <w:highlight w:val="none"/>
              </w:rPr>
            </w:pPr>
          </w:p>
        </w:tc>
      </w:tr>
      <w:tr w14:paraId="350B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875" w:type="dxa"/>
            <w:gridSpan w:val="2"/>
            <w:vAlign w:val="center"/>
          </w:tcPr>
          <w:p w14:paraId="23897B55">
            <w:pPr>
              <w:pStyle w:val="36"/>
              <w:keepNext w:val="0"/>
              <w:keepLines w:val="0"/>
              <w:suppressLineNumbers w:val="0"/>
              <w:spacing w:before="0" w:beforeAutospacing="0" w:afterAutospacing="0" w:line="240" w:lineRule="auto"/>
              <w:ind w:left="0" w:right="0"/>
              <w:jc w:val="center"/>
              <w:rPr>
                <w:rFonts w:hint="default" w:cs="Times New Roman"/>
                <w:color w:val="auto"/>
                <w:sz w:val="24"/>
                <w:highlight w:val="none"/>
              </w:rPr>
            </w:pPr>
            <w:r>
              <w:rPr>
                <w:rFonts w:hint="eastAsia" w:cs="Times New Roman"/>
                <w:color w:val="auto"/>
                <w:sz w:val="24"/>
                <w:highlight w:val="none"/>
              </w:rPr>
              <w:t>合计得分</w:t>
            </w:r>
          </w:p>
        </w:tc>
        <w:tc>
          <w:tcPr>
            <w:tcW w:w="5405" w:type="dxa"/>
            <w:gridSpan w:val="3"/>
            <w:vAlign w:val="center"/>
          </w:tcPr>
          <w:p w14:paraId="000F7888">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4"/>
                <w:highlight w:val="none"/>
              </w:rPr>
            </w:pPr>
          </w:p>
        </w:tc>
      </w:tr>
    </w:tbl>
    <w:p w14:paraId="4DAA466A">
      <w:pPr>
        <w:rPr>
          <w:rFonts w:hint="eastAsia" w:ascii="宋体" w:hAnsi="宋体" w:eastAsia="宋体" w:cs="宋体"/>
          <w:color w:val="auto"/>
          <w:sz w:val="24"/>
          <w:szCs w:val="24"/>
          <w:highlight w:val="none"/>
        </w:rPr>
      </w:pPr>
    </w:p>
    <w:p w14:paraId="67BAB44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D6C6AEC">
      <w:pPr>
        <w:pStyle w:val="24"/>
        <w:pageBreakBefore w:val="0"/>
        <w:kinsoku/>
        <w:overflowPunct/>
        <w:bidi w:val="0"/>
        <w:spacing w:beforeLines="0" w:afterLines="0" w:line="360" w:lineRule="auto"/>
        <w:ind w:left="0" w:leftChars="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4"/>
          <w:szCs w:val="24"/>
          <w:highlight w:val="none"/>
        </w:rPr>
        <w:t>第二节 资信标（含资格审查资料）格式</w:t>
      </w:r>
    </w:p>
    <w:p w14:paraId="7D67CAD6">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7471F9D8">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436FEC5E">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1FF1574E">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5D47273D">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08C2E7AB">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55A80621">
      <w:pPr>
        <w:pageBreakBefore w:val="0"/>
        <w:kinsoku/>
        <w:overflowPunct/>
        <w:bidi w:val="0"/>
        <w:spacing w:beforeLines="0" w:afterLines="0" w:line="360" w:lineRule="auto"/>
        <w:ind w:left="0" w:leftChars="0" w:right="0"/>
        <w:rPr>
          <w:rFonts w:hint="eastAsia" w:ascii="宋体" w:hAnsi="宋体" w:eastAsia="宋体" w:cs="宋体"/>
          <w:color w:val="auto"/>
          <w:sz w:val="24"/>
          <w:highlight w:val="none"/>
        </w:rPr>
      </w:pPr>
    </w:p>
    <w:p w14:paraId="4720300F">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r>
        <w:rPr>
          <w:rFonts w:hint="eastAsia" w:ascii="宋体" w:hAnsi="宋体" w:eastAsia="宋体" w:cs="宋体"/>
          <w:color w:val="auto"/>
          <w:highlight w:val="none"/>
        </w:rPr>
        <w:br w:type="page"/>
      </w:r>
    </w:p>
    <w:p w14:paraId="2290CA0C">
      <w:pPr>
        <w:spacing w:line="440" w:lineRule="exact"/>
        <w:jc w:val="right"/>
        <w:rPr>
          <w:rFonts w:hint="eastAsia" w:ascii="仿宋_GB2312" w:eastAsia="仿宋_GB2312"/>
          <w:b/>
          <w:color w:val="auto"/>
          <w:sz w:val="20"/>
          <w:szCs w:val="20"/>
          <w:highlight w:val="none"/>
        </w:rPr>
      </w:pPr>
      <w:r>
        <w:rPr>
          <w:rFonts w:hint="eastAsia" w:ascii="仿宋_GB2312" w:eastAsia="仿宋_GB2312"/>
          <w:b/>
          <w:color w:val="auto"/>
          <w:sz w:val="32"/>
          <w:szCs w:val="32"/>
          <w:highlight w:val="none"/>
          <w:lang w:val="en-US" w:eastAsia="zh-CN"/>
        </w:rPr>
        <w:t>正本/副本</w:t>
      </w:r>
    </w:p>
    <w:p w14:paraId="520131FE">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549100E4">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1082815A">
      <w:pPr>
        <w:pageBreakBefore w:val="0"/>
        <w:kinsoku/>
        <w:overflowPunct/>
        <w:bidi w:val="0"/>
        <w:spacing w:beforeLines="0" w:afterLines="0" w:line="360" w:lineRule="auto"/>
        <w:ind w:left="0" w:leftChars="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44"/>
          <w:szCs w:val="44"/>
          <w:highlight w:val="none"/>
          <w:u w:val="single"/>
          <w:lang w:eastAsia="zh-CN"/>
        </w:rPr>
        <w:t>粤港澳大湾区—佛山市南海区电力管廊（一期）项目—佛山220千伏沥中输变电线路配套电力管廊建设工程预算审核（复审）</w:t>
      </w:r>
      <w:r>
        <w:rPr>
          <w:rFonts w:hint="eastAsia" w:ascii="宋体" w:hAnsi="宋体" w:eastAsia="宋体" w:cs="宋体"/>
          <w:b/>
          <w:color w:val="auto"/>
          <w:sz w:val="44"/>
          <w:szCs w:val="44"/>
          <w:highlight w:val="none"/>
        </w:rPr>
        <w:t>招标</w:t>
      </w:r>
    </w:p>
    <w:p w14:paraId="2A0ADDC6">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74BC5474">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0797DFBC">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1FBD4D38">
      <w:pPr>
        <w:pageBreakBefore w:val="0"/>
        <w:kinsoku/>
        <w:overflowPunct/>
        <w:bidi w:val="0"/>
        <w:spacing w:beforeLines="0" w:afterLines="0" w:line="360" w:lineRule="auto"/>
        <w:ind w:left="0" w:leftChars="0" w:right="0"/>
        <w:rPr>
          <w:rFonts w:hint="eastAsia" w:ascii="宋体" w:hAnsi="宋体" w:eastAsia="宋体" w:cs="宋体"/>
          <w:b/>
          <w:color w:val="auto"/>
          <w:sz w:val="28"/>
          <w:szCs w:val="28"/>
          <w:highlight w:val="none"/>
        </w:rPr>
      </w:pPr>
    </w:p>
    <w:p w14:paraId="6609B729">
      <w:pPr>
        <w:pageBreakBefore w:val="0"/>
        <w:kinsoku/>
        <w:overflowPunct/>
        <w:bidi w:val="0"/>
        <w:spacing w:beforeLines="0" w:afterLines="0" w:line="360" w:lineRule="auto"/>
        <w:ind w:left="0" w:leftChars="0" w:right="0"/>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资格审查资料</w:t>
      </w:r>
    </w:p>
    <w:p w14:paraId="7E4CB3CC">
      <w:pPr>
        <w:pageBreakBefore w:val="0"/>
        <w:kinsoku/>
        <w:overflowPunct/>
        <w:bidi w:val="0"/>
        <w:spacing w:beforeLines="0" w:afterLines="0" w:line="360" w:lineRule="auto"/>
        <w:ind w:left="0" w:leftChars="0" w:right="0"/>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资信标</w:t>
      </w:r>
    </w:p>
    <w:p w14:paraId="0E468D44">
      <w:pPr>
        <w:pageBreakBefore w:val="0"/>
        <w:kinsoku/>
        <w:overflowPunct/>
        <w:bidi w:val="0"/>
        <w:spacing w:beforeLines="0" w:afterLines="0" w:line="360" w:lineRule="auto"/>
        <w:ind w:left="0" w:leftChars="0" w:right="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（含资格审查资料）</w:t>
      </w:r>
    </w:p>
    <w:p w14:paraId="719C08AC">
      <w:pPr>
        <w:pageBreakBefore w:val="0"/>
        <w:kinsoku/>
        <w:overflowPunct/>
        <w:bidi w:val="0"/>
        <w:spacing w:beforeLines="0" w:afterLines="0" w:line="360" w:lineRule="auto"/>
        <w:ind w:left="0" w:leftChars="0" w:right="0"/>
        <w:rPr>
          <w:rFonts w:hint="eastAsia" w:ascii="宋体" w:hAnsi="宋体" w:eastAsia="宋体" w:cs="宋体"/>
          <w:b/>
          <w:color w:val="auto"/>
          <w:sz w:val="28"/>
          <w:szCs w:val="28"/>
          <w:highlight w:val="none"/>
        </w:rPr>
      </w:pPr>
    </w:p>
    <w:p w14:paraId="65C62775">
      <w:pPr>
        <w:pageBreakBefore w:val="0"/>
        <w:kinsoku/>
        <w:overflowPunct/>
        <w:bidi w:val="0"/>
        <w:spacing w:beforeLines="0" w:afterLines="0" w:line="360" w:lineRule="auto"/>
        <w:ind w:left="0" w:leftChars="0" w:right="0"/>
        <w:rPr>
          <w:rFonts w:hint="eastAsia" w:ascii="宋体" w:hAnsi="宋体" w:eastAsia="宋体" w:cs="宋体"/>
          <w:b/>
          <w:color w:val="auto"/>
          <w:sz w:val="28"/>
          <w:szCs w:val="28"/>
          <w:highlight w:val="none"/>
        </w:rPr>
      </w:pPr>
    </w:p>
    <w:p w14:paraId="2CFDC50A">
      <w:pPr>
        <w:pageBreakBefore w:val="0"/>
        <w:kinsoku/>
        <w:overflowPunct/>
        <w:bidi w:val="0"/>
        <w:spacing w:beforeLines="0" w:afterLines="0" w:line="360" w:lineRule="auto"/>
        <w:ind w:left="0" w:leftChars="0" w:right="0" w:firstLine="1687" w:firstLineChars="6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（盖公章）</w:t>
      </w:r>
    </w:p>
    <w:p w14:paraId="34230939">
      <w:pPr>
        <w:pageBreakBefore w:val="0"/>
        <w:kinsoku/>
        <w:overflowPunct/>
        <w:bidi w:val="0"/>
        <w:spacing w:beforeLines="0" w:afterLines="0" w:line="360" w:lineRule="auto"/>
        <w:ind w:left="0" w:leftChars="0" w:right="0" w:firstLine="1687" w:firstLineChars="600"/>
        <w:rPr>
          <w:rFonts w:hint="eastAsia" w:ascii="宋体" w:hAnsi="宋体" w:eastAsia="宋体" w:cs="宋体"/>
          <w:b/>
          <w:color w:val="auto"/>
          <w:sz w:val="28"/>
          <w:szCs w:val="28"/>
          <w:highlight w:val="none"/>
        </w:rPr>
      </w:pPr>
    </w:p>
    <w:p w14:paraId="370FCA48">
      <w:pPr>
        <w:pageBreakBefore w:val="0"/>
        <w:kinsoku/>
        <w:overflowPunct/>
        <w:bidi w:val="0"/>
        <w:spacing w:beforeLines="0" w:afterLines="0" w:line="360" w:lineRule="auto"/>
        <w:ind w:left="0" w:leftChars="0" w:right="0" w:firstLine="1687" w:firstLineChars="600"/>
        <w:rPr>
          <w:rFonts w:hint="eastAsia" w:ascii="宋体" w:hAnsi="宋体" w:eastAsia="宋体" w:cs="宋体"/>
          <w:b/>
          <w:color w:val="auto"/>
          <w:sz w:val="28"/>
          <w:szCs w:val="28"/>
          <w:highlight w:val="none"/>
          <w:u w:val="single"/>
        </w:rPr>
      </w:pPr>
    </w:p>
    <w:p w14:paraId="69549554">
      <w:pPr>
        <w:pageBreakBefore w:val="0"/>
        <w:kinsoku/>
        <w:overflowPunct/>
        <w:bidi w:val="0"/>
        <w:spacing w:beforeLines="0" w:afterLines="0" w:line="360" w:lineRule="auto"/>
        <w:ind w:left="0" w:leftChars="0" w:right="0" w:firstLine="1687" w:firstLineChars="6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p w14:paraId="650004A0">
      <w:pPr>
        <w:pStyle w:val="192"/>
        <w:keepNext w:val="0"/>
        <w:keepLines w:val="0"/>
        <w:pageBreakBefore w:val="0"/>
        <w:kinsoku/>
        <w:overflowPunct/>
        <w:bidi w:val="0"/>
        <w:spacing w:before="0" w:beforeLines="0" w:afterLines="0" w:line="360" w:lineRule="auto"/>
        <w:ind w:left="0" w:leftChars="0" w:right="0"/>
        <w:rPr>
          <w:rFonts w:hint="eastAsia" w:ascii="宋体" w:hAnsi="宋体" w:eastAsia="宋体" w:cs="宋体"/>
          <w:b/>
          <w:color w:val="auto"/>
          <w:highlight w:val="none"/>
        </w:rPr>
      </w:pPr>
    </w:p>
    <w:p w14:paraId="47763DCE">
      <w:pPr>
        <w:pageBreakBefore w:val="0"/>
        <w:kinsoku/>
        <w:overflowPunct/>
        <w:bidi w:val="0"/>
        <w:spacing w:beforeLines="0" w:afterLines="0" w:line="360" w:lineRule="auto"/>
        <w:ind w:left="0" w:leftChars="0" w:right="0"/>
        <w:jc w:val="center"/>
        <w:rPr>
          <w:rFonts w:hint="eastAsia" w:ascii="宋体" w:hAnsi="宋体" w:eastAsia="宋体" w:cs="宋体"/>
          <w:color w:val="auto"/>
          <w:sz w:val="22"/>
          <w:szCs w:val="22"/>
          <w:highlight w:val="none"/>
        </w:rPr>
      </w:pPr>
      <w:r>
        <w:rPr>
          <w:rFonts w:hint="eastAsia" w:ascii="宋体" w:hAnsi="宋体" w:eastAsia="宋体" w:cs="宋体"/>
          <w:color w:val="auto"/>
          <w:highlight w:val="none"/>
        </w:rPr>
        <w:br w:type="page"/>
      </w:r>
      <w:r>
        <w:rPr>
          <w:rFonts w:hint="eastAsia" w:ascii="宋体" w:hAnsi="宋体" w:eastAsia="宋体" w:cs="宋体"/>
          <w:color w:val="auto"/>
          <w:sz w:val="22"/>
          <w:szCs w:val="22"/>
          <w:highlight w:val="none"/>
        </w:rPr>
        <w:t>目    录</w:t>
      </w:r>
    </w:p>
    <w:p w14:paraId="1F4F1B99">
      <w:pPr>
        <w:pageBreakBefore w:val="0"/>
        <w:tabs>
          <w:tab w:val="left" w:pos="540"/>
        </w:tabs>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一、资格审查强制性条件资料（企业）</w:t>
      </w:r>
    </w:p>
    <w:p w14:paraId="70B5E62F">
      <w:pPr>
        <w:pageBreakBefore w:val="0"/>
        <w:tabs>
          <w:tab w:val="left" w:pos="540"/>
        </w:tabs>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二、资格审查强制性条件资料（人员）</w:t>
      </w:r>
    </w:p>
    <w:p w14:paraId="01D7AD34">
      <w:pPr>
        <w:pageBreakBefore w:val="0"/>
        <w:tabs>
          <w:tab w:val="left" w:pos="540"/>
        </w:tabs>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三、联合投标协议书（如有）</w:t>
      </w:r>
    </w:p>
    <w:p w14:paraId="2B8E99DD">
      <w:pPr>
        <w:pageBreakBefore w:val="0"/>
        <w:tabs>
          <w:tab w:val="left" w:pos="540"/>
        </w:tabs>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四、法定代表人身份证明</w:t>
      </w:r>
    </w:p>
    <w:p w14:paraId="264141CB">
      <w:pPr>
        <w:pageBreakBefore w:val="0"/>
        <w:tabs>
          <w:tab w:val="left" w:pos="540"/>
        </w:tabs>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五、授权委托书（如有）</w:t>
      </w:r>
    </w:p>
    <w:p w14:paraId="5FB2FBF9">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六、其他材料</w:t>
      </w:r>
    </w:p>
    <w:p w14:paraId="6DA1A916">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附表一：投标人基本情况表</w:t>
      </w:r>
    </w:p>
    <w:p w14:paraId="0FD6D229">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附表二：项目管理团队配备情况表（如有）</w:t>
      </w:r>
    </w:p>
    <w:p w14:paraId="7D987AAB">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附表三</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：拟派驻本招标项目的项目负责人简历</w:t>
      </w:r>
    </w:p>
    <w:p w14:paraId="2F7AB67E">
      <w:pPr>
        <w:spacing w:beforeLines="0" w:afterLines="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附表三</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：拟派驻本招标项目的其他专业</w:t>
      </w:r>
      <w:r>
        <w:rPr>
          <w:rFonts w:hint="eastAsia" w:ascii="宋体" w:hAnsi="宋体" w:eastAsia="宋体" w:cs="宋体"/>
          <w:color w:val="auto"/>
          <w:szCs w:val="21"/>
          <w:highlight w:val="none"/>
          <w:lang w:eastAsia="zh-CN"/>
        </w:rPr>
        <w:t>造价咨询人员</w:t>
      </w:r>
      <w:r>
        <w:rPr>
          <w:rFonts w:hint="eastAsia" w:ascii="宋体" w:hAnsi="宋体" w:eastAsia="宋体" w:cs="宋体"/>
          <w:color w:val="auto"/>
          <w:szCs w:val="21"/>
          <w:highlight w:val="none"/>
        </w:rPr>
        <w:t>（如有）简历</w:t>
      </w:r>
    </w:p>
    <w:p w14:paraId="269DEF7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附表四：近年完成的类似项目业绩情况表（如有）</w:t>
      </w:r>
    </w:p>
    <w:p w14:paraId="4FC4D1F4">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附表五：近年完成的项目获奖情况表（如有）</w:t>
      </w:r>
    </w:p>
    <w:p w14:paraId="0F93A58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附表六：近三年财务状况（如有）</w:t>
      </w:r>
    </w:p>
    <w:p w14:paraId="6E561ADB">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附表七：诚信投标承诺书</w:t>
      </w:r>
    </w:p>
    <w:p w14:paraId="49F1C48D">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附表八：企业信誉（信用）状况声明</w:t>
      </w:r>
    </w:p>
    <w:p w14:paraId="6DC3D17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附表九：标后履约承诺书</w:t>
      </w:r>
    </w:p>
    <w:p w14:paraId="305D02EA">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附表十：</w:t>
      </w:r>
      <w:r>
        <w:rPr>
          <w:rFonts w:hint="eastAsia" w:ascii="宋体" w:hAnsi="宋体" w:eastAsia="宋体" w:cs="宋体"/>
          <w:bCs/>
          <w:color w:val="auto"/>
          <w:szCs w:val="21"/>
          <w:highlight w:val="none"/>
        </w:rPr>
        <w:t>中小企业声明函（如有）</w:t>
      </w:r>
    </w:p>
    <w:p w14:paraId="4066EA1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附表十一：投标人资信标响应一览表（如有）</w:t>
      </w:r>
    </w:p>
    <w:p w14:paraId="76DFC6E0">
      <w:pPr>
        <w:pageBreakBefore w:val="0"/>
        <w:kinsoku/>
        <w:overflowPunct/>
        <w:bidi w:val="0"/>
        <w:spacing w:beforeLines="0" w:afterLines="0" w:line="360" w:lineRule="auto"/>
        <w:ind w:left="0" w:leftChars="0" w:right="0"/>
        <w:jc w:val="center"/>
        <w:rPr>
          <w:rFonts w:hint="eastAsia" w:ascii="宋体" w:hAnsi="宋体" w:eastAsia="宋体" w:cs="宋体"/>
          <w:color w:val="auto"/>
          <w:sz w:val="22"/>
          <w:szCs w:val="21"/>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2"/>
          <w:szCs w:val="21"/>
          <w:highlight w:val="none"/>
        </w:rPr>
        <w:t>一、资格审查强制性条件资料（企业）</w:t>
      </w:r>
    </w:p>
    <w:tbl>
      <w:tblPr>
        <w:tblStyle w:val="63"/>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5541"/>
        <w:gridCol w:w="2354"/>
      </w:tblGrid>
      <w:tr w14:paraId="5B08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14:paraId="11C91B8F">
            <w:pPr>
              <w:pageBreakBefore w:val="0"/>
              <w:kinsoku/>
              <w:overflowPunct/>
              <w:bidi w:val="0"/>
              <w:spacing w:beforeLines="0" w:afterLines="0" w:line="360" w:lineRule="auto"/>
              <w:ind w:left="0" w:leftChars="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资格条件</w:t>
            </w:r>
          </w:p>
        </w:tc>
        <w:tc>
          <w:tcPr>
            <w:tcW w:w="5541" w:type="dxa"/>
            <w:vAlign w:val="center"/>
          </w:tcPr>
          <w:p w14:paraId="5C4E411C">
            <w:pPr>
              <w:pageBreakBefore w:val="0"/>
              <w:kinsoku/>
              <w:overflowPunct/>
              <w:bidi w:val="0"/>
              <w:spacing w:beforeLines="0" w:afterLines="0" w:line="360" w:lineRule="auto"/>
              <w:ind w:left="0" w:leftChars="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资格要求</w:t>
            </w:r>
          </w:p>
        </w:tc>
        <w:tc>
          <w:tcPr>
            <w:tcW w:w="2354" w:type="dxa"/>
            <w:vAlign w:val="center"/>
          </w:tcPr>
          <w:p w14:paraId="348F254F">
            <w:pPr>
              <w:pageBreakBefore w:val="0"/>
              <w:kinsoku/>
              <w:overflowPunct/>
              <w:bidi w:val="0"/>
              <w:spacing w:beforeLines="0" w:afterLines="0" w:line="360" w:lineRule="auto"/>
              <w:ind w:left="0" w:leftChars="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投标人达到程度的简述（由投标人填写）</w:t>
            </w:r>
          </w:p>
        </w:tc>
      </w:tr>
      <w:tr w14:paraId="7C1B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3" w:type="dxa"/>
            <w:vAlign w:val="center"/>
          </w:tcPr>
          <w:p w14:paraId="3E767E1D">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5541" w:type="dxa"/>
            <w:vAlign w:val="center"/>
          </w:tcPr>
          <w:p w14:paraId="16A47163">
            <w:pPr>
              <w:pageBreakBefore w:val="0"/>
              <w:kinsoku/>
              <w:overflowPunct/>
              <w:bidi w:val="0"/>
              <w:spacing w:beforeLines="0" w:afterLines="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投标人应具有独立法人资格并依法取得营业执照，营业执照处于有效期。</w:t>
            </w:r>
          </w:p>
        </w:tc>
        <w:tc>
          <w:tcPr>
            <w:tcW w:w="2354" w:type="dxa"/>
            <w:vAlign w:val="center"/>
          </w:tcPr>
          <w:p w14:paraId="35A61B2A">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211C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3" w:type="dxa"/>
            <w:vAlign w:val="center"/>
          </w:tcPr>
          <w:p w14:paraId="7DE1B39A">
            <w:pPr>
              <w:pageBreakBefore w:val="0"/>
              <w:kinsoku/>
              <w:overflowPunct/>
              <w:bidi w:val="0"/>
              <w:spacing w:beforeLines="0" w:afterLines="0" w:line="360" w:lineRule="auto"/>
              <w:ind w:left="0" w:leftChars="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类似项目</w:t>
            </w:r>
          </w:p>
          <w:p w14:paraId="012E152F">
            <w:pPr>
              <w:pageBreakBefore w:val="0"/>
              <w:kinsoku/>
              <w:overflowPunct/>
              <w:bidi w:val="0"/>
              <w:spacing w:beforeLines="0" w:afterLines="0" w:line="360" w:lineRule="auto"/>
              <w:ind w:left="0" w:leftChars="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业绩（如有）</w:t>
            </w:r>
          </w:p>
        </w:tc>
        <w:tc>
          <w:tcPr>
            <w:tcW w:w="5541" w:type="dxa"/>
            <w:vAlign w:val="center"/>
          </w:tcPr>
          <w:p w14:paraId="6F87A1BD">
            <w:pPr>
              <w:pStyle w:val="223"/>
              <w:pageBreakBefore w:val="0"/>
              <w:widowControl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b/>
                <w:bCs/>
                <w:color w:val="auto"/>
                <w:kern w:val="2"/>
                <w:highlight w:val="none"/>
                <w:lang w:eastAsia="zh-CN"/>
              </w:rPr>
              <w:t>☑</w:t>
            </w:r>
            <w:r>
              <w:rPr>
                <w:rFonts w:hint="eastAsia" w:ascii="宋体" w:hAnsi="宋体" w:eastAsia="宋体" w:cs="宋体"/>
                <w:b/>
                <w:bCs/>
                <w:color w:val="auto"/>
                <w:kern w:val="2"/>
                <w:highlight w:val="none"/>
              </w:rPr>
              <w:t>本项目不要求投标人提供类似业绩作为资格审查要求</w:t>
            </w:r>
          </w:p>
        </w:tc>
        <w:tc>
          <w:tcPr>
            <w:tcW w:w="2354" w:type="dxa"/>
            <w:vAlign w:val="center"/>
          </w:tcPr>
          <w:p w14:paraId="41A98813">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299E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3" w:type="dxa"/>
            <w:vAlign w:val="center"/>
          </w:tcPr>
          <w:p w14:paraId="3A9E9131">
            <w:pPr>
              <w:pageBreakBefore w:val="0"/>
              <w:kinsoku/>
              <w:overflowPunct/>
              <w:bidi w:val="0"/>
              <w:spacing w:beforeLines="0" w:afterLines="0" w:line="360" w:lineRule="auto"/>
              <w:ind w:left="0" w:leftChars="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进粤登记</w:t>
            </w:r>
          </w:p>
          <w:p w14:paraId="2EC23706">
            <w:pPr>
              <w:pageBreakBefore w:val="0"/>
              <w:kinsoku/>
              <w:overflowPunct/>
              <w:bidi w:val="0"/>
              <w:spacing w:beforeLines="0" w:afterLines="0" w:line="360" w:lineRule="auto"/>
              <w:ind w:left="0" w:leftChars="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（如有）</w:t>
            </w:r>
          </w:p>
        </w:tc>
        <w:tc>
          <w:tcPr>
            <w:tcW w:w="5541" w:type="dxa"/>
            <w:vAlign w:val="center"/>
          </w:tcPr>
          <w:p w14:paraId="2B91AC6C">
            <w:pPr>
              <w:pageBreakBefore w:val="0"/>
              <w:kinsoku/>
              <w:overflowPunct/>
              <w:bidi w:val="0"/>
              <w:spacing w:beforeLines="0" w:afterLines="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省外企业提供“进粤企业和人员诚信信息登记平台”登记信息的网页打印件。</w:t>
            </w:r>
          </w:p>
        </w:tc>
        <w:tc>
          <w:tcPr>
            <w:tcW w:w="2354" w:type="dxa"/>
            <w:vAlign w:val="center"/>
          </w:tcPr>
          <w:p w14:paraId="7A06BC3D">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4EB8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3" w:type="dxa"/>
            <w:vAlign w:val="center"/>
          </w:tcPr>
          <w:p w14:paraId="21CE9A49">
            <w:pPr>
              <w:pageBreakBefore w:val="0"/>
              <w:kinsoku/>
              <w:overflowPunct/>
              <w:bidi w:val="0"/>
              <w:spacing w:beforeLines="0" w:afterLines="0" w:line="360" w:lineRule="auto"/>
              <w:ind w:left="0" w:leftChars="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信誉</w:t>
            </w:r>
          </w:p>
        </w:tc>
        <w:tc>
          <w:tcPr>
            <w:tcW w:w="5541" w:type="dxa"/>
            <w:vAlign w:val="center"/>
          </w:tcPr>
          <w:p w14:paraId="2DB00A08">
            <w:pPr>
              <w:pageBreakBefore w:val="0"/>
              <w:kinsoku/>
              <w:overflowPunct/>
              <w:bidi w:val="0"/>
              <w:spacing w:beforeLines="0" w:afterLines="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提交企业信誉（信用）状况声明。</w:t>
            </w:r>
          </w:p>
        </w:tc>
        <w:tc>
          <w:tcPr>
            <w:tcW w:w="2354" w:type="dxa"/>
            <w:vAlign w:val="center"/>
          </w:tcPr>
          <w:p w14:paraId="26D429F4">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0494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3" w:type="dxa"/>
            <w:vAlign w:val="center"/>
          </w:tcPr>
          <w:p w14:paraId="45758BA1">
            <w:pPr>
              <w:pageBreakBefore w:val="0"/>
              <w:kinsoku/>
              <w:overflowPunct/>
              <w:bidi w:val="0"/>
              <w:spacing w:beforeLines="0" w:afterLines="0" w:line="360" w:lineRule="auto"/>
              <w:ind w:left="0" w:leftChars="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w:t>
            </w:r>
          </w:p>
        </w:tc>
        <w:tc>
          <w:tcPr>
            <w:tcW w:w="5541" w:type="dxa"/>
            <w:vAlign w:val="center"/>
          </w:tcPr>
          <w:p w14:paraId="583B0688">
            <w:pPr>
              <w:pageBreakBefore w:val="0"/>
              <w:kinsoku/>
              <w:overflowPunct/>
              <w:bidi w:val="0"/>
              <w:spacing w:beforeLines="0" w:afterLines="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提供身份证明书及身份证扫描件。</w:t>
            </w:r>
          </w:p>
        </w:tc>
        <w:tc>
          <w:tcPr>
            <w:tcW w:w="2354" w:type="dxa"/>
            <w:vAlign w:val="center"/>
          </w:tcPr>
          <w:p w14:paraId="4251A077">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754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3" w:type="dxa"/>
            <w:vAlign w:val="center"/>
          </w:tcPr>
          <w:p w14:paraId="1E1D618D">
            <w:pPr>
              <w:pageBreakBefore w:val="0"/>
              <w:kinsoku/>
              <w:overflowPunct/>
              <w:bidi w:val="0"/>
              <w:spacing w:beforeLines="0" w:afterLines="0" w:line="360" w:lineRule="auto"/>
              <w:ind w:left="0" w:leftChars="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委托代理人</w:t>
            </w:r>
          </w:p>
          <w:p w14:paraId="3C728FA4">
            <w:pPr>
              <w:pageBreakBefore w:val="0"/>
              <w:kinsoku/>
              <w:overflowPunct/>
              <w:bidi w:val="0"/>
              <w:spacing w:beforeLines="0" w:afterLines="0" w:line="360" w:lineRule="auto"/>
              <w:ind w:left="0" w:leftChars="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（如有）</w:t>
            </w:r>
          </w:p>
        </w:tc>
        <w:tc>
          <w:tcPr>
            <w:tcW w:w="5541" w:type="dxa"/>
            <w:vAlign w:val="center"/>
          </w:tcPr>
          <w:p w14:paraId="31955DE3">
            <w:pPr>
              <w:pageBreakBefore w:val="0"/>
              <w:kinsoku/>
              <w:overflowPunct/>
              <w:bidi w:val="0"/>
              <w:spacing w:beforeLines="0" w:afterLines="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提供符合招标文件规定的有效授权文件及身份证扫描件。</w:t>
            </w:r>
          </w:p>
        </w:tc>
        <w:tc>
          <w:tcPr>
            <w:tcW w:w="2354" w:type="dxa"/>
            <w:vAlign w:val="center"/>
          </w:tcPr>
          <w:p w14:paraId="6649052B">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3BC3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3" w:type="dxa"/>
            <w:vAlign w:val="center"/>
          </w:tcPr>
          <w:p w14:paraId="01F1E9F8">
            <w:pPr>
              <w:pageBreakBefore w:val="0"/>
              <w:kinsoku/>
              <w:overflowPunct/>
              <w:bidi w:val="0"/>
              <w:spacing w:beforeLines="0" w:afterLines="0" w:line="360" w:lineRule="auto"/>
              <w:ind w:left="0" w:leftChars="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其他</w:t>
            </w:r>
          </w:p>
        </w:tc>
        <w:tc>
          <w:tcPr>
            <w:tcW w:w="5541" w:type="dxa"/>
            <w:vAlign w:val="center"/>
          </w:tcPr>
          <w:p w14:paraId="6EE2A830">
            <w:pPr>
              <w:pageBreakBefore w:val="0"/>
              <w:kinsoku/>
              <w:overflowPunct/>
              <w:bidi w:val="0"/>
              <w:spacing w:beforeLines="0" w:afterLines="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法律、法规规定的其他资格条件。</w:t>
            </w:r>
          </w:p>
        </w:tc>
        <w:tc>
          <w:tcPr>
            <w:tcW w:w="2354" w:type="dxa"/>
            <w:vAlign w:val="center"/>
          </w:tcPr>
          <w:p w14:paraId="47EF2B33">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bl>
    <w:p w14:paraId="17289B39">
      <w:pPr>
        <w:pageBreakBefore w:val="0"/>
        <w:kinsoku/>
        <w:overflowPunct/>
        <w:bidi w:val="0"/>
        <w:spacing w:beforeLines="0" w:afterLines="0" w:line="360" w:lineRule="auto"/>
        <w:ind w:left="0" w:leftChars="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注：投标人如不满足上述强制性条件中的任何一条，将被认为资格审查不合格。</w:t>
      </w:r>
    </w:p>
    <w:p w14:paraId="790A2EE4">
      <w:pPr>
        <w:pageBreakBefore w:val="0"/>
        <w:kinsoku/>
        <w:overflowPunct/>
        <w:bidi w:val="0"/>
        <w:spacing w:beforeLines="0" w:afterLines="0" w:line="360" w:lineRule="auto"/>
        <w:ind w:left="0" w:leftChars="0" w:right="0"/>
        <w:rPr>
          <w:rFonts w:hint="eastAsia" w:ascii="宋体" w:hAnsi="宋体" w:eastAsia="宋体" w:cs="宋体"/>
          <w:b/>
          <w:color w:val="auto"/>
          <w:sz w:val="22"/>
          <w:szCs w:val="21"/>
          <w:highlight w:val="none"/>
        </w:rPr>
      </w:pPr>
      <w:r>
        <w:rPr>
          <w:rFonts w:hint="eastAsia" w:ascii="宋体" w:hAnsi="宋体" w:eastAsia="宋体" w:cs="宋体"/>
          <w:b/>
          <w:color w:val="auto"/>
          <w:sz w:val="22"/>
          <w:szCs w:val="21"/>
          <w:highlight w:val="none"/>
        </w:rPr>
        <w:br w:type="page"/>
      </w:r>
    </w:p>
    <w:p w14:paraId="481758B2">
      <w:pPr>
        <w:pStyle w:val="27"/>
        <w:pageBreakBefore w:val="0"/>
        <w:kinsoku/>
        <w:overflowPunct/>
        <w:bidi w:val="0"/>
        <w:spacing w:beforeLines="0" w:afterLines="0" w:line="360" w:lineRule="auto"/>
        <w:ind w:left="0" w:leftChars="0" w:right="0" w:firstLine="0"/>
        <w:rPr>
          <w:rFonts w:hint="eastAsia" w:ascii="宋体" w:hAnsi="宋体" w:eastAsia="宋体" w:cs="宋体"/>
          <w:b/>
          <w:bCs w:val="0"/>
          <w:color w:val="auto"/>
          <w:sz w:val="22"/>
          <w:szCs w:val="21"/>
          <w:highlight w:val="none"/>
        </w:rPr>
      </w:pPr>
      <w:r>
        <w:rPr>
          <w:rFonts w:hint="eastAsia" w:ascii="宋体" w:hAnsi="宋体" w:eastAsia="宋体" w:cs="宋体"/>
          <w:b/>
          <w:bCs w:val="0"/>
          <w:color w:val="auto"/>
          <w:sz w:val="22"/>
          <w:szCs w:val="21"/>
          <w:highlight w:val="none"/>
        </w:rPr>
        <w:t>二、资格审查强制性条件资料（人员）</w:t>
      </w:r>
    </w:p>
    <w:p w14:paraId="680F88AF">
      <w:pPr>
        <w:pageBreakBefore w:val="0"/>
        <w:kinsoku/>
        <w:overflowPunct/>
        <w:bidi w:val="0"/>
        <w:spacing w:beforeLines="0" w:afterLines="0" w:line="360" w:lineRule="auto"/>
        <w:ind w:left="0" w:leftChars="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18"/>
          <w:szCs w:val="21"/>
          <w:highlight w:val="none"/>
        </w:rPr>
        <w:t>（对投标人的主要人员的最低限度要求）</w:t>
      </w:r>
    </w:p>
    <w:tbl>
      <w:tblPr>
        <w:tblStyle w:val="63"/>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513"/>
        <w:gridCol w:w="739"/>
        <w:gridCol w:w="1993"/>
      </w:tblGrid>
      <w:tr w14:paraId="1DA9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67E6052D">
            <w:pPr>
              <w:pageBreakBefore w:val="0"/>
              <w:kinsoku/>
              <w:overflowPunct/>
              <w:bidi w:val="0"/>
              <w:spacing w:beforeLines="0" w:afterLines="0" w:line="360" w:lineRule="auto"/>
              <w:ind w:left="0" w:leftChars="0" w:right="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担任职务</w:t>
            </w:r>
          </w:p>
        </w:tc>
        <w:tc>
          <w:tcPr>
            <w:tcW w:w="6513" w:type="dxa"/>
            <w:vAlign w:val="center"/>
          </w:tcPr>
          <w:p w14:paraId="3A4D9422">
            <w:pPr>
              <w:pageBreakBefore w:val="0"/>
              <w:kinsoku/>
              <w:overflowPunct/>
              <w:bidi w:val="0"/>
              <w:spacing w:beforeLines="0" w:afterLines="0" w:line="360" w:lineRule="auto"/>
              <w:ind w:left="0" w:leftChars="0" w:right="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资格要求</w:t>
            </w:r>
          </w:p>
        </w:tc>
        <w:tc>
          <w:tcPr>
            <w:tcW w:w="739" w:type="dxa"/>
            <w:vAlign w:val="center"/>
          </w:tcPr>
          <w:p w14:paraId="755C285A">
            <w:pPr>
              <w:pageBreakBefore w:val="0"/>
              <w:kinsoku/>
              <w:overflowPunct/>
              <w:bidi w:val="0"/>
              <w:spacing w:beforeLines="0" w:afterLines="0" w:line="360" w:lineRule="auto"/>
              <w:ind w:left="0" w:leftChars="0" w:right="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数量要求</w:t>
            </w:r>
          </w:p>
        </w:tc>
        <w:tc>
          <w:tcPr>
            <w:tcW w:w="1993" w:type="dxa"/>
            <w:vAlign w:val="center"/>
          </w:tcPr>
          <w:p w14:paraId="6F38CF1E">
            <w:pPr>
              <w:pageBreakBefore w:val="0"/>
              <w:kinsoku/>
              <w:overflowPunct/>
              <w:bidi w:val="0"/>
              <w:spacing w:beforeLines="0" w:afterLines="0" w:line="360" w:lineRule="auto"/>
              <w:ind w:left="0" w:leftChars="0" w:right="0"/>
              <w:jc w:val="center"/>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主要人员</w:t>
            </w:r>
          </w:p>
          <w:p w14:paraId="73580EF6">
            <w:pPr>
              <w:pageBreakBefore w:val="0"/>
              <w:kinsoku/>
              <w:overflowPunct/>
              <w:bidi w:val="0"/>
              <w:spacing w:beforeLines="0" w:afterLines="0" w:line="360" w:lineRule="auto"/>
              <w:ind w:left="0" w:leftChars="0" w:right="0"/>
              <w:jc w:val="center"/>
              <w:rPr>
                <w:rFonts w:hint="eastAsia" w:ascii="宋体" w:hAnsi="宋体" w:eastAsia="宋体" w:cs="宋体"/>
                <w:b/>
                <w:bCs/>
                <w:color w:val="auto"/>
                <w:highlight w:val="none"/>
              </w:rPr>
            </w:pPr>
            <w:r>
              <w:rPr>
                <w:rFonts w:hint="eastAsia" w:ascii="宋体" w:hAnsi="宋体" w:eastAsia="宋体" w:cs="宋体"/>
                <w:b/>
                <w:color w:val="auto"/>
                <w:szCs w:val="22"/>
                <w:highlight w:val="none"/>
              </w:rPr>
              <w:t>（由投标人填写）</w:t>
            </w:r>
          </w:p>
        </w:tc>
      </w:tr>
      <w:tr w14:paraId="1863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713" w:type="dxa"/>
            <w:vAlign w:val="center"/>
          </w:tcPr>
          <w:p w14:paraId="256062AE">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15"/>
                <w:highlight w:val="none"/>
              </w:rPr>
              <w:t>项目负责人</w:t>
            </w:r>
          </w:p>
        </w:tc>
        <w:tc>
          <w:tcPr>
            <w:tcW w:w="6513" w:type="dxa"/>
            <w:vAlign w:val="center"/>
          </w:tcPr>
          <w:p w14:paraId="0D926775">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①对拟派项目负责人的资格要求：1人，</w:t>
            </w:r>
            <w:r>
              <w:rPr>
                <w:rFonts w:hint="eastAsia" w:ascii="宋体" w:hAnsi="宋体" w:eastAsia="宋体" w:cs="宋体"/>
                <w:color w:val="auto"/>
                <w:szCs w:val="21"/>
                <w:highlight w:val="none"/>
                <w:lang w:eastAsia="zh-CN"/>
              </w:rPr>
              <w:t>须具备注册于投标人本单位的注册造价工程师注册证或一级造价工程师注册证（专业：土木建筑工程）。</w:t>
            </w:r>
          </w:p>
          <w:p w14:paraId="3D6F7F3A">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②需提供投标人近期（自本招标项目招标公告发出之日起往前顺推6个月，即2024年</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月至2025年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月）为拟派项目负责人缴纳社保资金的有效社保证明材料，以投标人（或其分支机构）所属当地社保管理部门出具的证明材料扫描件为准。</w:t>
            </w:r>
          </w:p>
        </w:tc>
        <w:tc>
          <w:tcPr>
            <w:tcW w:w="739" w:type="dxa"/>
            <w:vAlign w:val="center"/>
          </w:tcPr>
          <w:p w14:paraId="619EB632">
            <w:pPr>
              <w:pageBreakBefore w:val="0"/>
              <w:kinsoku/>
              <w:overflowPunct/>
              <w:bidi w:val="0"/>
              <w:spacing w:beforeLines="0" w:afterLines="0" w:line="360" w:lineRule="auto"/>
              <w:ind w:left="0" w:leftChars="0" w:right="0"/>
              <w:rPr>
                <w:rFonts w:hint="eastAsia" w:ascii="宋体" w:hAnsi="宋体" w:eastAsia="宋体" w:cs="宋体"/>
                <w:b/>
                <w:color w:val="auto"/>
                <w:spacing w:val="12"/>
                <w:szCs w:val="22"/>
                <w:highlight w:val="none"/>
              </w:rPr>
            </w:pPr>
            <w:r>
              <w:rPr>
                <w:rFonts w:hint="eastAsia" w:ascii="宋体" w:hAnsi="宋体" w:eastAsia="宋体" w:cs="宋体"/>
                <w:bCs/>
                <w:color w:val="auto"/>
                <w:spacing w:val="12"/>
                <w:szCs w:val="22"/>
                <w:highlight w:val="none"/>
              </w:rPr>
              <w:t>1人</w:t>
            </w:r>
          </w:p>
        </w:tc>
        <w:tc>
          <w:tcPr>
            <w:tcW w:w="1993" w:type="dxa"/>
            <w:vAlign w:val="center"/>
          </w:tcPr>
          <w:p w14:paraId="558492AD">
            <w:pPr>
              <w:pageBreakBefore w:val="0"/>
              <w:kinsoku/>
              <w:overflowPunct/>
              <w:bidi w:val="0"/>
              <w:spacing w:beforeLines="0" w:afterLines="0" w:line="360" w:lineRule="auto"/>
              <w:ind w:left="0" w:leftChars="0" w:right="0"/>
              <w:rPr>
                <w:rFonts w:hint="eastAsia" w:ascii="宋体" w:hAnsi="宋体" w:eastAsia="宋体" w:cs="宋体"/>
                <w:color w:val="auto"/>
                <w:spacing w:val="12"/>
                <w:szCs w:val="22"/>
                <w:highlight w:val="none"/>
              </w:rPr>
            </w:pPr>
            <w:r>
              <w:rPr>
                <w:rFonts w:hint="eastAsia" w:ascii="宋体" w:hAnsi="宋体" w:eastAsia="宋体" w:cs="宋体"/>
                <w:color w:val="auto"/>
                <w:spacing w:val="12"/>
                <w:szCs w:val="22"/>
                <w:highlight w:val="none"/>
              </w:rPr>
              <w:t>姓名：</w:t>
            </w:r>
          </w:p>
        </w:tc>
      </w:tr>
    </w:tbl>
    <w:p w14:paraId="38D20C85">
      <w:pPr>
        <w:pageBreakBefore w:val="0"/>
        <w:kinsoku/>
        <w:overflowPunct/>
        <w:bidi w:val="0"/>
        <w:spacing w:beforeLines="0" w:afterLines="0" w:line="360" w:lineRule="auto"/>
        <w:ind w:left="0" w:leftChars="0" w:right="0"/>
        <w:rPr>
          <w:rFonts w:hint="eastAsia" w:ascii="宋体" w:hAnsi="宋体" w:eastAsia="宋体" w:cs="宋体"/>
          <w:color w:val="auto"/>
          <w:sz w:val="18"/>
          <w:highlight w:val="none"/>
        </w:rPr>
      </w:pPr>
      <w:r>
        <w:rPr>
          <w:rFonts w:hint="eastAsia" w:ascii="宋体" w:hAnsi="宋体" w:eastAsia="宋体" w:cs="宋体"/>
          <w:color w:val="auto"/>
          <w:sz w:val="18"/>
          <w:highlight w:val="none"/>
        </w:rPr>
        <w:t>注：投标人如不满足上述强制性条件中的任何一条，将被认为资格审查不合格。</w:t>
      </w:r>
    </w:p>
    <w:p w14:paraId="0FBA3B70">
      <w:pPr>
        <w:pStyle w:val="200"/>
        <w:ind w:firstLine="482" w:firstLineChars="200"/>
        <w:jc w:val="right"/>
        <w:rPr>
          <w:rFonts w:hint="eastAsia" w:ascii="宋体" w:hAnsi="宋体" w:eastAsia="宋体" w:cs="宋体"/>
          <w:b/>
          <w:strike/>
          <w:color w:val="auto"/>
          <w:sz w:val="22"/>
          <w:szCs w:val="21"/>
          <w:highlight w:val="none"/>
        </w:rPr>
      </w:pPr>
      <w:r>
        <w:rPr>
          <w:rFonts w:hint="eastAsia" w:ascii="宋体" w:hAnsi="宋体" w:eastAsia="宋体" w:cs="宋体"/>
          <w:b/>
          <w:color w:val="auto"/>
          <w:sz w:val="24"/>
          <w:highlight w:val="none"/>
        </w:rPr>
        <w:br w:type="page"/>
      </w:r>
    </w:p>
    <w:p w14:paraId="159597F8">
      <w:pPr>
        <w:pStyle w:val="36"/>
        <w:pageBreakBefore w:val="0"/>
        <w:tabs>
          <w:tab w:val="left" w:pos="4678"/>
          <w:tab w:val="left" w:pos="5624"/>
          <w:tab w:val="left" w:pos="6567"/>
        </w:tabs>
        <w:kinsoku/>
        <w:overflowPunct/>
        <w:bidi w:val="0"/>
        <w:spacing w:beforeLines="0" w:after="0" w:afterLines="0" w:line="360" w:lineRule="auto"/>
        <w:ind w:left="0" w:leftChars="0" w:right="0"/>
        <w:jc w:val="center"/>
        <w:rPr>
          <w:rFonts w:hint="eastAsia" w:ascii="宋体" w:hAnsi="宋体" w:eastAsia="宋体" w:cs="宋体"/>
          <w:b/>
          <w:strike/>
          <w:color w:val="auto"/>
          <w:sz w:val="22"/>
          <w:szCs w:val="21"/>
          <w:highlight w:val="none"/>
        </w:rPr>
      </w:pPr>
    </w:p>
    <w:p w14:paraId="4B283857">
      <w:pPr>
        <w:pageBreakBefore w:val="0"/>
        <w:kinsoku/>
        <w:overflowPunct/>
        <w:bidi w:val="0"/>
        <w:spacing w:beforeLines="0" w:afterLines="0" w:line="360" w:lineRule="auto"/>
        <w:ind w:left="0" w:leftChars="0" w:right="0"/>
        <w:rPr>
          <w:rFonts w:hint="eastAsia" w:ascii="宋体" w:hAnsi="宋体" w:eastAsia="宋体" w:cs="宋体"/>
          <w:b/>
          <w:strike/>
          <w:color w:val="auto"/>
          <w:sz w:val="22"/>
          <w:szCs w:val="21"/>
          <w:highlight w:val="none"/>
        </w:rPr>
      </w:pPr>
      <w:r>
        <w:rPr>
          <w:rFonts w:hint="eastAsia" w:ascii="宋体" w:hAnsi="宋体" w:eastAsia="宋体" w:cs="宋体"/>
          <w:b/>
          <w:strike/>
          <w:color w:val="auto"/>
          <w:sz w:val="22"/>
          <w:szCs w:val="21"/>
          <w:highlight w:val="none"/>
        </w:rPr>
        <w:br w:type="page"/>
      </w:r>
    </w:p>
    <w:p w14:paraId="6338169A">
      <w:pPr>
        <w:pStyle w:val="36"/>
        <w:pageBreakBefore w:val="0"/>
        <w:tabs>
          <w:tab w:val="left" w:pos="4678"/>
          <w:tab w:val="left" w:pos="5624"/>
          <w:tab w:val="left" w:pos="6567"/>
        </w:tabs>
        <w:kinsoku/>
        <w:overflowPunct/>
        <w:bidi w:val="0"/>
        <w:spacing w:beforeLines="0" w:after="0" w:afterLines="0" w:line="360" w:lineRule="auto"/>
        <w:ind w:left="0" w:leftChars="0" w:right="0"/>
        <w:jc w:val="center"/>
        <w:rPr>
          <w:rFonts w:hint="eastAsia" w:ascii="宋体" w:hAnsi="宋体" w:eastAsia="宋体" w:cs="宋体"/>
          <w:color w:val="auto"/>
          <w:sz w:val="22"/>
          <w:szCs w:val="21"/>
          <w:highlight w:val="none"/>
        </w:rPr>
      </w:pPr>
      <w:r>
        <w:rPr>
          <w:rFonts w:hint="eastAsia" w:ascii="宋体" w:hAnsi="宋体" w:cs="宋体"/>
          <w:b/>
          <w:color w:val="auto"/>
          <w:sz w:val="22"/>
          <w:szCs w:val="21"/>
          <w:highlight w:val="none"/>
          <w:lang w:val="en-US" w:eastAsia="zh-CN"/>
        </w:rPr>
        <w:t>三</w:t>
      </w:r>
      <w:r>
        <w:rPr>
          <w:rFonts w:hint="eastAsia" w:ascii="宋体" w:hAnsi="宋体" w:eastAsia="宋体" w:cs="宋体"/>
          <w:b/>
          <w:color w:val="auto"/>
          <w:sz w:val="22"/>
          <w:szCs w:val="21"/>
          <w:highlight w:val="none"/>
        </w:rPr>
        <w:t>、法定代表人身份证明</w:t>
      </w:r>
    </w:p>
    <w:p w14:paraId="3CAEB61A">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p w14:paraId="0CEC71AE">
      <w:pPr>
        <w:pStyle w:val="36"/>
        <w:pageBreakBefore w:val="0"/>
        <w:tabs>
          <w:tab w:val="left" w:pos="4068"/>
        </w:tabs>
        <w:kinsoku/>
        <w:overflowPunct/>
        <w:bidi w:val="0"/>
        <w:spacing w:beforeLines="0" w:after="0" w:afterLines="0" w:line="360" w:lineRule="auto"/>
        <w:ind w:left="0" w:leftChars="0" w:right="0" w:firstLine="416" w:firstLineChars="200"/>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投</w:t>
      </w:r>
      <w:r>
        <w:rPr>
          <w:rFonts w:hint="eastAsia" w:ascii="宋体" w:hAnsi="宋体" w:eastAsia="宋体" w:cs="宋体"/>
          <w:color w:val="auto"/>
          <w:szCs w:val="21"/>
          <w:highlight w:val="none"/>
        </w:rPr>
        <w:t>标</w:t>
      </w:r>
      <w:r>
        <w:rPr>
          <w:rFonts w:hint="eastAsia" w:ascii="宋体" w:hAnsi="宋体" w:eastAsia="宋体" w:cs="宋体"/>
          <w:color w:val="auto"/>
          <w:spacing w:val="-3"/>
          <w:szCs w:val="21"/>
          <w:highlight w:val="none"/>
        </w:rPr>
        <w:t>人</w:t>
      </w:r>
      <w:r>
        <w:rPr>
          <w:rFonts w:hint="eastAsia" w:ascii="宋体" w:hAnsi="宋体" w:eastAsia="宋体" w:cs="宋体"/>
          <w:color w:val="auto"/>
          <w:szCs w:val="21"/>
          <w:highlight w:val="none"/>
        </w:rPr>
        <w:t>名</w:t>
      </w:r>
      <w:r>
        <w:rPr>
          <w:rFonts w:hint="eastAsia" w:ascii="宋体" w:hAnsi="宋体" w:eastAsia="宋体" w:cs="宋体"/>
          <w:color w:val="auto"/>
          <w:spacing w:val="-3"/>
          <w:szCs w:val="21"/>
          <w:highlight w:val="none"/>
        </w:rPr>
        <w:t>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F613578">
      <w:pPr>
        <w:pStyle w:val="36"/>
        <w:pageBreakBefore w:val="0"/>
        <w:tabs>
          <w:tab w:val="left" w:pos="2552"/>
          <w:tab w:val="left" w:pos="4023"/>
          <w:tab w:val="left" w:pos="5492"/>
          <w:tab w:val="left" w:pos="7009"/>
        </w:tabs>
        <w:kinsoku/>
        <w:overflowPunct/>
        <w:bidi w:val="0"/>
        <w:spacing w:beforeLines="0" w:after="0" w:afterLines="0" w:line="360" w:lineRule="auto"/>
        <w:ind w:left="0" w:leftChars="0" w:righ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姓名</w:t>
      </w:r>
      <w:r>
        <w:rPr>
          <w:rFonts w:hint="eastAsia" w:ascii="宋体" w:hAnsi="宋体" w:eastAsia="宋体" w:cs="宋体"/>
          <w:color w:val="auto"/>
          <w:spacing w:val="-3"/>
          <w:szCs w:val="21"/>
          <w:highlight w:val="none"/>
        </w:rPr>
        <w:t>：</w:t>
      </w:r>
      <w:r>
        <w:rPr>
          <w:rFonts w:hint="eastAsia" w:ascii="宋体" w:hAnsi="宋体" w:eastAsia="宋体" w:cs="宋体"/>
          <w:color w:val="auto"/>
          <w:spacing w:val="-3"/>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pacing w:val="-3"/>
          <w:szCs w:val="21"/>
          <w:highlight w:val="none"/>
        </w:rPr>
        <w:t>：</w:t>
      </w:r>
      <w:r>
        <w:rPr>
          <w:rFonts w:hint="eastAsia" w:ascii="宋体" w:hAnsi="宋体" w:eastAsia="宋体" w:cs="宋体"/>
          <w:color w:val="auto"/>
          <w:spacing w:val="-3"/>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pacing w:val="-3"/>
          <w:szCs w:val="21"/>
          <w:highlight w:val="none"/>
        </w:rPr>
        <w:t>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pacing w:val="-1"/>
          <w:szCs w:val="21"/>
          <w:highlight w:val="none"/>
        </w:rPr>
        <w:t>职</w:t>
      </w:r>
      <w:r>
        <w:rPr>
          <w:rFonts w:hint="eastAsia" w:ascii="宋体" w:hAnsi="宋体" w:eastAsia="宋体" w:cs="宋体"/>
          <w:color w:val="auto"/>
          <w:spacing w:val="-3"/>
          <w:szCs w:val="21"/>
          <w:highlight w:val="none"/>
        </w:rPr>
        <w:t>务</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E1E69A8">
      <w:pPr>
        <w:pStyle w:val="36"/>
        <w:pageBreakBefore w:val="0"/>
        <w:tabs>
          <w:tab w:val="left" w:pos="2552"/>
          <w:tab w:val="left" w:pos="4023"/>
          <w:tab w:val="left" w:pos="5492"/>
          <w:tab w:val="left" w:pos="7009"/>
        </w:tabs>
        <w:kinsoku/>
        <w:overflowPunct/>
        <w:bidi w:val="0"/>
        <w:spacing w:beforeLines="0" w:after="0" w:afterLines="0" w:line="360" w:lineRule="auto"/>
        <w:ind w:left="0" w:leftChars="0" w:righ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联系电话（手机）：</w:t>
      </w:r>
      <w:r>
        <w:rPr>
          <w:rFonts w:hint="eastAsia" w:ascii="宋体" w:hAnsi="宋体" w:eastAsia="宋体" w:cs="宋体"/>
          <w:color w:val="auto"/>
          <w:szCs w:val="21"/>
          <w:highlight w:val="none"/>
          <w:u w:val="single"/>
        </w:rPr>
        <w:t xml:space="preserve">              </w:t>
      </w:r>
    </w:p>
    <w:p w14:paraId="4979B362">
      <w:pPr>
        <w:pStyle w:val="36"/>
        <w:pageBreakBefore w:val="0"/>
        <w:tabs>
          <w:tab w:val="left" w:pos="2972"/>
        </w:tabs>
        <w:kinsoku/>
        <w:overflowPunct/>
        <w:bidi w:val="0"/>
        <w:spacing w:beforeLines="0" w:after="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pacing w:val="-3"/>
          <w:szCs w:val="21"/>
          <w:highlight w:val="none"/>
        </w:rPr>
        <w:t>（</w:t>
      </w:r>
      <w:r>
        <w:rPr>
          <w:rFonts w:hint="eastAsia" w:ascii="宋体" w:hAnsi="宋体" w:eastAsia="宋体" w:cs="宋体"/>
          <w:color w:val="auto"/>
          <w:szCs w:val="21"/>
          <w:highlight w:val="none"/>
        </w:rPr>
        <w:t>投</w:t>
      </w:r>
      <w:r>
        <w:rPr>
          <w:rFonts w:hint="eastAsia" w:ascii="宋体" w:hAnsi="宋体" w:eastAsia="宋体" w:cs="宋体"/>
          <w:color w:val="auto"/>
          <w:spacing w:val="-3"/>
          <w:szCs w:val="21"/>
          <w:highlight w:val="none"/>
        </w:rPr>
        <w:t>标</w:t>
      </w:r>
      <w:r>
        <w:rPr>
          <w:rFonts w:hint="eastAsia" w:ascii="宋体" w:hAnsi="宋体" w:eastAsia="宋体" w:cs="宋体"/>
          <w:color w:val="auto"/>
          <w:szCs w:val="21"/>
          <w:highlight w:val="none"/>
        </w:rPr>
        <w:t>人</w:t>
      </w:r>
      <w:r>
        <w:rPr>
          <w:rFonts w:hint="eastAsia" w:ascii="宋体" w:hAnsi="宋体" w:eastAsia="宋体" w:cs="宋体"/>
          <w:color w:val="auto"/>
          <w:spacing w:val="-3"/>
          <w:szCs w:val="21"/>
          <w:highlight w:val="none"/>
        </w:rPr>
        <w:t>名</w:t>
      </w:r>
      <w:r>
        <w:rPr>
          <w:rFonts w:hint="eastAsia" w:ascii="宋体" w:hAnsi="宋体" w:eastAsia="宋体" w:cs="宋体"/>
          <w:color w:val="auto"/>
          <w:szCs w:val="21"/>
          <w:highlight w:val="none"/>
        </w:rPr>
        <w:t>称</w:t>
      </w:r>
      <w:r>
        <w:rPr>
          <w:rFonts w:hint="eastAsia" w:ascii="宋体" w:hAnsi="宋体" w:eastAsia="宋体" w:cs="宋体"/>
          <w:color w:val="auto"/>
          <w:spacing w:val="-3"/>
          <w:szCs w:val="21"/>
          <w:highlight w:val="none"/>
        </w:rPr>
        <w:t>）</w:t>
      </w:r>
      <w:r>
        <w:rPr>
          <w:rFonts w:hint="eastAsia" w:ascii="宋体" w:hAnsi="宋体" w:eastAsia="宋体" w:cs="宋体"/>
          <w:color w:val="auto"/>
          <w:szCs w:val="21"/>
          <w:highlight w:val="none"/>
        </w:rPr>
        <w:t>的</w:t>
      </w:r>
      <w:r>
        <w:rPr>
          <w:rFonts w:hint="eastAsia" w:ascii="宋体" w:hAnsi="宋体" w:eastAsia="宋体" w:cs="宋体"/>
          <w:color w:val="auto"/>
          <w:spacing w:val="-3"/>
          <w:szCs w:val="21"/>
          <w:highlight w:val="none"/>
        </w:rPr>
        <w:t>法定</w:t>
      </w:r>
      <w:r>
        <w:rPr>
          <w:rFonts w:hint="eastAsia" w:ascii="宋体" w:hAnsi="宋体" w:eastAsia="宋体" w:cs="宋体"/>
          <w:color w:val="auto"/>
          <w:szCs w:val="21"/>
          <w:highlight w:val="none"/>
        </w:rPr>
        <w:t>代表</w:t>
      </w:r>
      <w:r>
        <w:rPr>
          <w:rFonts w:hint="eastAsia" w:ascii="宋体" w:hAnsi="宋体" w:eastAsia="宋体" w:cs="宋体"/>
          <w:color w:val="auto"/>
          <w:spacing w:val="-3"/>
          <w:szCs w:val="21"/>
          <w:highlight w:val="none"/>
        </w:rPr>
        <w:t>人</w:t>
      </w:r>
      <w:r>
        <w:rPr>
          <w:rFonts w:hint="eastAsia" w:ascii="宋体" w:hAnsi="宋体" w:eastAsia="宋体" w:cs="宋体"/>
          <w:color w:val="auto"/>
          <w:szCs w:val="21"/>
          <w:highlight w:val="none"/>
        </w:rPr>
        <w:t>。</w:t>
      </w:r>
    </w:p>
    <w:p w14:paraId="2FCDDAAD">
      <w:pPr>
        <w:pStyle w:val="36"/>
        <w:pageBreakBefore w:val="0"/>
        <w:tabs>
          <w:tab w:val="left" w:pos="2972"/>
        </w:tabs>
        <w:kinsoku/>
        <w:overflowPunct/>
        <w:bidi w:val="0"/>
        <w:spacing w:beforeLines="0" w:after="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58C415B3">
      <w:pPr>
        <w:pStyle w:val="36"/>
        <w:pageBreakBefore w:val="0"/>
        <w:tabs>
          <w:tab w:val="left" w:pos="2972"/>
        </w:tabs>
        <w:kinsoku/>
        <w:overflowPunct/>
        <w:bidi w:val="0"/>
        <w:spacing w:beforeLines="0" w:after="0" w:afterLines="0" w:line="360" w:lineRule="auto"/>
        <w:ind w:left="0" w:leftChars="0" w:right="0" w:firstLine="420" w:firstLineChars="200"/>
        <w:rPr>
          <w:rFonts w:hint="eastAsia" w:ascii="宋体" w:hAnsi="宋体" w:eastAsia="宋体" w:cs="宋体"/>
          <w:color w:val="auto"/>
          <w:szCs w:val="21"/>
          <w:highlight w:val="none"/>
        </w:rPr>
      </w:pPr>
    </w:p>
    <w:p w14:paraId="6AEFD30D">
      <w:pPr>
        <w:pStyle w:val="36"/>
        <w:pageBreakBefore w:val="0"/>
        <w:kinsoku/>
        <w:overflowPunct/>
        <w:bidi w:val="0"/>
        <w:spacing w:beforeLines="0" w:after="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附：法定代表人身份证原件扫描件</w:t>
      </w:r>
    </w:p>
    <w:p w14:paraId="6AC9999C">
      <w:pPr>
        <w:pStyle w:val="36"/>
        <w:pageBreakBefore w:val="0"/>
        <w:kinsoku/>
        <w:overflowPunct/>
        <w:bidi w:val="0"/>
        <w:spacing w:beforeLines="0" w:after="0" w:afterLines="0" w:line="360" w:lineRule="auto"/>
        <w:ind w:left="0" w:leftChars="0" w:right="0" w:firstLine="420" w:firstLineChars="200"/>
        <w:rPr>
          <w:rFonts w:hint="eastAsia" w:ascii="宋体" w:hAnsi="宋体" w:eastAsia="宋体" w:cs="宋体"/>
          <w:color w:val="auto"/>
          <w:szCs w:val="21"/>
          <w:highlight w:val="none"/>
        </w:rPr>
      </w:pPr>
    </w:p>
    <w:p w14:paraId="4078A461">
      <w:pPr>
        <w:pStyle w:val="36"/>
        <w:pageBreakBefore w:val="0"/>
        <w:kinsoku/>
        <w:overflowPunct/>
        <w:bidi w:val="0"/>
        <w:spacing w:beforeLines="0" w:after="0" w:afterLines="0" w:line="360" w:lineRule="auto"/>
        <w:ind w:left="0" w:leftChars="0" w:right="0" w:firstLine="420" w:firstLineChars="200"/>
        <w:rPr>
          <w:rFonts w:hint="eastAsia" w:ascii="宋体" w:hAnsi="宋体" w:eastAsia="宋体" w:cs="宋体"/>
          <w:color w:val="auto"/>
          <w:szCs w:val="21"/>
          <w:highlight w:val="none"/>
        </w:rPr>
      </w:pPr>
    </w:p>
    <w:p w14:paraId="7EABDC5A">
      <w:pPr>
        <w:pStyle w:val="36"/>
        <w:pageBreakBefore w:val="0"/>
        <w:kinsoku/>
        <w:overflowPunct/>
        <w:bidi w:val="0"/>
        <w:spacing w:beforeLines="0" w:after="0" w:afterLines="0" w:line="360" w:lineRule="auto"/>
        <w:ind w:left="0" w:leftChars="0" w:right="0" w:firstLine="420" w:firstLineChars="200"/>
        <w:rPr>
          <w:rFonts w:hint="eastAsia" w:ascii="宋体" w:hAnsi="宋体" w:eastAsia="宋体" w:cs="宋体"/>
          <w:color w:val="auto"/>
          <w:szCs w:val="21"/>
          <w:highlight w:val="none"/>
        </w:rPr>
      </w:pPr>
    </w:p>
    <w:p w14:paraId="7B785584">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（盖公章）</w:t>
      </w:r>
    </w:p>
    <w:p w14:paraId="77DEE371">
      <w:pPr>
        <w:pStyle w:val="200"/>
        <w:pageBreakBefore w:val="0"/>
        <w:kinsoku/>
        <w:overflowPunct/>
        <w:bidi w:val="0"/>
        <w:spacing w:before="0" w:beforeLines="0" w:after="0" w:afterLines="0" w:line="360" w:lineRule="auto"/>
        <w:ind w:left="0" w:leftChars="0" w:right="0"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7DBF85E">
      <w:pPr>
        <w:pStyle w:val="2"/>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p w14:paraId="42F36995">
      <w:pPr>
        <w:pageBreakBefore w:val="0"/>
        <w:kinsoku/>
        <w:overflowPunct/>
        <w:bidi w:val="0"/>
        <w:spacing w:beforeLines="0" w:afterLines="0" w:line="360" w:lineRule="auto"/>
        <w:ind w:left="0" w:leftChars="0" w:righ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注：1.投标人应保证所提供的联系电话有效，以保证能及时通知投标人，否则由此引起的一切后果由投标人承担。</w:t>
      </w:r>
    </w:p>
    <w:p w14:paraId="471B1D8A">
      <w:pPr>
        <w:pageBreakBefore w:val="0"/>
        <w:kinsoku/>
        <w:overflowPunct/>
        <w:bidi w:val="0"/>
        <w:spacing w:beforeLines="0" w:afterLines="0" w:line="360" w:lineRule="auto"/>
        <w:ind w:left="0" w:leftChars="0" w:righ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会议期间，评标委员会如果认为有必要，要求投标人对投标文件含义不明确、对同类问题表述不一致或者有明显文字和计算错误的内容作必要的澄清或说明时，投标人的法定代表人或其委托代理人应按照评标委员会规定的时间和要求进行书面澄清或说明，否则，投标人须自行承担后果。</w:t>
      </w:r>
    </w:p>
    <w:p w14:paraId="52F9E9E8">
      <w:pPr>
        <w:pageBreakBefore w:val="0"/>
        <w:kinsoku/>
        <w:overflowPunct/>
        <w:bidi w:val="0"/>
        <w:spacing w:beforeLines="0" w:afterLines="0" w:line="360" w:lineRule="auto"/>
        <w:ind w:left="0" w:leftChars="0" w:righ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3.法定代表人身份证原件扫描件需由投标人加盖单位公章。</w:t>
      </w:r>
    </w:p>
    <w:p w14:paraId="247461D5">
      <w:pPr>
        <w:pageBreakBefore w:val="0"/>
        <w:kinsoku/>
        <w:overflowPunct/>
        <w:bidi w:val="0"/>
        <w:spacing w:beforeLines="0" w:afterLines="0" w:line="360" w:lineRule="auto"/>
        <w:ind w:left="0" w:leftChars="0" w:right="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4.如联合体投标时，由联合体牵头人提供，投标人的名称可以写</w:t>
      </w:r>
      <w:r>
        <w:rPr>
          <w:rFonts w:hint="eastAsia" w:ascii="宋体" w:hAnsi="宋体" w:eastAsia="宋体" w:cs="宋体"/>
          <w:b/>
          <w:color w:val="auto"/>
          <w:szCs w:val="21"/>
          <w:highlight w:val="none"/>
          <w:u w:val="single"/>
        </w:rPr>
        <w:t>（牵头人单位全称）与（成员单位全称）</w:t>
      </w:r>
      <w:r>
        <w:rPr>
          <w:rFonts w:hint="eastAsia" w:ascii="宋体" w:hAnsi="宋体" w:eastAsia="宋体" w:cs="宋体"/>
          <w:b/>
          <w:color w:val="auto"/>
          <w:szCs w:val="21"/>
          <w:highlight w:val="none"/>
        </w:rPr>
        <w:t>联合体并盖牵头人公章，也可以写牵头人名称并盖牵头人公章，不作强制性要求。</w:t>
      </w:r>
    </w:p>
    <w:p w14:paraId="4A3510D8">
      <w:pPr>
        <w:pageBreakBefore w:val="0"/>
        <w:kinsoku/>
        <w:overflowPunct/>
        <w:bidi w:val="0"/>
        <w:spacing w:beforeLines="0" w:afterLines="0" w:line="360" w:lineRule="auto"/>
        <w:ind w:left="0" w:leftChars="0" w:right="0"/>
        <w:rPr>
          <w:rFonts w:hint="eastAsia" w:ascii="宋体" w:hAnsi="宋体" w:eastAsia="宋体" w:cs="宋体"/>
          <w:b/>
          <w:color w:val="auto"/>
          <w:sz w:val="22"/>
          <w:szCs w:val="21"/>
          <w:highlight w:val="none"/>
        </w:rPr>
      </w:pPr>
      <w:r>
        <w:rPr>
          <w:rFonts w:hint="eastAsia" w:ascii="宋体" w:hAnsi="宋体" w:eastAsia="宋体" w:cs="宋体"/>
          <w:b/>
          <w:color w:val="auto"/>
          <w:sz w:val="22"/>
          <w:szCs w:val="21"/>
          <w:highlight w:val="none"/>
        </w:rPr>
        <w:br w:type="page"/>
      </w:r>
    </w:p>
    <w:p w14:paraId="4BB8EEC5">
      <w:pPr>
        <w:pStyle w:val="27"/>
        <w:pageBreakBefore w:val="0"/>
        <w:kinsoku/>
        <w:overflowPunct/>
        <w:bidi w:val="0"/>
        <w:spacing w:beforeLines="0" w:afterLines="0" w:line="360" w:lineRule="auto"/>
        <w:ind w:left="0" w:leftChars="0" w:right="0" w:firstLine="0"/>
        <w:rPr>
          <w:rFonts w:hint="eastAsia" w:ascii="宋体" w:hAnsi="宋体" w:eastAsia="宋体" w:cs="宋体"/>
          <w:color w:val="auto"/>
          <w:sz w:val="22"/>
          <w:szCs w:val="21"/>
          <w:highlight w:val="none"/>
        </w:rPr>
      </w:pPr>
      <w:r>
        <w:rPr>
          <w:rFonts w:hint="eastAsia" w:ascii="宋体" w:hAnsi="宋体" w:cs="宋体"/>
          <w:b/>
          <w:bCs w:val="0"/>
          <w:color w:val="auto"/>
          <w:sz w:val="22"/>
          <w:szCs w:val="21"/>
          <w:highlight w:val="none"/>
          <w:lang w:val="en-US" w:eastAsia="zh-CN"/>
        </w:rPr>
        <w:t>四</w:t>
      </w:r>
      <w:r>
        <w:rPr>
          <w:rFonts w:hint="eastAsia" w:ascii="宋体" w:hAnsi="宋体" w:eastAsia="宋体" w:cs="宋体"/>
          <w:b/>
          <w:bCs w:val="0"/>
          <w:color w:val="auto"/>
          <w:sz w:val="22"/>
          <w:szCs w:val="21"/>
          <w:highlight w:val="none"/>
        </w:rPr>
        <w:t>、授权委托书（如有）</w:t>
      </w:r>
    </w:p>
    <w:p w14:paraId="1C2F5C68">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p w14:paraId="266AE440">
      <w:pPr>
        <w:pageBreakBefore w:val="0"/>
        <w:kinsoku/>
        <w:overflowPunct/>
        <w:topLine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（项目名称）施工招标项目投标文件、签订合同和处理有关事宜，其法律后果由我方承担。</w:t>
      </w:r>
    </w:p>
    <w:p w14:paraId="40AFB8C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委托期限：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E85A344">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14:paraId="0757D45A">
      <w:pPr>
        <w:pStyle w:val="2"/>
        <w:pageBreakBefore w:val="0"/>
        <w:kinsoku/>
        <w:overflowPunct/>
        <w:bidi w:val="0"/>
        <w:spacing w:beforeLines="0" w:afterLines="0" w:line="360" w:lineRule="auto"/>
        <w:ind w:left="0" w:leftChars="0" w:right="0" w:firstLine="360"/>
        <w:rPr>
          <w:rFonts w:hint="eastAsia" w:ascii="宋体" w:hAnsi="宋体" w:eastAsia="宋体" w:cs="宋体"/>
          <w:color w:val="auto"/>
          <w:sz w:val="18"/>
          <w:szCs w:val="21"/>
          <w:highlight w:val="none"/>
        </w:rPr>
      </w:pPr>
    </w:p>
    <w:p w14:paraId="4E7477EB">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附：法定代表人身份证明及委托代理人身份证的扫描件</w:t>
      </w:r>
    </w:p>
    <w:p w14:paraId="553F810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7CEDBC7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7A0D9A3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320B84DD">
      <w:pPr>
        <w:pageBreakBefore w:val="0"/>
        <w:kinsoku/>
        <w:overflowPunct/>
        <w:bidi w:val="0"/>
        <w:spacing w:beforeLines="0" w:afterLines="0" w:line="360" w:lineRule="auto"/>
        <w:ind w:left="0" w:leftChars="0" w:right="0" w:firstLine="0" w:firstLineChars="0"/>
        <w:jc w:val="right"/>
        <w:rPr>
          <w:rFonts w:hint="eastAsia" w:ascii="宋体" w:hAnsi="宋体" w:eastAsia="宋体" w:cs="宋体"/>
          <w:color w:val="auto"/>
          <w:szCs w:val="21"/>
          <w:highlight w:val="none"/>
        </w:rPr>
      </w:pPr>
    </w:p>
    <w:p w14:paraId="5B0A80FC">
      <w:pPr>
        <w:pageBreakBefore w:val="0"/>
        <w:kinsoku/>
        <w:overflowPunct/>
        <w:bidi w:val="0"/>
        <w:spacing w:beforeLines="0" w:afterLines="0" w:line="360" w:lineRule="auto"/>
        <w:ind w:left="0" w:leftChars="0" w:right="0" w:firstLine="1050" w:firstLineChars="5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（盖公章）</w:t>
      </w:r>
    </w:p>
    <w:p w14:paraId="758A419E">
      <w:pPr>
        <w:pageBreakBefore w:val="0"/>
        <w:kinsoku/>
        <w:overflowPunct/>
        <w:bidi w:val="0"/>
        <w:spacing w:beforeLines="0" w:afterLines="0" w:line="360" w:lineRule="auto"/>
        <w:ind w:left="0" w:leftChars="0" w:right="0" w:firstLine="1050" w:firstLineChars="5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5A590661">
      <w:pPr>
        <w:pageBreakBefore w:val="0"/>
        <w:kinsoku/>
        <w:overflowPunct/>
        <w:bidi w:val="0"/>
        <w:spacing w:beforeLines="0" w:afterLines="0" w:line="360" w:lineRule="auto"/>
        <w:ind w:left="0" w:leftChars="0" w:right="0" w:firstLine="1050" w:firstLineChars="5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9E17699">
      <w:pPr>
        <w:pageBreakBefore w:val="0"/>
        <w:kinsoku/>
        <w:overflowPunct/>
        <w:bidi w:val="0"/>
        <w:spacing w:beforeLines="0" w:afterLines="0" w:line="360" w:lineRule="auto"/>
        <w:ind w:left="0" w:leftChars="0" w:right="0" w:firstLine="1050" w:firstLineChars="5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2D4C9722">
      <w:pPr>
        <w:pageBreakBefore w:val="0"/>
        <w:kinsoku/>
        <w:overflowPunct/>
        <w:bidi w:val="0"/>
        <w:spacing w:beforeLines="0" w:afterLines="0" w:line="360" w:lineRule="auto"/>
        <w:ind w:left="0" w:leftChars="0" w:right="0" w:firstLine="1050" w:firstLineChars="5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8BAE2B3">
      <w:pPr>
        <w:pageBreakBefore w:val="0"/>
        <w:kinsoku/>
        <w:overflowPunct/>
        <w:bidi w:val="0"/>
        <w:spacing w:beforeLines="0" w:afterLines="0" w:line="360" w:lineRule="auto"/>
        <w:ind w:left="0" w:leftChars="0" w:right="0" w:firstLine="1050" w:firstLineChars="5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委托代理人联系电话：</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7DB5F17">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6D4BE410">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21"/>
          <w:highlight w:val="none"/>
        </w:rPr>
      </w:pPr>
    </w:p>
    <w:p w14:paraId="59101C42">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注：1.投标人应保证所提供的联系电话有效，以保证能及时通知投标人，否则由此引起的一切后果由投标人承担。</w:t>
      </w:r>
    </w:p>
    <w:p w14:paraId="43F24EDA">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评标会议期间，评标委员会如果认为有必要，要求投标人对投标文件含义不明确、对同类问题表述不一致或者有明显文字和计算错误的内容作必要的澄清或说明时，投标人的法定代表人或其委托代理人应按照评标委员会规定的时间和要求进行书面澄清或说明，否则，投标人须自行承担后果。</w:t>
      </w:r>
    </w:p>
    <w:p w14:paraId="2703F5DF">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3.委托代理人身份证原件扫描件需由投标人加盖单位公章。</w:t>
      </w:r>
    </w:p>
    <w:p w14:paraId="29D26073">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4.如联合体投标时，由联合体牵头人提供，投标人的名称可以写</w:t>
      </w:r>
      <w:r>
        <w:rPr>
          <w:rFonts w:hint="eastAsia" w:ascii="宋体" w:hAnsi="宋体" w:eastAsia="宋体" w:cs="宋体"/>
          <w:b/>
          <w:color w:val="auto"/>
          <w:szCs w:val="21"/>
          <w:highlight w:val="none"/>
          <w:u w:val="single"/>
        </w:rPr>
        <w:t>（牵头人单位全称）与（成员单位全称）联合体</w:t>
      </w:r>
      <w:r>
        <w:rPr>
          <w:rFonts w:hint="eastAsia" w:ascii="宋体" w:hAnsi="宋体" w:eastAsia="宋体" w:cs="宋体"/>
          <w:b/>
          <w:color w:val="auto"/>
          <w:szCs w:val="21"/>
          <w:highlight w:val="none"/>
        </w:rPr>
        <w:t>并盖牵头人公章，也可以写牵头人名称并盖牵头人公章，不作强制性要求。</w:t>
      </w:r>
    </w:p>
    <w:p w14:paraId="02468FB5">
      <w:pPr>
        <w:pageBreakBefore w:val="0"/>
        <w:kinsoku/>
        <w:overflowPunct/>
        <w:bidi w:val="0"/>
        <w:spacing w:beforeLines="0" w:afterLines="0" w:line="360" w:lineRule="auto"/>
        <w:ind w:left="0" w:leftChars="0" w:right="0"/>
        <w:rPr>
          <w:rFonts w:hint="eastAsia" w:ascii="宋体" w:hAnsi="宋体" w:eastAsia="宋体" w:cs="宋体"/>
          <w:b/>
          <w:color w:val="auto"/>
          <w:sz w:val="22"/>
          <w:szCs w:val="21"/>
          <w:highlight w:val="none"/>
        </w:rPr>
      </w:pPr>
      <w:r>
        <w:rPr>
          <w:rFonts w:hint="eastAsia" w:ascii="宋体" w:hAnsi="宋体" w:eastAsia="宋体" w:cs="宋体"/>
          <w:b/>
          <w:color w:val="auto"/>
          <w:sz w:val="22"/>
          <w:szCs w:val="21"/>
          <w:highlight w:val="none"/>
        </w:rPr>
        <w:br w:type="page"/>
      </w:r>
    </w:p>
    <w:p w14:paraId="3D56DB20">
      <w:pPr>
        <w:pStyle w:val="27"/>
        <w:pageBreakBefore w:val="0"/>
        <w:kinsoku/>
        <w:overflowPunct/>
        <w:bidi w:val="0"/>
        <w:spacing w:beforeLines="0" w:afterLines="0" w:line="360" w:lineRule="auto"/>
        <w:ind w:left="0" w:leftChars="0" w:right="0" w:firstLine="0"/>
        <w:rPr>
          <w:rFonts w:hint="eastAsia" w:ascii="宋体" w:hAnsi="宋体" w:eastAsia="宋体" w:cs="宋体"/>
          <w:color w:val="auto"/>
          <w:sz w:val="22"/>
          <w:szCs w:val="21"/>
          <w:highlight w:val="none"/>
        </w:rPr>
      </w:pPr>
      <w:r>
        <w:rPr>
          <w:rFonts w:hint="eastAsia" w:ascii="宋体" w:hAnsi="宋体" w:cs="宋体"/>
          <w:b/>
          <w:bCs w:val="0"/>
          <w:color w:val="auto"/>
          <w:sz w:val="22"/>
          <w:szCs w:val="21"/>
          <w:highlight w:val="none"/>
          <w:lang w:val="en-US" w:eastAsia="zh-CN"/>
        </w:rPr>
        <w:t>五</w:t>
      </w:r>
      <w:r>
        <w:rPr>
          <w:rFonts w:hint="eastAsia" w:ascii="宋体" w:hAnsi="宋体" w:eastAsia="宋体" w:cs="宋体"/>
          <w:b/>
          <w:bCs w:val="0"/>
          <w:color w:val="auto"/>
          <w:sz w:val="22"/>
          <w:szCs w:val="21"/>
          <w:highlight w:val="none"/>
        </w:rPr>
        <w:t>、其他材料</w:t>
      </w:r>
    </w:p>
    <w:p w14:paraId="2F95C131">
      <w:pPr>
        <w:pStyle w:val="27"/>
        <w:pageBreakBefore w:val="0"/>
        <w:kinsoku/>
        <w:overflowPunct/>
        <w:bidi w:val="0"/>
        <w:spacing w:beforeLines="0" w:afterLines="0" w:line="360" w:lineRule="auto"/>
        <w:ind w:left="0" w:leftChars="0" w:right="0" w:firstLine="0"/>
        <w:rPr>
          <w:rFonts w:hint="eastAsia" w:ascii="宋体" w:hAnsi="宋体" w:eastAsia="宋体" w:cs="宋体"/>
          <w:color w:val="auto"/>
          <w:sz w:val="22"/>
          <w:szCs w:val="21"/>
          <w:highlight w:val="none"/>
        </w:rPr>
      </w:pPr>
    </w:p>
    <w:p w14:paraId="596F38E0">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注：此处提交招标文件规定的其他材料，以及投标人认为需要提交的其他材料。</w:t>
      </w:r>
    </w:p>
    <w:p w14:paraId="6DE21BE6">
      <w:pPr>
        <w:pageBreakBefore w:val="0"/>
        <w:kinsoku/>
        <w:overflowPunct/>
        <w:bidi w:val="0"/>
        <w:spacing w:beforeLines="0" w:afterLines="0" w:line="360" w:lineRule="auto"/>
        <w:ind w:left="0" w:leftChars="0" w:right="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br w:type="page"/>
      </w:r>
    </w:p>
    <w:p w14:paraId="48C22BC4">
      <w:pPr>
        <w:pStyle w:val="27"/>
        <w:pageBreakBefore w:val="0"/>
        <w:kinsoku/>
        <w:overflowPunct/>
        <w:bidi w:val="0"/>
        <w:spacing w:beforeLines="0" w:afterLines="0" w:line="36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2"/>
          <w:szCs w:val="21"/>
          <w:highlight w:val="none"/>
        </w:rPr>
        <w:t>附表一  投标人基本情况表</w:t>
      </w:r>
    </w:p>
    <w:tbl>
      <w:tblPr>
        <w:tblStyle w:val="63"/>
        <w:tblW w:w="99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8"/>
        <w:gridCol w:w="1044"/>
        <w:gridCol w:w="1104"/>
        <w:gridCol w:w="974"/>
        <w:gridCol w:w="490"/>
        <w:gridCol w:w="363"/>
        <w:gridCol w:w="1251"/>
        <w:gridCol w:w="570"/>
        <w:gridCol w:w="998"/>
        <w:gridCol w:w="1158"/>
      </w:tblGrid>
      <w:tr w14:paraId="28499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1A9010EC">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7952" w:type="dxa"/>
            <w:gridSpan w:val="9"/>
            <w:tcBorders>
              <w:top w:val="single" w:color="auto" w:sz="4" w:space="0"/>
              <w:left w:val="single" w:color="auto" w:sz="4" w:space="0"/>
              <w:bottom w:val="single" w:color="auto" w:sz="4" w:space="0"/>
              <w:right w:val="single" w:color="auto" w:sz="4" w:space="0"/>
            </w:tcBorders>
            <w:vAlign w:val="center"/>
          </w:tcPr>
          <w:p w14:paraId="54F2236E">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63065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132A44B0">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975" w:type="dxa"/>
            <w:gridSpan w:val="5"/>
            <w:tcBorders>
              <w:top w:val="single" w:color="auto" w:sz="4" w:space="0"/>
              <w:left w:val="single" w:color="auto" w:sz="4" w:space="0"/>
              <w:bottom w:val="single" w:color="auto" w:sz="4" w:space="0"/>
              <w:right w:val="single" w:color="auto" w:sz="4" w:space="0"/>
            </w:tcBorders>
            <w:vAlign w:val="center"/>
          </w:tcPr>
          <w:p w14:paraId="669BB570">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3559A76D">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 政</w:t>
            </w:r>
          </w:p>
          <w:p w14:paraId="13D4C887">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 码</w:t>
            </w:r>
          </w:p>
        </w:tc>
        <w:tc>
          <w:tcPr>
            <w:tcW w:w="2726" w:type="dxa"/>
            <w:gridSpan w:val="3"/>
            <w:tcBorders>
              <w:top w:val="single" w:color="auto" w:sz="4" w:space="0"/>
              <w:left w:val="single" w:color="auto" w:sz="4" w:space="0"/>
              <w:bottom w:val="single" w:color="auto" w:sz="4" w:space="0"/>
              <w:right w:val="single" w:color="auto" w:sz="4" w:space="0"/>
            </w:tcBorders>
            <w:vAlign w:val="center"/>
          </w:tcPr>
          <w:p w14:paraId="3AB73A17">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35E9A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jc w:val="center"/>
        </w:trPr>
        <w:tc>
          <w:tcPr>
            <w:tcW w:w="2008" w:type="dxa"/>
            <w:vMerge w:val="restart"/>
            <w:tcBorders>
              <w:top w:val="single" w:color="auto" w:sz="4" w:space="0"/>
              <w:left w:val="single" w:color="auto" w:sz="4" w:space="0"/>
              <w:bottom w:val="single" w:color="auto" w:sz="4" w:space="0"/>
              <w:right w:val="single" w:color="auto" w:sz="4" w:space="0"/>
            </w:tcBorders>
            <w:vAlign w:val="center"/>
          </w:tcPr>
          <w:p w14:paraId="503A62C0">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1044" w:type="dxa"/>
            <w:tcBorders>
              <w:top w:val="single" w:color="auto" w:sz="4" w:space="0"/>
              <w:left w:val="single" w:color="auto" w:sz="4" w:space="0"/>
              <w:bottom w:val="single" w:color="auto" w:sz="4" w:space="0"/>
              <w:right w:val="single" w:color="auto" w:sz="4" w:space="0"/>
            </w:tcBorders>
            <w:vAlign w:val="center"/>
          </w:tcPr>
          <w:p w14:paraId="7CFFE929">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931" w:type="dxa"/>
            <w:gridSpan w:val="4"/>
            <w:tcBorders>
              <w:top w:val="single" w:color="auto" w:sz="4" w:space="0"/>
              <w:left w:val="single" w:color="auto" w:sz="4" w:space="0"/>
              <w:bottom w:val="single" w:color="auto" w:sz="4" w:space="0"/>
              <w:right w:val="single" w:color="auto" w:sz="4" w:space="0"/>
            </w:tcBorders>
            <w:vAlign w:val="center"/>
          </w:tcPr>
          <w:p w14:paraId="2259A6AF">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63D9F53F">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2726" w:type="dxa"/>
            <w:gridSpan w:val="3"/>
            <w:tcBorders>
              <w:top w:val="single" w:color="auto" w:sz="4" w:space="0"/>
              <w:left w:val="single" w:color="auto" w:sz="4" w:space="0"/>
              <w:bottom w:val="single" w:color="auto" w:sz="4" w:space="0"/>
              <w:right w:val="single" w:color="auto" w:sz="4" w:space="0"/>
            </w:tcBorders>
            <w:vAlign w:val="center"/>
          </w:tcPr>
          <w:p w14:paraId="2ED3C3A4">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10F8D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jc w:val="center"/>
        </w:trPr>
        <w:tc>
          <w:tcPr>
            <w:tcW w:w="2008" w:type="dxa"/>
            <w:vMerge w:val="continue"/>
            <w:tcBorders>
              <w:top w:val="single" w:color="auto" w:sz="4" w:space="0"/>
              <w:left w:val="single" w:color="auto" w:sz="4" w:space="0"/>
              <w:bottom w:val="single" w:color="auto" w:sz="4" w:space="0"/>
              <w:right w:val="single" w:color="auto" w:sz="4" w:space="0"/>
            </w:tcBorders>
            <w:vAlign w:val="center"/>
          </w:tcPr>
          <w:p w14:paraId="61424E26">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56B44505">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931" w:type="dxa"/>
            <w:gridSpan w:val="4"/>
            <w:tcBorders>
              <w:top w:val="single" w:color="auto" w:sz="4" w:space="0"/>
              <w:left w:val="single" w:color="auto" w:sz="4" w:space="0"/>
              <w:bottom w:val="single" w:color="auto" w:sz="4" w:space="0"/>
              <w:right w:val="single" w:color="auto" w:sz="4" w:space="0"/>
            </w:tcBorders>
            <w:vAlign w:val="center"/>
          </w:tcPr>
          <w:p w14:paraId="2F2D1365">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37B63524">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t>
            </w:r>
          </w:p>
        </w:tc>
        <w:tc>
          <w:tcPr>
            <w:tcW w:w="2726" w:type="dxa"/>
            <w:gridSpan w:val="3"/>
            <w:tcBorders>
              <w:top w:val="single" w:color="auto" w:sz="4" w:space="0"/>
              <w:left w:val="single" w:color="auto" w:sz="4" w:space="0"/>
              <w:bottom w:val="single" w:color="auto" w:sz="4" w:space="0"/>
              <w:right w:val="single" w:color="auto" w:sz="4" w:space="0"/>
            </w:tcBorders>
            <w:vAlign w:val="center"/>
          </w:tcPr>
          <w:p w14:paraId="77F0B9BC">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19BF4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37FB0729">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1044" w:type="dxa"/>
            <w:tcBorders>
              <w:top w:val="single" w:color="auto" w:sz="4" w:space="0"/>
              <w:left w:val="single" w:color="auto" w:sz="4" w:space="0"/>
              <w:bottom w:val="single" w:color="auto" w:sz="4" w:space="0"/>
              <w:right w:val="single" w:color="auto" w:sz="4" w:space="0"/>
            </w:tcBorders>
            <w:vAlign w:val="center"/>
          </w:tcPr>
          <w:p w14:paraId="29BFDB4D">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04" w:type="dxa"/>
            <w:tcBorders>
              <w:top w:val="single" w:color="auto" w:sz="4" w:space="0"/>
              <w:left w:val="single" w:color="auto" w:sz="4" w:space="0"/>
              <w:bottom w:val="single" w:color="auto" w:sz="4" w:space="0"/>
              <w:right w:val="single" w:color="auto" w:sz="4" w:space="0"/>
            </w:tcBorders>
            <w:vAlign w:val="center"/>
          </w:tcPr>
          <w:p w14:paraId="6EF53B27">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464" w:type="dxa"/>
            <w:gridSpan w:val="2"/>
            <w:tcBorders>
              <w:top w:val="single" w:color="auto" w:sz="4" w:space="0"/>
              <w:left w:val="single" w:color="auto" w:sz="4" w:space="0"/>
              <w:bottom w:val="single" w:color="auto" w:sz="4" w:space="0"/>
              <w:right w:val="single" w:color="auto" w:sz="4" w:space="0"/>
            </w:tcBorders>
            <w:vAlign w:val="center"/>
          </w:tcPr>
          <w:p w14:paraId="42720335">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2184" w:type="dxa"/>
            <w:gridSpan w:val="3"/>
            <w:tcBorders>
              <w:top w:val="single" w:color="auto" w:sz="4" w:space="0"/>
              <w:left w:val="single" w:color="auto" w:sz="4" w:space="0"/>
              <w:bottom w:val="single" w:color="auto" w:sz="4" w:space="0"/>
              <w:right w:val="single" w:color="auto" w:sz="4" w:space="0"/>
            </w:tcBorders>
            <w:vAlign w:val="center"/>
          </w:tcPr>
          <w:p w14:paraId="0DE363A5">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998" w:type="dxa"/>
            <w:tcBorders>
              <w:top w:val="single" w:color="auto" w:sz="4" w:space="0"/>
              <w:left w:val="single" w:color="auto" w:sz="4" w:space="0"/>
              <w:bottom w:val="single" w:color="auto" w:sz="4" w:space="0"/>
              <w:right w:val="single" w:color="auto" w:sz="4" w:space="0"/>
            </w:tcBorders>
            <w:vAlign w:val="center"/>
          </w:tcPr>
          <w:p w14:paraId="3A422398">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158" w:type="dxa"/>
            <w:tcBorders>
              <w:top w:val="single" w:color="auto" w:sz="4" w:space="0"/>
              <w:left w:val="single" w:color="auto" w:sz="4" w:space="0"/>
              <w:bottom w:val="single" w:color="auto" w:sz="4" w:space="0"/>
              <w:right w:val="single" w:color="auto" w:sz="4" w:space="0"/>
            </w:tcBorders>
            <w:vAlign w:val="center"/>
          </w:tcPr>
          <w:p w14:paraId="7BBA1EE1">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06F2E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2C3F2300">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其他专业</w:t>
            </w:r>
            <w:r>
              <w:rPr>
                <w:rFonts w:hint="eastAsia" w:ascii="宋体" w:hAnsi="宋体" w:eastAsia="宋体" w:cs="宋体"/>
                <w:color w:val="auto"/>
                <w:szCs w:val="21"/>
                <w:highlight w:val="none"/>
                <w:lang w:eastAsia="zh-CN"/>
              </w:rPr>
              <w:t>造价咨询人员</w:t>
            </w:r>
          </w:p>
        </w:tc>
        <w:tc>
          <w:tcPr>
            <w:tcW w:w="1044" w:type="dxa"/>
            <w:tcBorders>
              <w:top w:val="single" w:color="auto" w:sz="4" w:space="0"/>
              <w:left w:val="single" w:color="auto" w:sz="4" w:space="0"/>
              <w:bottom w:val="single" w:color="auto" w:sz="4" w:space="0"/>
              <w:right w:val="single" w:color="auto" w:sz="4" w:space="0"/>
            </w:tcBorders>
            <w:vAlign w:val="center"/>
          </w:tcPr>
          <w:p w14:paraId="2971A25D">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04" w:type="dxa"/>
            <w:tcBorders>
              <w:top w:val="single" w:color="auto" w:sz="4" w:space="0"/>
              <w:left w:val="single" w:color="auto" w:sz="4" w:space="0"/>
              <w:bottom w:val="single" w:color="auto" w:sz="4" w:space="0"/>
              <w:right w:val="single" w:color="auto" w:sz="4" w:space="0"/>
            </w:tcBorders>
            <w:vAlign w:val="center"/>
          </w:tcPr>
          <w:p w14:paraId="0B6F5FD0">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464" w:type="dxa"/>
            <w:gridSpan w:val="2"/>
            <w:tcBorders>
              <w:top w:val="single" w:color="auto" w:sz="4" w:space="0"/>
              <w:left w:val="single" w:color="auto" w:sz="4" w:space="0"/>
              <w:bottom w:val="single" w:color="auto" w:sz="4" w:space="0"/>
              <w:right w:val="single" w:color="auto" w:sz="4" w:space="0"/>
            </w:tcBorders>
            <w:vAlign w:val="center"/>
          </w:tcPr>
          <w:p w14:paraId="0409734D">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2184" w:type="dxa"/>
            <w:gridSpan w:val="3"/>
            <w:tcBorders>
              <w:top w:val="single" w:color="auto" w:sz="4" w:space="0"/>
              <w:left w:val="single" w:color="auto" w:sz="4" w:space="0"/>
              <w:bottom w:val="single" w:color="auto" w:sz="4" w:space="0"/>
              <w:right w:val="single" w:color="auto" w:sz="4" w:space="0"/>
            </w:tcBorders>
            <w:vAlign w:val="center"/>
          </w:tcPr>
          <w:p w14:paraId="5F7B8019">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998" w:type="dxa"/>
            <w:tcBorders>
              <w:top w:val="single" w:color="auto" w:sz="4" w:space="0"/>
              <w:left w:val="single" w:color="auto" w:sz="4" w:space="0"/>
              <w:bottom w:val="single" w:color="auto" w:sz="4" w:space="0"/>
              <w:right w:val="single" w:color="auto" w:sz="4" w:space="0"/>
            </w:tcBorders>
            <w:vAlign w:val="center"/>
          </w:tcPr>
          <w:p w14:paraId="38A61F7C">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158" w:type="dxa"/>
            <w:tcBorders>
              <w:top w:val="single" w:color="auto" w:sz="4" w:space="0"/>
              <w:left w:val="single" w:color="auto" w:sz="4" w:space="0"/>
              <w:bottom w:val="single" w:color="auto" w:sz="4" w:space="0"/>
              <w:right w:val="single" w:color="auto" w:sz="4" w:space="0"/>
            </w:tcBorders>
            <w:vAlign w:val="center"/>
          </w:tcPr>
          <w:p w14:paraId="3BBF346C">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7823D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39082D58">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2148" w:type="dxa"/>
            <w:gridSpan w:val="2"/>
            <w:tcBorders>
              <w:top w:val="single" w:color="auto" w:sz="4" w:space="0"/>
              <w:left w:val="single" w:color="auto" w:sz="4" w:space="0"/>
              <w:bottom w:val="single" w:color="auto" w:sz="4" w:space="0"/>
              <w:right w:val="single" w:color="auto" w:sz="4" w:space="0"/>
            </w:tcBorders>
            <w:vAlign w:val="center"/>
          </w:tcPr>
          <w:p w14:paraId="1E045882">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5804" w:type="dxa"/>
            <w:gridSpan w:val="7"/>
            <w:tcBorders>
              <w:top w:val="single" w:color="auto" w:sz="4" w:space="0"/>
              <w:left w:val="single" w:color="auto" w:sz="4" w:space="0"/>
              <w:bottom w:val="single" w:color="auto" w:sz="4" w:space="0"/>
              <w:right w:val="single" w:color="auto" w:sz="4" w:space="0"/>
            </w:tcBorders>
            <w:vAlign w:val="center"/>
          </w:tcPr>
          <w:p w14:paraId="6311C012">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14:paraId="39E2B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2008" w:type="dxa"/>
            <w:vMerge w:val="restart"/>
            <w:tcBorders>
              <w:top w:val="single" w:color="auto" w:sz="4" w:space="0"/>
              <w:left w:val="single" w:color="auto" w:sz="4" w:space="0"/>
              <w:right w:val="single" w:color="auto" w:sz="4" w:space="0"/>
            </w:tcBorders>
            <w:vAlign w:val="center"/>
          </w:tcPr>
          <w:p w14:paraId="6B531B70">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2148" w:type="dxa"/>
            <w:gridSpan w:val="2"/>
            <w:vMerge w:val="restart"/>
            <w:tcBorders>
              <w:top w:val="single" w:color="auto" w:sz="4" w:space="0"/>
              <w:left w:val="single" w:color="auto" w:sz="4" w:space="0"/>
              <w:right w:val="single" w:color="auto" w:sz="4" w:space="0"/>
            </w:tcBorders>
            <w:vAlign w:val="center"/>
          </w:tcPr>
          <w:p w14:paraId="31EAB55D">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974" w:type="dxa"/>
            <w:vMerge w:val="restart"/>
            <w:tcBorders>
              <w:top w:val="single" w:color="auto" w:sz="4" w:space="0"/>
              <w:left w:val="single" w:color="auto" w:sz="4" w:space="0"/>
              <w:bottom w:val="single" w:color="auto" w:sz="4" w:space="0"/>
              <w:right w:val="single" w:color="auto" w:sz="4" w:space="0"/>
            </w:tcBorders>
            <w:vAlign w:val="center"/>
          </w:tcPr>
          <w:p w14:paraId="51449C20">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2674" w:type="dxa"/>
            <w:gridSpan w:val="4"/>
            <w:tcBorders>
              <w:top w:val="single" w:color="auto" w:sz="4" w:space="0"/>
              <w:left w:val="single" w:color="auto" w:sz="4" w:space="0"/>
              <w:bottom w:val="single" w:color="auto" w:sz="4" w:space="0"/>
              <w:right w:val="single" w:color="auto" w:sz="4" w:space="0"/>
            </w:tcBorders>
            <w:vAlign w:val="center"/>
          </w:tcPr>
          <w:p w14:paraId="452B8155">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2156" w:type="dxa"/>
            <w:gridSpan w:val="2"/>
            <w:tcBorders>
              <w:top w:val="single" w:color="auto" w:sz="4" w:space="0"/>
              <w:left w:val="single" w:color="auto" w:sz="4" w:space="0"/>
              <w:bottom w:val="single" w:color="auto" w:sz="4" w:space="0"/>
              <w:right w:val="single" w:color="auto" w:sz="4" w:space="0"/>
            </w:tcBorders>
            <w:vAlign w:val="center"/>
          </w:tcPr>
          <w:p w14:paraId="440776D2">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13517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135E5925">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2148" w:type="dxa"/>
            <w:gridSpan w:val="2"/>
            <w:tcBorders>
              <w:top w:val="single" w:color="auto" w:sz="4" w:space="0"/>
              <w:left w:val="single" w:color="auto" w:sz="4" w:space="0"/>
              <w:bottom w:val="single" w:color="auto" w:sz="4" w:space="0"/>
              <w:right w:val="single" w:color="auto" w:sz="4" w:space="0"/>
            </w:tcBorders>
            <w:vAlign w:val="center"/>
          </w:tcPr>
          <w:p w14:paraId="3E204104">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14:paraId="6B0A063C">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2674" w:type="dxa"/>
            <w:gridSpan w:val="4"/>
            <w:tcBorders>
              <w:top w:val="single" w:color="auto" w:sz="4" w:space="0"/>
              <w:left w:val="single" w:color="auto" w:sz="4" w:space="0"/>
              <w:bottom w:val="single" w:color="auto" w:sz="4" w:space="0"/>
              <w:right w:val="single" w:color="auto" w:sz="4" w:space="0"/>
            </w:tcBorders>
            <w:vAlign w:val="center"/>
          </w:tcPr>
          <w:p w14:paraId="69CADACF">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2156" w:type="dxa"/>
            <w:gridSpan w:val="2"/>
            <w:tcBorders>
              <w:top w:val="single" w:color="auto" w:sz="4" w:space="0"/>
              <w:left w:val="single" w:color="auto" w:sz="4" w:space="0"/>
              <w:bottom w:val="single" w:color="auto" w:sz="4" w:space="0"/>
              <w:right w:val="single" w:color="auto" w:sz="4" w:space="0"/>
            </w:tcBorders>
            <w:vAlign w:val="center"/>
          </w:tcPr>
          <w:p w14:paraId="2CC0AEC6">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64597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57F6DF43">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2148" w:type="dxa"/>
            <w:gridSpan w:val="2"/>
            <w:tcBorders>
              <w:top w:val="single" w:color="auto" w:sz="4" w:space="0"/>
              <w:left w:val="single" w:color="auto" w:sz="4" w:space="0"/>
              <w:bottom w:val="single" w:color="auto" w:sz="4" w:space="0"/>
              <w:right w:val="single" w:color="auto" w:sz="4" w:space="0"/>
            </w:tcBorders>
            <w:vAlign w:val="center"/>
          </w:tcPr>
          <w:p w14:paraId="7AEC65F2">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14:paraId="76F23728">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2674" w:type="dxa"/>
            <w:gridSpan w:val="4"/>
            <w:tcBorders>
              <w:top w:val="single" w:color="auto" w:sz="4" w:space="0"/>
              <w:left w:val="single" w:color="auto" w:sz="4" w:space="0"/>
              <w:bottom w:val="single" w:color="auto" w:sz="4" w:space="0"/>
              <w:right w:val="single" w:color="auto" w:sz="4" w:space="0"/>
            </w:tcBorders>
            <w:vAlign w:val="center"/>
          </w:tcPr>
          <w:p w14:paraId="636C25DD">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2156" w:type="dxa"/>
            <w:gridSpan w:val="2"/>
            <w:tcBorders>
              <w:top w:val="single" w:color="auto" w:sz="4" w:space="0"/>
              <w:left w:val="single" w:color="auto" w:sz="4" w:space="0"/>
              <w:bottom w:val="single" w:color="auto" w:sz="4" w:space="0"/>
              <w:right w:val="single" w:color="auto" w:sz="4" w:space="0"/>
            </w:tcBorders>
            <w:vAlign w:val="center"/>
          </w:tcPr>
          <w:p w14:paraId="47102B9E">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2F2EC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5AC79706">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2148" w:type="dxa"/>
            <w:gridSpan w:val="2"/>
            <w:tcBorders>
              <w:top w:val="single" w:color="auto" w:sz="4" w:space="0"/>
              <w:left w:val="single" w:color="auto" w:sz="4" w:space="0"/>
              <w:bottom w:val="single" w:color="auto" w:sz="4" w:space="0"/>
              <w:right w:val="single" w:color="auto" w:sz="4" w:space="0"/>
            </w:tcBorders>
            <w:vAlign w:val="center"/>
          </w:tcPr>
          <w:p w14:paraId="5D55C5CE">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14:paraId="7D09E784">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2674" w:type="dxa"/>
            <w:gridSpan w:val="4"/>
            <w:tcBorders>
              <w:top w:val="single" w:color="auto" w:sz="4" w:space="0"/>
              <w:left w:val="single" w:color="auto" w:sz="4" w:space="0"/>
              <w:bottom w:val="single" w:color="auto" w:sz="4" w:space="0"/>
              <w:right w:val="single" w:color="auto" w:sz="4" w:space="0"/>
            </w:tcBorders>
            <w:vAlign w:val="center"/>
          </w:tcPr>
          <w:p w14:paraId="0A583650">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2156" w:type="dxa"/>
            <w:gridSpan w:val="2"/>
            <w:tcBorders>
              <w:top w:val="single" w:color="auto" w:sz="4" w:space="0"/>
              <w:left w:val="single" w:color="auto" w:sz="4" w:space="0"/>
              <w:bottom w:val="single" w:color="auto" w:sz="4" w:space="0"/>
              <w:right w:val="single" w:color="auto" w:sz="4" w:space="0"/>
            </w:tcBorders>
            <w:vAlign w:val="center"/>
          </w:tcPr>
          <w:p w14:paraId="5103E48B">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76ACC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4F856A32">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2148" w:type="dxa"/>
            <w:gridSpan w:val="2"/>
            <w:tcBorders>
              <w:top w:val="single" w:color="auto" w:sz="4" w:space="0"/>
              <w:left w:val="single" w:color="auto" w:sz="4" w:space="0"/>
              <w:bottom w:val="single" w:color="auto" w:sz="4" w:space="0"/>
              <w:right w:val="single" w:color="auto" w:sz="4" w:space="0"/>
            </w:tcBorders>
            <w:vAlign w:val="center"/>
          </w:tcPr>
          <w:p w14:paraId="3C303F34">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14:paraId="71B6A75C">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2674" w:type="dxa"/>
            <w:gridSpan w:val="4"/>
            <w:tcBorders>
              <w:top w:val="single" w:color="auto" w:sz="4" w:space="0"/>
              <w:left w:val="single" w:color="auto" w:sz="4" w:space="0"/>
              <w:bottom w:val="single" w:color="auto" w:sz="4" w:space="0"/>
              <w:right w:val="single" w:color="auto" w:sz="4" w:space="0"/>
            </w:tcBorders>
            <w:vAlign w:val="center"/>
          </w:tcPr>
          <w:p w14:paraId="70538B94">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 w:val="18"/>
                <w:szCs w:val="21"/>
                <w:highlight w:val="none"/>
              </w:rPr>
            </w:pPr>
            <w:r>
              <w:rPr>
                <w:rFonts w:hint="eastAsia" w:ascii="宋体" w:hAnsi="宋体" w:eastAsia="宋体" w:cs="宋体"/>
                <w:color w:val="auto"/>
                <w:szCs w:val="21"/>
                <w:highlight w:val="none"/>
              </w:rPr>
              <w:t>技工</w:t>
            </w:r>
          </w:p>
        </w:tc>
        <w:tc>
          <w:tcPr>
            <w:tcW w:w="2156" w:type="dxa"/>
            <w:gridSpan w:val="2"/>
            <w:tcBorders>
              <w:top w:val="single" w:color="auto" w:sz="4" w:space="0"/>
              <w:left w:val="single" w:color="auto" w:sz="4" w:space="0"/>
              <w:bottom w:val="single" w:color="auto" w:sz="4" w:space="0"/>
              <w:right w:val="single" w:color="auto" w:sz="4" w:space="0"/>
            </w:tcBorders>
            <w:vAlign w:val="center"/>
          </w:tcPr>
          <w:p w14:paraId="1E95A988">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6274C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2" w:hRule="atLeast"/>
          <w:jc w:val="center"/>
        </w:trPr>
        <w:tc>
          <w:tcPr>
            <w:tcW w:w="2008" w:type="dxa"/>
            <w:tcBorders>
              <w:top w:val="single" w:color="auto" w:sz="4" w:space="0"/>
              <w:left w:val="single" w:color="auto" w:sz="4" w:space="0"/>
              <w:right w:val="single" w:color="auto" w:sz="4" w:space="0"/>
            </w:tcBorders>
            <w:vAlign w:val="center"/>
          </w:tcPr>
          <w:p w14:paraId="2EE8B782">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7952" w:type="dxa"/>
            <w:gridSpan w:val="9"/>
            <w:tcBorders>
              <w:top w:val="single" w:color="auto" w:sz="4" w:space="0"/>
              <w:left w:val="single" w:color="auto" w:sz="4" w:space="0"/>
              <w:right w:val="single" w:color="auto" w:sz="4" w:space="0"/>
            </w:tcBorders>
            <w:vAlign w:val="center"/>
          </w:tcPr>
          <w:p w14:paraId="47C4D7F6">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p>
        </w:tc>
      </w:tr>
      <w:tr w14:paraId="1D466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008" w:type="dxa"/>
            <w:tcBorders>
              <w:top w:val="single" w:color="auto" w:sz="4" w:space="0"/>
              <w:left w:val="single" w:color="auto" w:sz="4" w:space="0"/>
              <w:bottom w:val="single" w:color="auto" w:sz="4" w:space="0"/>
              <w:right w:val="single" w:color="auto" w:sz="4" w:space="0"/>
            </w:tcBorders>
            <w:vAlign w:val="center"/>
          </w:tcPr>
          <w:p w14:paraId="19763124">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952" w:type="dxa"/>
            <w:gridSpan w:val="9"/>
            <w:tcBorders>
              <w:top w:val="single" w:color="auto" w:sz="4" w:space="0"/>
              <w:left w:val="single" w:color="auto" w:sz="4" w:space="0"/>
              <w:bottom w:val="single" w:color="auto" w:sz="4" w:space="0"/>
              <w:right w:val="single" w:color="auto" w:sz="4" w:space="0"/>
            </w:tcBorders>
            <w:vAlign w:val="center"/>
          </w:tcPr>
          <w:p w14:paraId="0A1E6A7A">
            <w:pPr>
              <w:pageBreakBefore w:val="0"/>
              <w:kinsoku/>
              <w:overflowPunct/>
              <w:topLinePunct/>
              <w:bidi w:val="0"/>
              <w:spacing w:beforeLines="0" w:afterLines="0" w:line="360" w:lineRule="auto"/>
              <w:ind w:left="0" w:leftChars="0" w:right="0"/>
              <w:jc w:val="center"/>
              <w:rPr>
                <w:rFonts w:hint="eastAsia" w:ascii="宋体" w:hAnsi="宋体" w:eastAsia="宋体" w:cs="宋体"/>
                <w:color w:val="auto"/>
                <w:szCs w:val="21"/>
                <w:highlight w:val="none"/>
              </w:rPr>
            </w:pPr>
          </w:p>
        </w:tc>
      </w:tr>
    </w:tbl>
    <w:p w14:paraId="7AA4A766">
      <w:pPr>
        <w:pageBreakBefore w:val="0"/>
        <w:kinsoku/>
        <w:overflowPunct/>
        <w:bidi w:val="0"/>
        <w:spacing w:beforeLines="0" w:afterLines="0" w:line="360" w:lineRule="auto"/>
        <w:ind w:left="0" w:leftChars="0" w:right="0"/>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注：1.本表后须附企业营业执照（副本）、企业资质证书（副本）（如有）、企业基本账户的银行开户许可证或银行出具的《基本存款账户信息》（适用于以现金方式提交投标保证金的投标人）、</w:t>
      </w:r>
      <w:r>
        <w:rPr>
          <w:rFonts w:hint="eastAsia" w:ascii="宋体" w:hAnsi="宋体" w:eastAsia="宋体" w:cs="宋体"/>
          <w:color w:val="auto"/>
          <w:sz w:val="18"/>
          <w:szCs w:val="21"/>
          <w:highlight w:val="none"/>
          <w:u w:val="single"/>
        </w:rPr>
        <w:t xml:space="preserve">    </w:t>
      </w:r>
      <w:r>
        <w:rPr>
          <w:rFonts w:hint="eastAsia" w:ascii="宋体" w:hAnsi="宋体" w:eastAsia="宋体" w:cs="宋体"/>
          <w:color w:val="auto"/>
          <w:sz w:val="18"/>
          <w:szCs w:val="21"/>
          <w:highlight w:val="none"/>
        </w:rPr>
        <w:t>的扫描件并加盖投标人公章。</w:t>
      </w:r>
    </w:p>
    <w:p w14:paraId="27990BA2">
      <w:pPr>
        <w:pageBreakBefore w:val="0"/>
        <w:kinsoku/>
        <w:overflowPunct/>
        <w:bidi w:val="0"/>
        <w:spacing w:beforeLines="0" w:afterLines="0" w:line="360" w:lineRule="auto"/>
        <w:ind w:left="0" w:leftChars="0" w:right="0"/>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2.提供的扫描件资料必须清晰、明辨，否则投标人须自行承担后果</w:t>
      </w:r>
      <w:r>
        <w:rPr>
          <w:rFonts w:hint="eastAsia" w:ascii="宋体" w:hAnsi="宋体" w:eastAsia="宋体" w:cs="宋体"/>
          <w:color w:val="auto"/>
          <w:sz w:val="18"/>
          <w:highlight w:val="none"/>
        </w:rPr>
        <w:t>。</w:t>
      </w:r>
    </w:p>
    <w:p w14:paraId="0BD6EC72">
      <w:pPr>
        <w:pageBreakBefore w:val="0"/>
        <w:kinsoku/>
        <w:overflowPunct/>
        <w:bidi w:val="0"/>
        <w:spacing w:beforeLines="0" w:afterLines="0" w:line="360" w:lineRule="auto"/>
        <w:ind w:left="0" w:leftChars="0" w:right="0"/>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3.联合体投标的，联合体各方均须各自填写该表格。</w:t>
      </w:r>
    </w:p>
    <w:p w14:paraId="3D2DC3F7">
      <w:pPr>
        <w:pageBreakBefore w:val="0"/>
        <w:kinsoku/>
        <w:overflowPunct/>
        <w:bidi w:val="0"/>
        <w:spacing w:beforeLines="0" w:afterLines="0" w:line="360" w:lineRule="auto"/>
        <w:ind w:left="0" w:leftChars="0" w:right="0"/>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4.投标人在本表之外的地方重复上传本表要求的材料，与本表处上传的材料不一致的，以本表处上传的材料为准。</w:t>
      </w:r>
    </w:p>
    <w:p w14:paraId="2631AFC1">
      <w:pPr>
        <w:pStyle w:val="27"/>
        <w:pageBreakBefore w:val="0"/>
        <w:kinsoku/>
        <w:overflowPunct/>
        <w:bidi w:val="0"/>
        <w:spacing w:beforeLines="0" w:afterLines="0" w:line="36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Cs w:val="28"/>
          <w:highlight w:val="none"/>
        </w:rPr>
        <w:br w:type="page"/>
      </w:r>
      <w:r>
        <w:rPr>
          <w:rFonts w:hint="eastAsia" w:ascii="宋体" w:hAnsi="宋体" w:eastAsia="宋体" w:cs="宋体"/>
          <w:color w:val="auto"/>
          <w:sz w:val="22"/>
          <w:szCs w:val="21"/>
          <w:highlight w:val="none"/>
        </w:rPr>
        <w:t>附表二  项目管理团队配备情况表（如有）</w:t>
      </w:r>
    </w:p>
    <w:tbl>
      <w:tblPr>
        <w:tblStyle w:val="63"/>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152"/>
        <w:gridCol w:w="1152"/>
        <w:gridCol w:w="1152"/>
        <w:gridCol w:w="767"/>
        <w:gridCol w:w="769"/>
        <w:gridCol w:w="767"/>
        <w:gridCol w:w="2415"/>
        <w:gridCol w:w="709"/>
      </w:tblGrid>
      <w:tr w14:paraId="0C6B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restart"/>
            <w:vAlign w:val="center"/>
          </w:tcPr>
          <w:p w14:paraId="01506537">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152" w:type="dxa"/>
            <w:vMerge w:val="restart"/>
            <w:vAlign w:val="center"/>
          </w:tcPr>
          <w:p w14:paraId="14F961A5">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52" w:type="dxa"/>
            <w:vMerge w:val="restart"/>
            <w:vAlign w:val="center"/>
          </w:tcPr>
          <w:p w14:paraId="6FAA6199">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5870" w:type="dxa"/>
            <w:gridSpan w:val="5"/>
            <w:vAlign w:val="center"/>
          </w:tcPr>
          <w:p w14:paraId="64522B96">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执业或职业资格证明</w:t>
            </w:r>
          </w:p>
        </w:tc>
        <w:tc>
          <w:tcPr>
            <w:tcW w:w="709" w:type="dxa"/>
            <w:vAlign w:val="center"/>
          </w:tcPr>
          <w:p w14:paraId="420496CD">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58E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vAlign w:val="center"/>
          </w:tcPr>
          <w:p w14:paraId="7A70F728">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vMerge w:val="continue"/>
            <w:vAlign w:val="center"/>
          </w:tcPr>
          <w:p w14:paraId="400F126F">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vMerge w:val="continue"/>
            <w:vAlign w:val="center"/>
          </w:tcPr>
          <w:p w14:paraId="7EBC83CD">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vAlign w:val="center"/>
          </w:tcPr>
          <w:p w14:paraId="532C760C">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w:t>
            </w:r>
          </w:p>
          <w:p w14:paraId="0E81ED91">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767" w:type="dxa"/>
            <w:vAlign w:val="center"/>
          </w:tcPr>
          <w:p w14:paraId="7FF73EF9">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c>
          <w:tcPr>
            <w:tcW w:w="769" w:type="dxa"/>
            <w:vAlign w:val="center"/>
          </w:tcPr>
          <w:p w14:paraId="6386C2FB">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767" w:type="dxa"/>
            <w:vAlign w:val="center"/>
          </w:tcPr>
          <w:p w14:paraId="2E07A482">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2415" w:type="dxa"/>
            <w:vAlign w:val="center"/>
          </w:tcPr>
          <w:p w14:paraId="22CC4EF5">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养老保险号</w:t>
            </w:r>
          </w:p>
        </w:tc>
        <w:tc>
          <w:tcPr>
            <w:tcW w:w="709" w:type="dxa"/>
            <w:vAlign w:val="center"/>
          </w:tcPr>
          <w:p w14:paraId="24F5D374">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456B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14:paraId="70EB0596">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496151DE">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0EB18813">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7D4587E5">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21B15273">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9" w:type="dxa"/>
          </w:tcPr>
          <w:p w14:paraId="4D90C354">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4003A5C4">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2415" w:type="dxa"/>
          </w:tcPr>
          <w:p w14:paraId="379DE3C5">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09" w:type="dxa"/>
          </w:tcPr>
          <w:p w14:paraId="4F3FE471">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07A5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14:paraId="7BE69BB8">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36148317">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08871F98">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0BD15FD8">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0E12FCE9">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9" w:type="dxa"/>
          </w:tcPr>
          <w:p w14:paraId="5DB571A1">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61FA90BA">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2415" w:type="dxa"/>
          </w:tcPr>
          <w:p w14:paraId="26660AD2">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09" w:type="dxa"/>
          </w:tcPr>
          <w:p w14:paraId="28ED1470">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2AF8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14:paraId="4F96EC91">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0F91BE27">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6712274B">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5A5BF99E">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3840CB6C">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9" w:type="dxa"/>
          </w:tcPr>
          <w:p w14:paraId="1FD7EABB">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252B8C1E">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2415" w:type="dxa"/>
          </w:tcPr>
          <w:p w14:paraId="5CF5C69D">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09" w:type="dxa"/>
          </w:tcPr>
          <w:p w14:paraId="3F4BDC6F">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064B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14:paraId="64DB28B6">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023C743A">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038DB6CC">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71854D34">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19624335">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9" w:type="dxa"/>
          </w:tcPr>
          <w:p w14:paraId="55560B85">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7D77B176">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2415" w:type="dxa"/>
          </w:tcPr>
          <w:p w14:paraId="169651C7">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09" w:type="dxa"/>
          </w:tcPr>
          <w:p w14:paraId="00EFEEEC">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6318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14:paraId="28C2A3A6">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7ED12B15">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5CAB336D">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7C0D5013">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7DD0F395">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9" w:type="dxa"/>
          </w:tcPr>
          <w:p w14:paraId="52819555">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355E6930">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2415" w:type="dxa"/>
          </w:tcPr>
          <w:p w14:paraId="0F6021F9">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09" w:type="dxa"/>
          </w:tcPr>
          <w:p w14:paraId="34223B01">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1DAE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14:paraId="2C1A534B">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48B5AB1F">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0618B63D">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0B6061AC">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2653A864">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9" w:type="dxa"/>
          </w:tcPr>
          <w:p w14:paraId="50BC1E42">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3E4245B5">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2415" w:type="dxa"/>
          </w:tcPr>
          <w:p w14:paraId="54636601">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09" w:type="dxa"/>
          </w:tcPr>
          <w:p w14:paraId="33F9DD81">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4FF7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14:paraId="4FA63C75">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24F92523">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54D97395">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6D036212">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32DCE2C9">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9" w:type="dxa"/>
          </w:tcPr>
          <w:p w14:paraId="03C6E24E">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0D3CA112">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2415" w:type="dxa"/>
          </w:tcPr>
          <w:p w14:paraId="5C4B9330">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09" w:type="dxa"/>
          </w:tcPr>
          <w:p w14:paraId="17B296A4">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4ED2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14:paraId="09834480">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22916CB3">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777DF5B0">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61E58184">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0C36762E">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9" w:type="dxa"/>
          </w:tcPr>
          <w:p w14:paraId="4FE491A2">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08FAA194">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2415" w:type="dxa"/>
          </w:tcPr>
          <w:p w14:paraId="41F6B15E">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09" w:type="dxa"/>
          </w:tcPr>
          <w:p w14:paraId="6CD02890">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3B5A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14:paraId="421C3E71">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5193AAD2">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343A3A6B">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009191FE">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313B67F2">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9" w:type="dxa"/>
          </w:tcPr>
          <w:p w14:paraId="41844609">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06C66208">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2415" w:type="dxa"/>
          </w:tcPr>
          <w:p w14:paraId="4CEBE6F8">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09" w:type="dxa"/>
          </w:tcPr>
          <w:p w14:paraId="3F90711F">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01E7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14:paraId="0094E5A9">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01668AE7">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513C6D20">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664C1EE4">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0E27CCFA">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9" w:type="dxa"/>
          </w:tcPr>
          <w:p w14:paraId="4F08E41A">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3373A0C3">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2415" w:type="dxa"/>
          </w:tcPr>
          <w:p w14:paraId="392CC4F4">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09" w:type="dxa"/>
          </w:tcPr>
          <w:p w14:paraId="373055E7">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2B2C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14:paraId="4D30B1CB">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7B898CC8">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156C70BD">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283884F4">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7C534BFD">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9" w:type="dxa"/>
          </w:tcPr>
          <w:p w14:paraId="3EBD0E8B">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08D098E7">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2415" w:type="dxa"/>
          </w:tcPr>
          <w:p w14:paraId="30C509C9">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09" w:type="dxa"/>
          </w:tcPr>
          <w:p w14:paraId="794EFD44">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r w14:paraId="694D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14:paraId="34EA726D">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3348C3E6">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290016ED">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1152" w:type="dxa"/>
          </w:tcPr>
          <w:p w14:paraId="0872F2E0">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3061A850">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9" w:type="dxa"/>
          </w:tcPr>
          <w:p w14:paraId="6A61192B">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67" w:type="dxa"/>
          </w:tcPr>
          <w:p w14:paraId="0952BAE5">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2415" w:type="dxa"/>
          </w:tcPr>
          <w:p w14:paraId="2EE9105F">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c>
          <w:tcPr>
            <w:tcW w:w="709" w:type="dxa"/>
          </w:tcPr>
          <w:p w14:paraId="105F205D">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p>
        </w:tc>
      </w:tr>
    </w:tbl>
    <w:p w14:paraId="4162B7BC">
      <w:pPr>
        <w:pageBreakBefore w:val="0"/>
        <w:kinsoku/>
        <w:overflowPunct/>
        <w:bidi w:val="0"/>
        <w:spacing w:beforeLines="0" w:afterLines="0" w:line="360" w:lineRule="auto"/>
        <w:ind w:left="0" w:leftChars="0" w:right="0" w:firstLine="360" w:firstLineChars="200"/>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注：1.表后须附上述人员（项目负责人和其他专业</w:t>
      </w:r>
      <w:r>
        <w:rPr>
          <w:rFonts w:hint="eastAsia" w:ascii="宋体" w:hAnsi="宋体" w:eastAsia="宋体" w:cs="宋体"/>
          <w:color w:val="auto"/>
          <w:sz w:val="18"/>
          <w:szCs w:val="21"/>
          <w:highlight w:val="none"/>
          <w:lang w:eastAsia="zh-CN"/>
        </w:rPr>
        <w:t>造价咨询人员</w:t>
      </w:r>
      <w:r>
        <w:rPr>
          <w:rFonts w:hint="eastAsia" w:ascii="宋体" w:hAnsi="宋体" w:eastAsia="宋体" w:cs="宋体"/>
          <w:color w:val="auto"/>
          <w:sz w:val="18"/>
          <w:szCs w:val="21"/>
          <w:highlight w:val="none"/>
        </w:rPr>
        <w:t>（如有）除外）相关资格证明文件（包括身份证）扫描件并加盖投标人公章。</w:t>
      </w:r>
    </w:p>
    <w:p w14:paraId="781B4E9A">
      <w:pPr>
        <w:pageBreakBefore w:val="0"/>
        <w:kinsoku/>
        <w:overflowPunct/>
        <w:bidi w:val="0"/>
        <w:spacing w:beforeLines="0" w:afterLines="0" w:line="360" w:lineRule="auto"/>
        <w:ind w:left="0" w:leftChars="0" w:right="0" w:firstLine="360" w:firstLineChars="200"/>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2.表后须附投标人近期为所填相关人员缴纳社保资金的有效社保证明材料的扫描件并加盖投标人公章，以投标人（或其分支机构）所属当地社保管理部门出具的证明材料为准；社保时间要求详见评分标准要求。</w:t>
      </w:r>
    </w:p>
    <w:p w14:paraId="2632749F">
      <w:pPr>
        <w:pageBreakBefore w:val="0"/>
        <w:kinsoku/>
        <w:overflowPunct/>
        <w:bidi w:val="0"/>
        <w:spacing w:beforeLines="0" w:afterLines="0" w:line="360" w:lineRule="auto"/>
        <w:ind w:left="0" w:leftChars="0" w:right="0" w:firstLine="360" w:firstLineChars="200"/>
        <w:rPr>
          <w:rFonts w:hint="eastAsia" w:ascii="宋体" w:hAnsi="宋体" w:eastAsia="宋体" w:cs="宋体"/>
          <w:color w:val="auto"/>
          <w:sz w:val="18"/>
          <w:szCs w:val="21"/>
          <w:highlight w:val="none"/>
        </w:rPr>
      </w:pPr>
      <w:r>
        <w:rPr>
          <w:rFonts w:hint="eastAsia" w:ascii="宋体" w:hAnsi="宋体" w:cs="宋体"/>
          <w:color w:val="auto"/>
          <w:sz w:val="18"/>
          <w:szCs w:val="21"/>
          <w:highlight w:val="none"/>
          <w:lang w:val="en-US" w:eastAsia="zh-CN"/>
        </w:rPr>
        <w:t>3</w:t>
      </w:r>
      <w:r>
        <w:rPr>
          <w:rFonts w:hint="eastAsia" w:ascii="宋体" w:hAnsi="宋体" w:eastAsia="宋体" w:cs="宋体"/>
          <w:color w:val="auto"/>
          <w:sz w:val="18"/>
          <w:szCs w:val="21"/>
          <w:highlight w:val="none"/>
        </w:rPr>
        <w:t>.属于广东省以外的投标人（包括联合体各成员）的上述人员，须附在广东建设信息网（网址：www.gdcic.net）“进粤企业和人员诚信信息登记平台”专栏关于投标人进粤企业及人员信息登记的查询网页打印件并</w:t>
      </w:r>
      <w:r>
        <w:rPr>
          <w:rFonts w:hint="eastAsia" w:ascii="宋体" w:hAnsi="宋体" w:eastAsia="宋体" w:cs="宋体"/>
          <w:color w:val="auto"/>
          <w:sz w:val="18"/>
          <w:highlight w:val="none"/>
        </w:rPr>
        <w:t>加盖投标人公章</w:t>
      </w:r>
      <w:r>
        <w:rPr>
          <w:rFonts w:hint="eastAsia" w:ascii="宋体" w:hAnsi="宋体" w:eastAsia="宋体" w:cs="宋体"/>
          <w:color w:val="auto"/>
          <w:sz w:val="18"/>
          <w:szCs w:val="21"/>
          <w:highlight w:val="none"/>
        </w:rPr>
        <w:t>。</w:t>
      </w:r>
    </w:p>
    <w:p w14:paraId="4A29B03A">
      <w:pPr>
        <w:pageBreakBefore w:val="0"/>
        <w:kinsoku/>
        <w:overflowPunct/>
        <w:bidi w:val="0"/>
        <w:spacing w:beforeLines="0" w:afterLines="0" w:line="360" w:lineRule="auto"/>
        <w:ind w:left="0" w:leftChars="0" w:right="0" w:firstLine="360" w:firstLineChars="200"/>
        <w:rPr>
          <w:rFonts w:hint="eastAsia" w:ascii="宋体" w:hAnsi="宋体" w:eastAsia="宋体" w:cs="宋体"/>
          <w:color w:val="auto"/>
          <w:sz w:val="18"/>
          <w:szCs w:val="21"/>
          <w:highlight w:val="none"/>
        </w:rPr>
      </w:pPr>
      <w:r>
        <w:rPr>
          <w:rFonts w:hint="eastAsia" w:ascii="宋体" w:hAnsi="宋体" w:cs="宋体"/>
          <w:color w:val="auto"/>
          <w:sz w:val="18"/>
          <w:szCs w:val="21"/>
          <w:highlight w:val="none"/>
          <w:lang w:val="en-US" w:eastAsia="zh-CN"/>
        </w:rPr>
        <w:t>4</w:t>
      </w:r>
      <w:r>
        <w:rPr>
          <w:rFonts w:hint="eastAsia" w:ascii="宋体" w:hAnsi="宋体" w:eastAsia="宋体" w:cs="宋体"/>
          <w:color w:val="auto"/>
          <w:sz w:val="18"/>
          <w:szCs w:val="21"/>
          <w:highlight w:val="none"/>
        </w:rPr>
        <w:t>.提供的扫描件资料必须清晰、明辨，否则投标人须自行承担后果</w:t>
      </w:r>
      <w:r>
        <w:rPr>
          <w:rFonts w:hint="eastAsia" w:ascii="宋体" w:hAnsi="宋体" w:eastAsia="宋体" w:cs="宋体"/>
          <w:color w:val="auto"/>
          <w:sz w:val="18"/>
          <w:highlight w:val="none"/>
        </w:rPr>
        <w:t>。</w:t>
      </w:r>
    </w:p>
    <w:p w14:paraId="37AAFCE6">
      <w:pPr>
        <w:pageBreakBefore w:val="0"/>
        <w:kinsoku/>
        <w:overflowPunct/>
        <w:bidi w:val="0"/>
        <w:spacing w:beforeLines="0" w:afterLines="0" w:line="360" w:lineRule="auto"/>
        <w:ind w:left="0" w:leftChars="0" w:right="0" w:firstLine="360" w:firstLineChars="200"/>
        <w:rPr>
          <w:rFonts w:hint="eastAsia" w:ascii="宋体" w:hAnsi="宋体" w:eastAsia="宋体" w:cs="宋体"/>
          <w:color w:val="auto"/>
          <w:sz w:val="18"/>
          <w:szCs w:val="21"/>
          <w:highlight w:val="none"/>
        </w:rPr>
      </w:pPr>
      <w:r>
        <w:rPr>
          <w:rFonts w:hint="eastAsia" w:ascii="宋体" w:hAnsi="宋体" w:cs="宋体"/>
          <w:color w:val="auto"/>
          <w:sz w:val="18"/>
          <w:szCs w:val="21"/>
          <w:highlight w:val="none"/>
          <w:lang w:val="en-US" w:eastAsia="zh-CN"/>
        </w:rPr>
        <w:t>5</w:t>
      </w:r>
      <w:r>
        <w:rPr>
          <w:rFonts w:hint="eastAsia" w:ascii="宋体" w:hAnsi="宋体" w:eastAsia="宋体" w:cs="宋体"/>
          <w:color w:val="auto"/>
          <w:sz w:val="18"/>
          <w:szCs w:val="21"/>
          <w:highlight w:val="none"/>
        </w:rPr>
        <w:t>.投标人在本表之外的地方重复上传本表要求的材料，与本表处上传的材料不一致的，以本表处上传的材料为准。</w:t>
      </w:r>
    </w:p>
    <w:p w14:paraId="05C00AD2">
      <w:pPr>
        <w:pageBreakBefore w:val="0"/>
        <w:kinsoku/>
        <w:overflowPunct/>
        <w:bidi w:val="0"/>
        <w:spacing w:beforeLines="0" w:afterLines="0" w:line="360" w:lineRule="auto"/>
        <w:ind w:left="0" w:leftChars="0" w:right="0"/>
        <w:rPr>
          <w:rFonts w:hint="eastAsia" w:ascii="宋体" w:hAnsi="宋体" w:eastAsia="宋体" w:cs="宋体"/>
          <w:color w:val="auto"/>
          <w:sz w:val="18"/>
          <w:szCs w:val="21"/>
          <w:highlight w:val="none"/>
        </w:rPr>
      </w:pPr>
    </w:p>
    <w:p w14:paraId="11CA85E9">
      <w:pPr>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br w:type="page"/>
      </w:r>
    </w:p>
    <w:p w14:paraId="5D98668A">
      <w:pPr>
        <w:pStyle w:val="27"/>
        <w:pageBreakBefore w:val="0"/>
        <w:kinsoku/>
        <w:overflowPunct/>
        <w:bidi w:val="0"/>
        <w:spacing w:beforeLines="0" w:afterLines="0" w:line="36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2"/>
          <w:szCs w:val="21"/>
          <w:highlight w:val="none"/>
        </w:rPr>
        <w:t>附表三</w:t>
      </w:r>
      <w:r>
        <w:rPr>
          <w:rFonts w:hint="eastAsia" w:ascii="宋体" w:hAnsi="宋体" w:eastAsia="宋体" w:cs="宋体"/>
          <w:color w:val="auto"/>
          <w:sz w:val="22"/>
          <w:szCs w:val="21"/>
          <w:highlight w:val="none"/>
          <w:lang w:val="en-US" w:eastAsia="zh-CN"/>
        </w:rPr>
        <w:t>(1)</w:t>
      </w:r>
      <w:r>
        <w:rPr>
          <w:rFonts w:hint="eastAsia" w:ascii="宋体" w:hAnsi="宋体" w:eastAsia="宋体" w:cs="宋体"/>
          <w:color w:val="auto"/>
          <w:sz w:val="22"/>
          <w:szCs w:val="21"/>
          <w:highlight w:val="none"/>
        </w:rPr>
        <w:t xml:space="preserve">  拟派驻本招标项目的项目负责人简历</w:t>
      </w:r>
    </w:p>
    <w:tbl>
      <w:tblPr>
        <w:tblStyle w:val="63"/>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20"/>
        <w:gridCol w:w="840"/>
        <w:gridCol w:w="1081"/>
        <w:gridCol w:w="1243"/>
        <w:gridCol w:w="830"/>
        <w:gridCol w:w="1473"/>
        <w:gridCol w:w="183"/>
        <w:gridCol w:w="2502"/>
      </w:tblGrid>
      <w:tr w14:paraId="5EAA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16EFFA03">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260" w:type="dxa"/>
            <w:gridSpan w:val="2"/>
            <w:vAlign w:val="center"/>
          </w:tcPr>
          <w:p w14:paraId="59328AE0">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1081" w:type="dxa"/>
            <w:vAlign w:val="center"/>
          </w:tcPr>
          <w:p w14:paraId="25FB9AD0">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243" w:type="dxa"/>
            <w:vAlign w:val="center"/>
          </w:tcPr>
          <w:p w14:paraId="22C72771">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2486" w:type="dxa"/>
            <w:gridSpan w:val="3"/>
            <w:vAlign w:val="center"/>
          </w:tcPr>
          <w:p w14:paraId="03DE7D7D">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2502" w:type="dxa"/>
            <w:vAlign w:val="center"/>
          </w:tcPr>
          <w:p w14:paraId="45AF01E5">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45FE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6192119">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260" w:type="dxa"/>
            <w:gridSpan w:val="2"/>
            <w:vAlign w:val="center"/>
          </w:tcPr>
          <w:p w14:paraId="1E269714">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1081" w:type="dxa"/>
            <w:vAlign w:val="center"/>
          </w:tcPr>
          <w:p w14:paraId="4334780F">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243" w:type="dxa"/>
            <w:vAlign w:val="center"/>
          </w:tcPr>
          <w:p w14:paraId="4EA4CCD8">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2486" w:type="dxa"/>
            <w:gridSpan w:val="3"/>
            <w:vAlign w:val="center"/>
          </w:tcPr>
          <w:p w14:paraId="713684F1">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502" w:type="dxa"/>
            <w:vAlign w:val="center"/>
          </w:tcPr>
          <w:p w14:paraId="0F6E74F0">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7AD4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41244382">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  业</w:t>
            </w:r>
          </w:p>
        </w:tc>
        <w:tc>
          <w:tcPr>
            <w:tcW w:w="8572" w:type="dxa"/>
            <w:gridSpan w:val="8"/>
          </w:tcPr>
          <w:p w14:paraId="5F914377">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4FA2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6" w:type="dxa"/>
            <w:gridSpan w:val="9"/>
            <w:vAlign w:val="center"/>
          </w:tcPr>
          <w:p w14:paraId="2533599B">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r>
              <w:rPr>
                <w:rFonts w:hint="eastAsia" w:ascii="宋体" w:hAnsi="宋体" w:eastAsia="宋体" w:cs="宋体"/>
                <w:snapToGrid w:val="0"/>
                <w:color w:val="auto"/>
                <w:kern w:val="0"/>
                <w:szCs w:val="21"/>
                <w:highlight w:val="none"/>
              </w:rPr>
              <w:t>（何时在哪些工程项目中任何职务）</w:t>
            </w:r>
          </w:p>
        </w:tc>
      </w:tr>
      <w:tr w14:paraId="2707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4" w:type="dxa"/>
            <w:gridSpan w:val="2"/>
            <w:vAlign w:val="center"/>
          </w:tcPr>
          <w:p w14:paraId="7104DB7C">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994" w:type="dxa"/>
            <w:gridSpan w:val="4"/>
            <w:vAlign w:val="center"/>
          </w:tcPr>
          <w:p w14:paraId="58B3A42B">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473" w:type="dxa"/>
            <w:vAlign w:val="center"/>
          </w:tcPr>
          <w:p w14:paraId="62FD8AF9">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685" w:type="dxa"/>
            <w:gridSpan w:val="2"/>
            <w:vAlign w:val="center"/>
          </w:tcPr>
          <w:p w14:paraId="690694AA">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01E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4" w:type="dxa"/>
            <w:gridSpan w:val="2"/>
          </w:tcPr>
          <w:p w14:paraId="38DF8367">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3994" w:type="dxa"/>
            <w:gridSpan w:val="4"/>
          </w:tcPr>
          <w:p w14:paraId="38E10408">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1473" w:type="dxa"/>
          </w:tcPr>
          <w:p w14:paraId="7B87E759">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2685" w:type="dxa"/>
            <w:gridSpan w:val="2"/>
          </w:tcPr>
          <w:p w14:paraId="0E8A8AF1">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4568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4" w:type="dxa"/>
            <w:gridSpan w:val="2"/>
            <w:vAlign w:val="center"/>
          </w:tcPr>
          <w:p w14:paraId="43AA684E">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3994" w:type="dxa"/>
            <w:gridSpan w:val="4"/>
            <w:vAlign w:val="center"/>
          </w:tcPr>
          <w:p w14:paraId="1EFB5123">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1473" w:type="dxa"/>
            <w:vAlign w:val="center"/>
          </w:tcPr>
          <w:p w14:paraId="65B7C039">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2685" w:type="dxa"/>
            <w:gridSpan w:val="2"/>
            <w:vAlign w:val="center"/>
          </w:tcPr>
          <w:p w14:paraId="672BC07E">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5070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4" w:type="dxa"/>
            <w:gridSpan w:val="2"/>
            <w:vAlign w:val="center"/>
          </w:tcPr>
          <w:p w14:paraId="61F5310F">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3994" w:type="dxa"/>
            <w:gridSpan w:val="4"/>
            <w:vAlign w:val="center"/>
          </w:tcPr>
          <w:p w14:paraId="3BBD5E06">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1473" w:type="dxa"/>
            <w:vAlign w:val="center"/>
          </w:tcPr>
          <w:p w14:paraId="137AD2CA">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2685" w:type="dxa"/>
            <w:gridSpan w:val="2"/>
            <w:vAlign w:val="center"/>
          </w:tcPr>
          <w:p w14:paraId="02612658">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4641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4" w:type="dxa"/>
            <w:gridSpan w:val="2"/>
            <w:vAlign w:val="center"/>
          </w:tcPr>
          <w:p w14:paraId="32889471">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3994" w:type="dxa"/>
            <w:gridSpan w:val="4"/>
            <w:vAlign w:val="center"/>
          </w:tcPr>
          <w:p w14:paraId="153AAB27">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1473" w:type="dxa"/>
            <w:vAlign w:val="center"/>
          </w:tcPr>
          <w:p w14:paraId="68041BBE">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2685" w:type="dxa"/>
            <w:gridSpan w:val="2"/>
            <w:vAlign w:val="center"/>
          </w:tcPr>
          <w:p w14:paraId="427B7BB3">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0450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6" w:type="dxa"/>
            <w:gridSpan w:val="9"/>
            <w:vAlign w:val="center"/>
          </w:tcPr>
          <w:p w14:paraId="1263F928">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eastAsia="宋体" w:cs="宋体"/>
                <w:snapToGrid w:val="0"/>
                <w:color w:val="auto"/>
                <w:kern w:val="0"/>
                <w:szCs w:val="21"/>
                <w:highlight w:val="none"/>
              </w:rPr>
              <w:t>（有何其他特殊才能，受过哪些奖励等）</w:t>
            </w:r>
          </w:p>
        </w:tc>
      </w:tr>
      <w:tr w14:paraId="1CA0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4" w:type="dxa"/>
            <w:gridSpan w:val="2"/>
            <w:vAlign w:val="center"/>
          </w:tcPr>
          <w:p w14:paraId="0DE0519E">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3994" w:type="dxa"/>
            <w:gridSpan w:val="4"/>
            <w:vAlign w:val="center"/>
          </w:tcPr>
          <w:p w14:paraId="3CD37BA3">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1473" w:type="dxa"/>
            <w:vAlign w:val="center"/>
          </w:tcPr>
          <w:p w14:paraId="49257003">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2685" w:type="dxa"/>
            <w:gridSpan w:val="2"/>
            <w:vAlign w:val="center"/>
          </w:tcPr>
          <w:p w14:paraId="7A5C4083">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2CD5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4" w:type="dxa"/>
            <w:gridSpan w:val="2"/>
            <w:vAlign w:val="center"/>
          </w:tcPr>
          <w:p w14:paraId="545742D8">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3994" w:type="dxa"/>
            <w:gridSpan w:val="4"/>
            <w:vAlign w:val="center"/>
          </w:tcPr>
          <w:p w14:paraId="6A5F4301">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1473" w:type="dxa"/>
            <w:vAlign w:val="center"/>
          </w:tcPr>
          <w:p w14:paraId="3A12C1A2">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2685" w:type="dxa"/>
            <w:gridSpan w:val="2"/>
            <w:vAlign w:val="center"/>
          </w:tcPr>
          <w:p w14:paraId="5A6DF57D">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bl>
    <w:p w14:paraId="2D64BC58">
      <w:pPr>
        <w:pageBreakBefore w:val="0"/>
        <w:kinsoku/>
        <w:overflowPunct/>
        <w:bidi w:val="0"/>
        <w:spacing w:beforeLines="0" w:afterLines="0" w:line="360" w:lineRule="auto"/>
        <w:ind w:left="0" w:leftChars="0" w:right="0"/>
        <w:jc w:val="left"/>
        <w:rPr>
          <w:rFonts w:hint="eastAsia" w:ascii="宋体" w:hAnsi="宋体" w:eastAsia="宋体" w:cs="宋体"/>
          <w:color w:val="auto"/>
          <w:szCs w:val="21"/>
          <w:highlight w:val="none"/>
        </w:rPr>
      </w:pPr>
    </w:p>
    <w:p w14:paraId="2587EDB9">
      <w:pPr>
        <w:pageBreakBefore w:val="0"/>
        <w:kinsoku/>
        <w:overflowPunct/>
        <w:bidi w:val="0"/>
        <w:spacing w:beforeLines="0" w:afterLines="0" w:line="360" w:lineRule="auto"/>
        <w:ind w:left="0" w:leftChars="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783DC110">
      <w:pPr>
        <w:pageBreakBefore w:val="0"/>
        <w:kinsoku/>
        <w:overflowPunct/>
        <w:bidi w:val="0"/>
        <w:spacing w:beforeLines="0" w:afterLines="0" w:line="360" w:lineRule="auto"/>
        <w:ind w:left="0" w:leftChars="0" w:right="0" w:firstLine="420" w:firstLineChars="200"/>
        <w:jc w:val="left"/>
        <w:rPr>
          <w:rFonts w:hint="eastAsia" w:ascii="宋体" w:hAnsi="宋体" w:eastAsia="宋体" w:cs="宋体"/>
          <w:color w:val="auto"/>
          <w:szCs w:val="21"/>
          <w:highlight w:val="none"/>
        </w:rPr>
      </w:pPr>
    </w:p>
    <w:p w14:paraId="3CD1CF5E">
      <w:pPr>
        <w:pStyle w:val="2"/>
        <w:pageBreakBefore w:val="0"/>
        <w:kinsoku/>
        <w:overflowPunct/>
        <w:bidi w:val="0"/>
        <w:spacing w:beforeLines="0" w:afterLines="0" w:line="360" w:lineRule="auto"/>
        <w:ind w:left="0" w:leftChars="0" w:right="0" w:firstLine="0" w:firstLineChars="0"/>
        <w:jc w:val="left"/>
        <w:rPr>
          <w:rFonts w:hint="eastAsia" w:ascii="宋体" w:hAnsi="宋体" w:eastAsia="宋体" w:cs="宋体"/>
          <w:color w:val="auto"/>
          <w:szCs w:val="21"/>
          <w:highlight w:val="none"/>
        </w:rPr>
      </w:pPr>
    </w:p>
    <w:p w14:paraId="50C9BA21">
      <w:pPr>
        <w:pageBreakBefore w:val="0"/>
        <w:kinsoku/>
        <w:overflowPunct/>
        <w:bidi w:val="0"/>
        <w:spacing w:beforeLines="0" w:afterLines="0" w:line="360" w:lineRule="auto"/>
        <w:ind w:left="0" w:leftChars="0" w:right="0"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21"/>
          <w:highlight w:val="none"/>
        </w:rPr>
        <w:t>注：1.</w:t>
      </w:r>
      <w:r>
        <w:rPr>
          <w:rFonts w:hint="eastAsia" w:ascii="宋体" w:hAnsi="宋体" w:eastAsia="宋体" w:cs="宋体"/>
          <w:color w:val="auto"/>
          <w:sz w:val="18"/>
          <w:szCs w:val="18"/>
          <w:highlight w:val="none"/>
        </w:rPr>
        <w:t>拟派项目负责人</w:t>
      </w:r>
      <w:r>
        <w:rPr>
          <w:rFonts w:hint="eastAsia" w:ascii="宋体" w:hAnsi="宋体" w:eastAsia="宋体" w:cs="宋体"/>
          <w:color w:val="auto"/>
          <w:sz w:val="18"/>
          <w:szCs w:val="21"/>
          <w:highlight w:val="none"/>
        </w:rPr>
        <w:t>和其他专业</w:t>
      </w:r>
      <w:r>
        <w:rPr>
          <w:rFonts w:hint="eastAsia" w:ascii="宋体" w:hAnsi="宋体" w:eastAsia="宋体" w:cs="宋体"/>
          <w:color w:val="auto"/>
          <w:sz w:val="18"/>
          <w:szCs w:val="21"/>
          <w:highlight w:val="none"/>
          <w:lang w:eastAsia="zh-CN"/>
        </w:rPr>
        <w:t>造价咨询人员</w:t>
      </w:r>
      <w:r>
        <w:rPr>
          <w:rFonts w:hint="eastAsia" w:ascii="宋体" w:hAnsi="宋体" w:eastAsia="宋体" w:cs="宋体"/>
          <w:color w:val="auto"/>
          <w:sz w:val="18"/>
          <w:szCs w:val="18"/>
          <w:highlight w:val="none"/>
        </w:rPr>
        <w:t>（如有）应分别应填写本表，且表后须分别附个人的相关资格证明文件（包括身份证）扫描件并加盖投标人公章。</w:t>
      </w:r>
    </w:p>
    <w:p w14:paraId="29173A89">
      <w:pPr>
        <w:pageBreakBefore w:val="0"/>
        <w:kinsoku/>
        <w:overflowPunct/>
        <w:bidi w:val="0"/>
        <w:spacing w:beforeLines="0" w:afterLines="0" w:line="360" w:lineRule="auto"/>
        <w:ind w:left="0" w:leftChars="0" w:right="0"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2.项目负责人、其他专业</w:t>
      </w:r>
      <w:r>
        <w:rPr>
          <w:rFonts w:hint="eastAsia" w:ascii="宋体" w:hAnsi="宋体" w:eastAsia="宋体" w:cs="宋体"/>
          <w:color w:val="auto"/>
          <w:sz w:val="18"/>
          <w:szCs w:val="18"/>
          <w:highlight w:val="none"/>
          <w:lang w:eastAsia="zh-CN"/>
        </w:rPr>
        <w:t>造价咨询人员</w:t>
      </w:r>
      <w:r>
        <w:rPr>
          <w:rFonts w:hint="eastAsia" w:ascii="宋体" w:hAnsi="宋体" w:eastAsia="宋体" w:cs="宋体"/>
          <w:color w:val="auto"/>
          <w:sz w:val="18"/>
          <w:szCs w:val="18"/>
          <w:highlight w:val="none"/>
        </w:rPr>
        <w:t>（如有）未按要求签字的，将被认为资格审查不合格。</w:t>
      </w:r>
    </w:p>
    <w:p w14:paraId="64D0EC75">
      <w:pPr>
        <w:pStyle w:val="183"/>
        <w:pageBreakBefore w:val="0"/>
        <w:kinsoku/>
        <w:overflowPunct/>
        <w:bidi w:val="0"/>
        <w:spacing w:beforeLines="0" w:afterLines="0" w:line="360" w:lineRule="auto"/>
        <w:ind w:left="0" w:leftChars="0" w:right="0" w:firstLine="360" w:firstLineChars="200"/>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3.表后</w:t>
      </w:r>
      <w:r>
        <w:rPr>
          <w:rFonts w:hint="eastAsia" w:ascii="宋体" w:hAnsi="宋体" w:eastAsia="宋体" w:cs="宋体"/>
          <w:color w:val="auto"/>
          <w:sz w:val="18"/>
          <w:szCs w:val="21"/>
          <w:highlight w:val="none"/>
        </w:rPr>
        <w:t>须</w:t>
      </w:r>
      <w:r>
        <w:rPr>
          <w:rFonts w:hint="eastAsia" w:ascii="宋体" w:hAnsi="宋体" w:eastAsia="宋体" w:cs="宋体"/>
          <w:color w:val="auto"/>
          <w:sz w:val="18"/>
          <w:szCs w:val="16"/>
          <w:highlight w:val="none"/>
        </w:rPr>
        <w:t>附拟派项目负责人有无在在建项目任职或参与其他项目投标的声明（格式自拟，须提交扫描件并加盖投标人公章），一名项目负责人可担任一项建设工程</w:t>
      </w:r>
      <w:r>
        <w:rPr>
          <w:rFonts w:hint="eastAsia" w:ascii="宋体" w:hAnsi="宋体" w:eastAsia="宋体" w:cs="宋体"/>
          <w:color w:val="auto"/>
          <w:sz w:val="18"/>
          <w:szCs w:val="16"/>
          <w:highlight w:val="none"/>
          <w:lang w:eastAsia="zh-CN"/>
        </w:rPr>
        <w:t>造价咨询</w:t>
      </w:r>
      <w:r>
        <w:rPr>
          <w:rFonts w:hint="eastAsia" w:ascii="宋体" w:hAnsi="宋体" w:eastAsia="宋体" w:cs="宋体"/>
          <w:color w:val="auto"/>
          <w:sz w:val="18"/>
          <w:szCs w:val="16"/>
          <w:highlight w:val="none"/>
        </w:rPr>
        <w:t>合同的项目负责人。当需要同时担任多项建设工程</w:t>
      </w:r>
      <w:r>
        <w:rPr>
          <w:rFonts w:hint="eastAsia" w:ascii="宋体" w:hAnsi="宋体" w:eastAsia="宋体" w:cs="宋体"/>
          <w:color w:val="auto"/>
          <w:sz w:val="18"/>
          <w:szCs w:val="16"/>
          <w:highlight w:val="none"/>
          <w:lang w:eastAsia="zh-CN"/>
        </w:rPr>
        <w:t>造价咨询</w:t>
      </w:r>
      <w:r>
        <w:rPr>
          <w:rFonts w:hint="eastAsia" w:ascii="宋体" w:hAnsi="宋体" w:eastAsia="宋体" w:cs="宋体"/>
          <w:color w:val="auto"/>
          <w:sz w:val="18"/>
          <w:szCs w:val="16"/>
          <w:highlight w:val="none"/>
        </w:rPr>
        <w:t>合同的项目负责人时，应经建设单位书面同意，且最多不得超过三项。</w:t>
      </w:r>
    </w:p>
    <w:p w14:paraId="2468E1DC">
      <w:pPr>
        <w:pageBreakBefore w:val="0"/>
        <w:tabs>
          <w:tab w:val="left" w:pos="720"/>
        </w:tabs>
        <w:kinsoku/>
        <w:overflowPunct/>
        <w:bidi w:val="0"/>
        <w:spacing w:beforeLines="0" w:afterLines="0" w:line="360" w:lineRule="auto"/>
        <w:ind w:left="0" w:leftChars="0" w:right="0" w:firstLine="360" w:firstLineChars="200"/>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4.表后需附投标人近期为所填相关人员缴纳社保资金的有效社保证明材料的扫描件并加盖投标人公章，以投标人（或其分支机构）所属当地社保管理部门出具的证明材料为准；项目负责人社保时间要求详见</w:t>
      </w:r>
      <w:r>
        <w:rPr>
          <w:rFonts w:hint="eastAsia" w:ascii="宋体" w:hAnsi="宋体" w:cs="宋体"/>
          <w:color w:val="auto"/>
          <w:sz w:val="18"/>
          <w:szCs w:val="21"/>
          <w:highlight w:val="none"/>
          <w:lang w:eastAsia="zh-CN"/>
        </w:rPr>
        <w:t>招标公告</w:t>
      </w:r>
      <w:r>
        <w:rPr>
          <w:rFonts w:hint="eastAsia" w:ascii="宋体" w:hAnsi="宋体" w:eastAsia="宋体" w:cs="宋体"/>
          <w:color w:val="auto"/>
          <w:sz w:val="18"/>
          <w:szCs w:val="21"/>
          <w:highlight w:val="none"/>
        </w:rPr>
        <w:t>；其他专业</w:t>
      </w:r>
      <w:r>
        <w:rPr>
          <w:rFonts w:hint="eastAsia" w:ascii="宋体" w:hAnsi="宋体" w:eastAsia="宋体" w:cs="宋体"/>
          <w:color w:val="auto"/>
          <w:sz w:val="18"/>
          <w:szCs w:val="21"/>
          <w:highlight w:val="none"/>
          <w:lang w:eastAsia="zh-CN"/>
        </w:rPr>
        <w:t>造价咨询人员</w:t>
      </w:r>
      <w:r>
        <w:rPr>
          <w:rFonts w:hint="eastAsia" w:ascii="宋体" w:hAnsi="宋体" w:eastAsia="宋体" w:cs="宋体"/>
          <w:color w:val="auto"/>
          <w:sz w:val="18"/>
          <w:szCs w:val="21"/>
          <w:highlight w:val="none"/>
        </w:rPr>
        <w:t>（如有）社保时间要求按照评分标准要求一致，如评分标准没有设置其他专业</w:t>
      </w:r>
      <w:r>
        <w:rPr>
          <w:rFonts w:hint="eastAsia" w:ascii="宋体" w:hAnsi="宋体" w:eastAsia="宋体" w:cs="宋体"/>
          <w:color w:val="auto"/>
          <w:sz w:val="18"/>
          <w:szCs w:val="21"/>
          <w:highlight w:val="none"/>
          <w:lang w:eastAsia="zh-CN"/>
        </w:rPr>
        <w:t>造价咨询人员</w:t>
      </w:r>
      <w:r>
        <w:rPr>
          <w:rFonts w:hint="eastAsia" w:ascii="宋体" w:hAnsi="宋体" w:eastAsia="宋体" w:cs="宋体"/>
          <w:color w:val="auto"/>
          <w:sz w:val="18"/>
          <w:szCs w:val="21"/>
          <w:highlight w:val="none"/>
        </w:rPr>
        <w:t>的评分项则应与附表二项目管理团队配备情况表中的人员社保时间要求一致。</w:t>
      </w:r>
    </w:p>
    <w:p w14:paraId="701649CD">
      <w:pPr>
        <w:pageBreakBefore w:val="0"/>
        <w:tabs>
          <w:tab w:val="left" w:pos="720"/>
        </w:tabs>
        <w:kinsoku/>
        <w:overflowPunct/>
        <w:bidi w:val="0"/>
        <w:spacing w:beforeLines="0" w:afterLines="0" w:line="360" w:lineRule="auto"/>
        <w:ind w:left="0" w:leftChars="0" w:right="0" w:firstLine="360" w:firstLineChars="200"/>
        <w:rPr>
          <w:rFonts w:hint="eastAsia" w:ascii="宋体" w:hAnsi="宋体" w:eastAsia="宋体" w:cs="宋体"/>
          <w:color w:val="auto"/>
          <w:kern w:val="0"/>
          <w:sz w:val="18"/>
          <w:szCs w:val="16"/>
          <w:highlight w:val="none"/>
        </w:rPr>
      </w:pPr>
      <w:r>
        <w:rPr>
          <w:rFonts w:hint="eastAsia" w:ascii="宋体" w:hAnsi="宋体" w:cs="宋体"/>
          <w:color w:val="auto"/>
          <w:kern w:val="0"/>
          <w:sz w:val="18"/>
          <w:szCs w:val="16"/>
          <w:highlight w:val="none"/>
          <w:lang w:val="en-US" w:eastAsia="zh-CN"/>
        </w:rPr>
        <w:t>5</w:t>
      </w:r>
      <w:r>
        <w:rPr>
          <w:rFonts w:hint="eastAsia" w:ascii="宋体" w:hAnsi="宋体" w:eastAsia="宋体" w:cs="宋体"/>
          <w:color w:val="auto"/>
          <w:kern w:val="0"/>
          <w:sz w:val="18"/>
          <w:szCs w:val="16"/>
          <w:highlight w:val="none"/>
        </w:rPr>
        <w:t>.属于广东省以外的投标人（包括联合体各成员）的上述人员，</w:t>
      </w:r>
      <w:r>
        <w:rPr>
          <w:rFonts w:hint="eastAsia" w:ascii="宋体" w:hAnsi="宋体" w:eastAsia="宋体" w:cs="宋体"/>
          <w:color w:val="auto"/>
          <w:sz w:val="18"/>
          <w:szCs w:val="21"/>
          <w:highlight w:val="none"/>
        </w:rPr>
        <w:t>须</w:t>
      </w:r>
      <w:r>
        <w:rPr>
          <w:rFonts w:hint="eastAsia" w:ascii="宋体" w:hAnsi="宋体" w:eastAsia="宋体" w:cs="宋体"/>
          <w:color w:val="auto"/>
          <w:kern w:val="0"/>
          <w:sz w:val="18"/>
          <w:szCs w:val="16"/>
          <w:highlight w:val="none"/>
        </w:rPr>
        <w:t>附在广东建设信息网（网址：www.gdcic.net）“进粤企业和人员诚信信息登记平台”专栏关于投标人进粤企业及人员信息登记的查询网页打印件并加盖投标人公章。</w:t>
      </w:r>
    </w:p>
    <w:p w14:paraId="36BBE404">
      <w:pPr>
        <w:pageBreakBefore w:val="0"/>
        <w:tabs>
          <w:tab w:val="left" w:pos="720"/>
        </w:tabs>
        <w:kinsoku/>
        <w:overflowPunct/>
        <w:bidi w:val="0"/>
        <w:spacing w:beforeLines="0" w:afterLines="0" w:line="360" w:lineRule="auto"/>
        <w:ind w:left="0" w:leftChars="0" w:right="0" w:firstLine="360" w:firstLineChars="200"/>
        <w:rPr>
          <w:rFonts w:hint="eastAsia" w:ascii="宋体" w:hAnsi="宋体" w:eastAsia="宋体" w:cs="宋体"/>
          <w:color w:val="auto"/>
          <w:kern w:val="0"/>
          <w:sz w:val="18"/>
          <w:szCs w:val="16"/>
          <w:highlight w:val="none"/>
        </w:rPr>
      </w:pPr>
      <w:r>
        <w:rPr>
          <w:rFonts w:hint="eastAsia" w:ascii="宋体" w:hAnsi="宋体" w:cs="宋体"/>
          <w:color w:val="auto"/>
          <w:kern w:val="0"/>
          <w:sz w:val="18"/>
          <w:szCs w:val="16"/>
          <w:highlight w:val="none"/>
          <w:lang w:val="en-US" w:eastAsia="zh-CN"/>
        </w:rPr>
        <w:t>6</w:t>
      </w:r>
      <w:r>
        <w:rPr>
          <w:rFonts w:hint="eastAsia" w:ascii="宋体" w:hAnsi="宋体" w:eastAsia="宋体" w:cs="宋体"/>
          <w:color w:val="auto"/>
          <w:kern w:val="0"/>
          <w:sz w:val="18"/>
          <w:szCs w:val="16"/>
          <w:highlight w:val="none"/>
        </w:rPr>
        <w:t>.提供的扫描件资料必须清晰、明辨，否则投标人须自行承担后果。</w:t>
      </w:r>
    </w:p>
    <w:p w14:paraId="3410715B">
      <w:pPr>
        <w:pStyle w:val="62"/>
        <w:pageBreakBefore w:val="0"/>
        <w:kinsoku/>
        <w:overflowPunct/>
        <w:bidi w:val="0"/>
        <w:spacing w:beforeLines="0" w:after="0" w:afterLines="0" w:line="360" w:lineRule="auto"/>
        <w:ind w:left="0" w:leftChars="0" w:right="0" w:firstLine="360" w:firstLineChars="200"/>
        <w:rPr>
          <w:rFonts w:hint="eastAsia" w:ascii="宋体" w:hAnsi="宋体" w:eastAsia="宋体" w:cs="宋体"/>
          <w:color w:val="auto"/>
          <w:kern w:val="0"/>
          <w:sz w:val="18"/>
          <w:szCs w:val="16"/>
          <w:highlight w:val="none"/>
        </w:rPr>
      </w:pPr>
      <w:r>
        <w:rPr>
          <w:rFonts w:hint="eastAsia" w:ascii="宋体" w:hAnsi="宋体" w:cs="宋体"/>
          <w:color w:val="auto"/>
          <w:kern w:val="0"/>
          <w:sz w:val="18"/>
          <w:szCs w:val="16"/>
          <w:highlight w:val="none"/>
          <w:lang w:val="en-US" w:eastAsia="zh-CN"/>
        </w:rPr>
        <w:t>7</w:t>
      </w:r>
      <w:r>
        <w:rPr>
          <w:rFonts w:hint="eastAsia" w:ascii="宋体" w:hAnsi="宋体" w:eastAsia="宋体" w:cs="宋体"/>
          <w:color w:val="auto"/>
          <w:kern w:val="0"/>
          <w:sz w:val="18"/>
          <w:szCs w:val="16"/>
          <w:highlight w:val="none"/>
        </w:rPr>
        <w:t>.</w:t>
      </w:r>
      <w:r>
        <w:rPr>
          <w:rFonts w:hint="eastAsia" w:ascii="宋体" w:hAnsi="宋体" w:eastAsia="宋体" w:cs="宋体"/>
          <w:color w:val="auto"/>
          <w:sz w:val="18"/>
          <w:szCs w:val="21"/>
          <w:highlight w:val="none"/>
        </w:rPr>
        <w:t>投标人在本表之外的地方重复上传本表要求的材料，与本表处上传的材料不一致的，以本表处上传的材料为准</w:t>
      </w:r>
      <w:r>
        <w:rPr>
          <w:rFonts w:hint="eastAsia" w:ascii="宋体" w:hAnsi="宋体" w:eastAsia="宋体" w:cs="宋体"/>
          <w:color w:val="auto"/>
          <w:kern w:val="0"/>
          <w:sz w:val="18"/>
          <w:szCs w:val="16"/>
          <w:highlight w:val="none"/>
        </w:rPr>
        <w:t>。</w:t>
      </w:r>
    </w:p>
    <w:p w14:paraId="05D25F60">
      <w:pPr>
        <w:pageBreakBefore w:val="0"/>
        <w:kinsoku/>
        <w:overflowPunct/>
        <w:bidi w:val="0"/>
        <w:spacing w:beforeLines="0" w:afterLines="0" w:line="360" w:lineRule="auto"/>
        <w:ind w:left="0" w:leftChars="0" w:right="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br w:type="page"/>
      </w:r>
    </w:p>
    <w:p w14:paraId="7DF366B7">
      <w:pPr>
        <w:pageBreakBefore w:val="0"/>
        <w:kinsoku/>
        <w:overflowPunct/>
        <w:bidi w:val="0"/>
        <w:spacing w:beforeLines="0" w:afterLines="0" w:line="360" w:lineRule="auto"/>
        <w:ind w:left="0" w:leftChars="0" w:right="0"/>
        <w:rPr>
          <w:rFonts w:hint="eastAsia" w:ascii="宋体" w:hAnsi="宋体" w:eastAsia="宋体" w:cs="宋体"/>
          <w:color w:val="auto"/>
          <w:sz w:val="18"/>
          <w:szCs w:val="21"/>
          <w:highlight w:val="none"/>
        </w:rPr>
      </w:pPr>
    </w:p>
    <w:p w14:paraId="1A158938">
      <w:pPr>
        <w:pStyle w:val="27"/>
        <w:pageBreakBefore w:val="0"/>
        <w:kinsoku/>
        <w:overflowPunct/>
        <w:bidi w:val="0"/>
        <w:spacing w:beforeLines="0" w:afterLines="0" w:line="360" w:lineRule="auto"/>
        <w:ind w:left="0" w:leftChars="0" w:right="0" w:firstLine="0"/>
        <w:rPr>
          <w:rFonts w:hint="eastAsia" w:ascii="宋体" w:hAnsi="宋体" w:eastAsia="宋体" w:cs="宋体"/>
          <w:color w:val="auto"/>
          <w:sz w:val="21"/>
          <w:szCs w:val="21"/>
          <w:highlight w:val="none"/>
        </w:rPr>
      </w:pPr>
      <w:r>
        <w:rPr>
          <w:rFonts w:hint="eastAsia" w:ascii="宋体" w:hAnsi="宋体" w:eastAsia="宋体" w:cs="宋体"/>
          <w:color w:val="auto"/>
          <w:sz w:val="22"/>
          <w:szCs w:val="21"/>
          <w:highlight w:val="none"/>
        </w:rPr>
        <w:t>附表三</w:t>
      </w:r>
      <w:r>
        <w:rPr>
          <w:rFonts w:hint="eastAsia" w:ascii="宋体" w:hAnsi="宋体" w:eastAsia="宋体" w:cs="宋体"/>
          <w:color w:val="auto"/>
          <w:sz w:val="22"/>
          <w:szCs w:val="21"/>
          <w:highlight w:val="none"/>
          <w:lang w:val="en-US" w:eastAsia="zh-CN"/>
        </w:rPr>
        <w:t>(2)</w:t>
      </w:r>
      <w:r>
        <w:rPr>
          <w:rFonts w:hint="eastAsia" w:ascii="宋体" w:hAnsi="宋体" w:eastAsia="宋体" w:cs="宋体"/>
          <w:color w:val="auto"/>
          <w:sz w:val="22"/>
          <w:szCs w:val="21"/>
          <w:highlight w:val="none"/>
        </w:rPr>
        <w:t xml:space="preserve">  拟派驻本招标项目的其他专业</w:t>
      </w:r>
      <w:r>
        <w:rPr>
          <w:rFonts w:hint="eastAsia" w:ascii="宋体" w:hAnsi="宋体" w:eastAsia="宋体" w:cs="宋体"/>
          <w:color w:val="auto"/>
          <w:sz w:val="22"/>
          <w:szCs w:val="21"/>
          <w:highlight w:val="none"/>
          <w:lang w:eastAsia="zh-CN"/>
        </w:rPr>
        <w:t>造价咨询人员</w:t>
      </w:r>
      <w:r>
        <w:rPr>
          <w:rFonts w:hint="eastAsia" w:ascii="宋体" w:hAnsi="宋体" w:eastAsia="宋体" w:cs="宋体"/>
          <w:color w:val="auto"/>
          <w:sz w:val="22"/>
          <w:szCs w:val="21"/>
          <w:highlight w:val="none"/>
        </w:rPr>
        <w:t>（如有）简历</w:t>
      </w:r>
    </w:p>
    <w:tbl>
      <w:tblPr>
        <w:tblStyle w:val="63"/>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20"/>
        <w:gridCol w:w="840"/>
        <w:gridCol w:w="1081"/>
        <w:gridCol w:w="1243"/>
        <w:gridCol w:w="830"/>
        <w:gridCol w:w="1473"/>
        <w:gridCol w:w="183"/>
        <w:gridCol w:w="2502"/>
      </w:tblGrid>
      <w:tr w14:paraId="69DE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60DFA3B0">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260" w:type="dxa"/>
            <w:gridSpan w:val="2"/>
            <w:vAlign w:val="center"/>
          </w:tcPr>
          <w:p w14:paraId="05076D68">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1081" w:type="dxa"/>
            <w:vAlign w:val="center"/>
          </w:tcPr>
          <w:p w14:paraId="4E318E79">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243" w:type="dxa"/>
            <w:vAlign w:val="center"/>
          </w:tcPr>
          <w:p w14:paraId="380E76FA">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2486" w:type="dxa"/>
            <w:gridSpan w:val="3"/>
            <w:vAlign w:val="center"/>
          </w:tcPr>
          <w:p w14:paraId="0BA4E118">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2502" w:type="dxa"/>
            <w:vAlign w:val="center"/>
          </w:tcPr>
          <w:p w14:paraId="1E048386">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16C3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5A957CB8">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260" w:type="dxa"/>
            <w:gridSpan w:val="2"/>
            <w:vAlign w:val="center"/>
          </w:tcPr>
          <w:p w14:paraId="5941F26F">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1081" w:type="dxa"/>
            <w:vAlign w:val="center"/>
          </w:tcPr>
          <w:p w14:paraId="054D9BAF">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243" w:type="dxa"/>
            <w:vAlign w:val="center"/>
          </w:tcPr>
          <w:p w14:paraId="557FFB90">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2486" w:type="dxa"/>
            <w:gridSpan w:val="3"/>
            <w:vAlign w:val="center"/>
          </w:tcPr>
          <w:p w14:paraId="362B0149">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502" w:type="dxa"/>
            <w:vAlign w:val="center"/>
          </w:tcPr>
          <w:p w14:paraId="34299E38">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6D0E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3F2DD818">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  业</w:t>
            </w:r>
          </w:p>
        </w:tc>
        <w:tc>
          <w:tcPr>
            <w:tcW w:w="8572" w:type="dxa"/>
            <w:gridSpan w:val="8"/>
          </w:tcPr>
          <w:p w14:paraId="067DBBCC">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r>
      <w:tr w14:paraId="3115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6" w:type="dxa"/>
            <w:gridSpan w:val="9"/>
            <w:vAlign w:val="center"/>
          </w:tcPr>
          <w:p w14:paraId="48163CE6">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r>
              <w:rPr>
                <w:rFonts w:hint="eastAsia" w:ascii="宋体" w:hAnsi="宋体" w:eastAsia="宋体" w:cs="宋体"/>
                <w:snapToGrid w:val="0"/>
                <w:color w:val="auto"/>
                <w:kern w:val="0"/>
                <w:szCs w:val="21"/>
                <w:highlight w:val="none"/>
              </w:rPr>
              <w:t>（何时在哪些工程项目中任何职务）</w:t>
            </w:r>
          </w:p>
        </w:tc>
      </w:tr>
      <w:tr w14:paraId="4741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4" w:type="dxa"/>
            <w:gridSpan w:val="2"/>
            <w:vAlign w:val="center"/>
          </w:tcPr>
          <w:p w14:paraId="48C69305">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994" w:type="dxa"/>
            <w:gridSpan w:val="4"/>
            <w:vAlign w:val="center"/>
          </w:tcPr>
          <w:p w14:paraId="186EDC5E">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473" w:type="dxa"/>
            <w:vAlign w:val="center"/>
          </w:tcPr>
          <w:p w14:paraId="6A931FF9">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685" w:type="dxa"/>
            <w:gridSpan w:val="2"/>
            <w:vAlign w:val="center"/>
          </w:tcPr>
          <w:p w14:paraId="077A7F03">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F5B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4" w:type="dxa"/>
            <w:gridSpan w:val="2"/>
          </w:tcPr>
          <w:p w14:paraId="72C3487C">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3994" w:type="dxa"/>
            <w:gridSpan w:val="4"/>
          </w:tcPr>
          <w:p w14:paraId="08058E9F">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1473" w:type="dxa"/>
          </w:tcPr>
          <w:p w14:paraId="289F2788">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2685" w:type="dxa"/>
            <w:gridSpan w:val="2"/>
          </w:tcPr>
          <w:p w14:paraId="70B4CB71">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010A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4" w:type="dxa"/>
            <w:gridSpan w:val="2"/>
            <w:vAlign w:val="center"/>
          </w:tcPr>
          <w:p w14:paraId="781BEF22">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3994" w:type="dxa"/>
            <w:gridSpan w:val="4"/>
            <w:vAlign w:val="center"/>
          </w:tcPr>
          <w:p w14:paraId="05D42D2C">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1473" w:type="dxa"/>
            <w:vAlign w:val="center"/>
          </w:tcPr>
          <w:p w14:paraId="0FF7AD2A">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2685" w:type="dxa"/>
            <w:gridSpan w:val="2"/>
            <w:vAlign w:val="center"/>
          </w:tcPr>
          <w:p w14:paraId="46C28F48">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4C76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4" w:type="dxa"/>
            <w:gridSpan w:val="2"/>
            <w:vAlign w:val="center"/>
          </w:tcPr>
          <w:p w14:paraId="6D4DA692">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3994" w:type="dxa"/>
            <w:gridSpan w:val="4"/>
            <w:vAlign w:val="center"/>
          </w:tcPr>
          <w:p w14:paraId="4F000B7D">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1473" w:type="dxa"/>
            <w:vAlign w:val="center"/>
          </w:tcPr>
          <w:p w14:paraId="529BEE06">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2685" w:type="dxa"/>
            <w:gridSpan w:val="2"/>
            <w:vAlign w:val="center"/>
          </w:tcPr>
          <w:p w14:paraId="5B04FF1F">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3C25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4" w:type="dxa"/>
            <w:gridSpan w:val="2"/>
            <w:vAlign w:val="center"/>
          </w:tcPr>
          <w:p w14:paraId="16AA4DEB">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3994" w:type="dxa"/>
            <w:gridSpan w:val="4"/>
            <w:vAlign w:val="center"/>
          </w:tcPr>
          <w:p w14:paraId="0E38B444">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1473" w:type="dxa"/>
            <w:vAlign w:val="center"/>
          </w:tcPr>
          <w:p w14:paraId="13368403">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2685" w:type="dxa"/>
            <w:gridSpan w:val="2"/>
            <w:vAlign w:val="center"/>
          </w:tcPr>
          <w:p w14:paraId="4A2C8C41">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3943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6" w:type="dxa"/>
            <w:gridSpan w:val="9"/>
            <w:vAlign w:val="center"/>
          </w:tcPr>
          <w:p w14:paraId="30159181">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eastAsia="宋体" w:cs="宋体"/>
                <w:snapToGrid w:val="0"/>
                <w:color w:val="auto"/>
                <w:kern w:val="0"/>
                <w:szCs w:val="21"/>
                <w:highlight w:val="none"/>
              </w:rPr>
              <w:t>（有何其他特殊才能，受过哪些奖励等）</w:t>
            </w:r>
          </w:p>
        </w:tc>
      </w:tr>
      <w:tr w14:paraId="0847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4" w:type="dxa"/>
            <w:gridSpan w:val="2"/>
            <w:vAlign w:val="center"/>
          </w:tcPr>
          <w:p w14:paraId="2C272F89">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3994" w:type="dxa"/>
            <w:gridSpan w:val="4"/>
            <w:vAlign w:val="center"/>
          </w:tcPr>
          <w:p w14:paraId="0E547AAF">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1473" w:type="dxa"/>
            <w:vAlign w:val="center"/>
          </w:tcPr>
          <w:p w14:paraId="35CAF3A5">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2685" w:type="dxa"/>
            <w:gridSpan w:val="2"/>
            <w:vAlign w:val="center"/>
          </w:tcPr>
          <w:p w14:paraId="6DC1E22D">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6B6D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04" w:type="dxa"/>
            <w:gridSpan w:val="2"/>
            <w:vAlign w:val="center"/>
          </w:tcPr>
          <w:p w14:paraId="1331BA9F">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3994" w:type="dxa"/>
            <w:gridSpan w:val="4"/>
            <w:vAlign w:val="center"/>
          </w:tcPr>
          <w:p w14:paraId="72F3B723">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1473" w:type="dxa"/>
            <w:vAlign w:val="center"/>
          </w:tcPr>
          <w:p w14:paraId="44A5FD41">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c>
          <w:tcPr>
            <w:tcW w:w="2685" w:type="dxa"/>
            <w:gridSpan w:val="2"/>
            <w:vAlign w:val="center"/>
          </w:tcPr>
          <w:p w14:paraId="663AAB6E">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bl>
    <w:p w14:paraId="3BF54E63">
      <w:pPr>
        <w:pageBreakBefore w:val="0"/>
        <w:kinsoku/>
        <w:overflowPunct/>
        <w:bidi w:val="0"/>
        <w:spacing w:beforeLines="0" w:afterLines="0" w:line="360" w:lineRule="auto"/>
        <w:ind w:left="0" w:leftChars="0" w:right="0"/>
        <w:jc w:val="left"/>
        <w:rPr>
          <w:rFonts w:hint="eastAsia" w:ascii="宋体" w:hAnsi="宋体" w:eastAsia="宋体" w:cs="宋体"/>
          <w:color w:val="auto"/>
          <w:szCs w:val="21"/>
          <w:highlight w:val="none"/>
        </w:rPr>
      </w:pPr>
    </w:p>
    <w:p w14:paraId="03912D0F">
      <w:pPr>
        <w:pageBreakBefore w:val="0"/>
        <w:kinsoku/>
        <w:overflowPunct/>
        <w:bidi w:val="0"/>
        <w:spacing w:beforeLines="0" w:afterLines="0" w:line="360" w:lineRule="auto"/>
        <w:ind w:left="0" w:leftChars="0" w:right="0" w:firstLine="420" w:firstLineChars="200"/>
        <w:jc w:val="left"/>
        <w:rPr>
          <w:rFonts w:hint="eastAsia" w:ascii="宋体" w:hAnsi="宋体" w:eastAsia="宋体" w:cs="宋体"/>
          <w:color w:val="auto"/>
          <w:szCs w:val="21"/>
          <w:highlight w:val="none"/>
        </w:rPr>
      </w:pPr>
    </w:p>
    <w:p w14:paraId="5C386B38">
      <w:pPr>
        <w:pageBreakBefore w:val="0"/>
        <w:kinsoku/>
        <w:overflowPunct/>
        <w:bidi w:val="0"/>
        <w:spacing w:beforeLines="0" w:afterLines="0" w:line="360" w:lineRule="auto"/>
        <w:ind w:left="0" w:leftChars="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其他专业</w:t>
      </w:r>
      <w:r>
        <w:rPr>
          <w:rFonts w:hint="eastAsia" w:ascii="宋体" w:hAnsi="宋体" w:eastAsia="宋体" w:cs="宋体"/>
          <w:color w:val="auto"/>
          <w:szCs w:val="21"/>
          <w:highlight w:val="none"/>
          <w:lang w:eastAsia="zh-CN"/>
        </w:rPr>
        <w:t>造价咨询人员</w:t>
      </w:r>
      <w:r>
        <w:rPr>
          <w:rFonts w:hint="eastAsia" w:ascii="宋体" w:hAnsi="宋体" w:eastAsia="宋体" w:cs="宋体"/>
          <w:color w:val="auto"/>
          <w:szCs w:val="21"/>
          <w:highlight w:val="none"/>
        </w:rPr>
        <w:t>（如有）：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65641A93">
      <w:pPr>
        <w:pStyle w:val="2"/>
        <w:pageBreakBefore w:val="0"/>
        <w:kinsoku/>
        <w:overflowPunct/>
        <w:bidi w:val="0"/>
        <w:spacing w:beforeLines="0" w:afterLines="0" w:line="360" w:lineRule="auto"/>
        <w:ind w:left="0" w:leftChars="0" w:right="0" w:firstLine="0" w:firstLineChars="0"/>
        <w:jc w:val="left"/>
        <w:rPr>
          <w:rFonts w:hint="eastAsia" w:ascii="宋体" w:hAnsi="宋体" w:eastAsia="宋体" w:cs="宋体"/>
          <w:color w:val="auto"/>
          <w:szCs w:val="21"/>
          <w:highlight w:val="none"/>
        </w:rPr>
      </w:pPr>
    </w:p>
    <w:p w14:paraId="6A4D6EE3">
      <w:pPr>
        <w:pageBreakBefore w:val="0"/>
        <w:kinsoku/>
        <w:overflowPunct/>
        <w:bidi w:val="0"/>
        <w:spacing w:beforeLines="0" w:afterLines="0" w:line="360" w:lineRule="auto"/>
        <w:ind w:left="0" w:leftChars="0" w:right="0"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21"/>
          <w:highlight w:val="none"/>
        </w:rPr>
        <w:t>注：1.</w:t>
      </w:r>
      <w:r>
        <w:rPr>
          <w:rFonts w:hint="eastAsia" w:ascii="宋体" w:hAnsi="宋体" w:eastAsia="宋体" w:cs="宋体"/>
          <w:color w:val="auto"/>
          <w:sz w:val="18"/>
          <w:szCs w:val="18"/>
          <w:highlight w:val="none"/>
        </w:rPr>
        <w:t>拟派项目负责人</w:t>
      </w:r>
      <w:r>
        <w:rPr>
          <w:rFonts w:hint="eastAsia" w:ascii="宋体" w:hAnsi="宋体" w:eastAsia="宋体" w:cs="宋体"/>
          <w:color w:val="auto"/>
          <w:sz w:val="18"/>
          <w:szCs w:val="21"/>
          <w:highlight w:val="none"/>
        </w:rPr>
        <w:t>和其他专业</w:t>
      </w:r>
      <w:r>
        <w:rPr>
          <w:rFonts w:hint="eastAsia" w:ascii="宋体" w:hAnsi="宋体" w:eastAsia="宋体" w:cs="宋体"/>
          <w:color w:val="auto"/>
          <w:sz w:val="18"/>
          <w:szCs w:val="21"/>
          <w:highlight w:val="none"/>
          <w:lang w:eastAsia="zh-CN"/>
        </w:rPr>
        <w:t>造价咨询人员</w:t>
      </w:r>
      <w:r>
        <w:rPr>
          <w:rFonts w:hint="eastAsia" w:ascii="宋体" w:hAnsi="宋体" w:eastAsia="宋体" w:cs="宋体"/>
          <w:color w:val="auto"/>
          <w:sz w:val="18"/>
          <w:szCs w:val="18"/>
          <w:highlight w:val="none"/>
        </w:rPr>
        <w:t>（如有）应分别应填写本表，且表后须分别附个人的相关资格证明文件（包括身份证）扫描件并加盖投标人公章。</w:t>
      </w:r>
    </w:p>
    <w:p w14:paraId="57699176">
      <w:pPr>
        <w:pageBreakBefore w:val="0"/>
        <w:kinsoku/>
        <w:overflowPunct/>
        <w:bidi w:val="0"/>
        <w:spacing w:beforeLines="0" w:afterLines="0" w:line="360" w:lineRule="auto"/>
        <w:ind w:left="0" w:leftChars="0" w:right="0"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2.项目负责人、其他专业</w:t>
      </w:r>
      <w:r>
        <w:rPr>
          <w:rFonts w:hint="eastAsia" w:ascii="宋体" w:hAnsi="宋体" w:eastAsia="宋体" w:cs="宋体"/>
          <w:color w:val="auto"/>
          <w:sz w:val="18"/>
          <w:szCs w:val="18"/>
          <w:highlight w:val="none"/>
          <w:lang w:eastAsia="zh-CN"/>
        </w:rPr>
        <w:t>造价咨询人员</w:t>
      </w:r>
      <w:r>
        <w:rPr>
          <w:rFonts w:hint="eastAsia" w:ascii="宋体" w:hAnsi="宋体" w:eastAsia="宋体" w:cs="宋体"/>
          <w:color w:val="auto"/>
          <w:sz w:val="18"/>
          <w:szCs w:val="18"/>
          <w:highlight w:val="none"/>
        </w:rPr>
        <w:t>（如有）未按要求签字的，将被认为资格审查不合格。</w:t>
      </w:r>
    </w:p>
    <w:p w14:paraId="3A9DC952">
      <w:pPr>
        <w:pStyle w:val="183"/>
        <w:pageBreakBefore w:val="0"/>
        <w:kinsoku/>
        <w:overflowPunct/>
        <w:bidi w:val="0"/>
        <w:spacing w:beforeLines="0" w:afterLines="0" w:line="360" w:lineRule="auto"/>
        <w:ind w:left="0" w:leftChars="0" w:right="0" w:firstLine="360" w:firstLineChars="200"/>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3.表后</w:t>
      </w:r>
      <w:r>
        <w:rPr>
          <w:rFonts w:hint="eastAsia" w:ascii="宋体" w:hAnsi="宋体" w:eastAsia="宋体" w:cs="宋体"/>
          <w:color w:val="auto"/>
          <w:sz w:val="18"/>
          <w:szCs w:val="21"/>
          <w:highlight w:val="none"/>
        </w:rPr>
        <w:t>须</w:t>
      </w:r>
      <w:r>
        <w:rPr>
          <w:rFonts w:hint="eastAsia" w:ascii="宋体" w:hAnsi="宋体" w:eastAsia="宋体" w:cs="宋体"/>
          <w:color w:val="auto"/>
          <w:sz w:val="18"/>
          <w:szCs w:val="16"/>
          <w:highlight w:val="none"/>
        </w:rPr>
        <w:t>附拟派项目负责人有无在在建项目任职或参与其他项目投标的声明（格式自拟，须提交扫描件并加盖投标人公章），一名项目负责人可担任一项建设工程</w:t>
      </w:r>
      <w:r>
        <w:rPr>
          <w:rFonts w:hint="eastAsia" w:ascii="宋体" w:hAnsi="宋体" w:eastAsia="宋体" w:cs="宋体"/>
          <w:color w:val="auto"/>
          <w:sz w:val="18"/>
          <w:szCs w:val="16"/>
          <w:highlight w:val="none"/>
          <w:lang w:eastAsia="zh-CN"/>
        </w:rPr>
        <w:t>造价咨询</w:t>
      </w:r>
      <w:r>
        <w:rPr>
          <w:rFonts w:hint="eastAsia" w:ascii="宋体" w:hAnsi="宋体" w:eastAsia="宋体" w:cs="宋体"/>
          <w:color w:val="auto"/>
          <w:sz w:val="18"/>
          <w:szCs w:val="16"/>
          <w:highlight w:val="none"/>
        </w:rPr>
        <w:t>合同的项目负责人。当需要同时担任多项建设工程</w:t>
      </w:r>
      <w:r>
        <w:rPr>
          <w:rFonts w:hint="eastAsia" w:ascii="宋体" w:hAnsi="宋体" w:eastAsia="宋体" w:cs="宋体"/>
          <w:color w:val="auto"/>
          <w:sz w:val="18"/>
          <w:szCs w:val="16"/>
          <w:highlight w:val="none"/>
          <w:lang w:eastAsia="zh-CN"/>
        </w:rPr>
        <w:t>造价咨询</w:t>
      </w:r>
      <w:r>
        <w:rPr>
          <w:rFonts w:hint="eastAsia" w:ascii="宋体" w:hAnsi="宋体" w:eastAsia="宋体" w:cs="宋体"/>
          <w:color w:val="auto"/>
          <w:sz w:val="18"/>
          <w:szCs w:val="16"/>
          <w:highlight w:val="none"/>
        </w:rPr>
        <w:t>合同的项目负责人时，应经建设单位书面同意，且最多不得超过三项。</w:t>
      </w:r>
    </w:p>
    <w:p w14:paraId="2555E4F4">
      <w:pPr>
        <w:pageBreakBefore w:val="0"/>
        <w:tabs>
          <w:tab w:val="left" w:pos="720"/>
        </w:tabs>
        <w:kinsoku/>
        <w:overflowPunct/>
        <w:bidi w:val="0"/>
        <w:spacing w:beforeLines="0" w:afterLines="0" w:line="360" w:lineRule="auto"/>
        <w:ind w:left="0" w:leftChars="0" w:right="0" w:firstLine="360" w:firstLineChars="200"/>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4.表后需附投标人近期为所填相关人员缴纳社保资金的有效社保证明材料的扫描件并加盖投标人公章，以投标人（或其分支机构）所属当地社保管理部门出具的证明材料为准；项目负责人社保时间要求详见</w:t>
      </w:r>
      <w:r>
        <w:rPr>
          <w:rFonts w:hint="eastAsia" w:ascii="宋体" w:hAnsi="宋体" w:cs="宋体"/>
          <w:color w:val="auto"/>
          <w:sz w:val="18"/>
          <w:szCs w:val="21"/>
          <w:highlight w:val="none"/>
          <w:lang w:eastAsia="zh-CN"/>
        </w:rPr>
        <w:t>招标公告</w:t>
      </w:r>
      <w:r>
        <w:rPr>
          <w:rFonts w:hint="eastAsia" w:ascii="宋体" w:hAnsi="宋体" w:eastAsia="宋体" w:cs="宋体"/>
          <w:color w:val="auto"/>
          <w:sz w:val="18"/>
          <w:szCs w:val="21"/>
          <w:highlight w:val="none"/>
        </w:rPr>
        <w:t>；其他专业</w:t>
      </w:r>
      <w:r>
        <w:rPr>
          <w:rFonts w:hint="eastAsia" w:ascii="宋体" w:hAnsi="宋体" w:eastAsia="宋体" w:cs="宋体"/>
          <w:color w:val="auto"/>
          <w:sz w:val="18"/>
          <w:szCs w:val="21"/>
          <w:highlight w:val="none"/>
          <w:lang w:eastAsia="zh-CN"/>
        </w:rPr>
        <w:t>造价咨询人员</w:t>
      </w:r>
      <w:r>
        <w:rPr>
          <w:rFonts w:hint="eastAsia" w:ascii="宋体" w:hAnsi="宋体" w:eastAsia="宋体" w:cs="宋体"/>
          <w:color w:val="auto"/>
          <w:sz w:val="18"/>
          <w:szCs w:val="21"/>
          <w:highlight w:val="none"/>
        </w:rPr>
        <w:t>（如有）社保时间要求按照评分标准要求一致，如评分标准没有设置其他专业</w:t>
      </w:r>
      <w:r>
        <w:rPr>
          <w:rFonts w:hint="eastAsia" w:ascii="宋体" w:hAnsi="宋体" w:eastAsia="宋体" w:cs="宋体"/>
          <w:color w:val="auto"/>
          <w:sz w:val="18"/>
          <w:szCs w:val="21"/>
          <w:highlight w:val="none"/>
          <w:lang w:eastAsia="zh-CN"/>
        </w:rPr>
        <w:t>造价咨询人员</w:t>
      </w:r>
      <w:r>
        <w:rPr>
          <w:rFonts w:hint="eastAsia" w:ascii="宋体" w:hAnsi="宋体" w:eastAsia="宋体" w:cs="宋体"/>
          <w:color w:val="auto"/>
          <w:sz w:val="18"/>
          <w:szCs w:val="21"/>
          <w:highlight w:val="none"/>
        </w:rPr>
        <w:t>的评分项则应与附表二项目管理团队配备情况表中的人员社保时间要求一致。</w:t>
      </w:r>
    </w:p>
    <w:p w14:paraId="4AD8F7F6">
      <w:pPr>
        <w:pageBreakBefore w:val="0"/>
        <w:tabs>
          <w:tab w:val="left" w:pos="720"/>
        </w:tabs>
        <w:kinsoku/>
        <w:overflowPunct/>
        <w:bidi w:val="0"/>
        <w:spacing w:beforeLines="0" w:afterLines="0" w:line="360" w:lineRule="auto"/>
        <w:ind w:left="0" w:leftChars="0" w:right="0" w:firstLine="360" w:firstLineChars="200"/>
        <w:rPr>
          <w:rFonts w:hint="eastAsia" w:ascii="宋体" w:hAnsi="宋体" w:eastAsia="宋体" w:cs="宋体"/>
          <w:color w:val="auto"/>
          <w:kern w:val="0"/>
          <w:sz w:val="18"/>
          <w:szCs w:val="16"/>
          <w:highlight w:val="none"/>
        </w:rPr>
      </w:pPr>
      <w:r>
        <w:rPr>
          <w:rFonts w:hint="eastAsia" w:ascii="宋体" w:hAnsi="宋体" w:eastAsia="宋体" w:cs="宋体"/>
          <w:strike w:val="0"/>
          <w:color w:val="auto"/>
          <w:sz w:val="18"/>
          <w:szCs w:val="21"/>
          <w:highlight w:val="none"/>
        </w:rPr>
        <w:t>5.</w:t>
      </w:r>
      <w:r>
        <w:rPr>
          <w:rFonts w:hint="eastAsia" w:ascii="宋体" w:hAnsi="宋体" w:eastAsia="宋体" w:cs="宋体"/>
          <w:strike w:val="0"/>
          <w:color w:val="auto"/>
          <w:kern w:val="0"/>
          <w:sz w:val="18"/>
          <w:szCs w:val="16"/>
          <w:highlight w:val="none"/>
        </w:rPr>
        <w:t>属于广东</w:t>
      </w:r>
      <w:r>
        <w:rPr>
          <w:rFonts w:hint="eastAsia" w:ascii="宋体" w:hAnsi="宋体" w:eastAsia="宋体" w:cs="宋体"/>
          <w:color w:val="auto"/>
          <w:kern w:val="0"/>
          <w:sz w:val="18"/>
          <w:szCs w:val="16"/>
          <w:highlight w:val="none"/>
        </w:rPr>
        <w:t>省以外的投标人（包括联合体各成员）的上述人员，</w:t>
      </w:r>
      <w:r>
        <w:rPr>
          <w:rFonts w:hint="eastAsia" w:ascii="宋体" w:hAnsi="宋体" w:eastAsia="宋体" w:cs="宋体"/>
          <w:color w:val="auto"/>
          <w:sz w:val="18"/>
          <w:szCs w:val="21"/>
          <w:highlight w:val="none"/>
        </w:rPr>
        <w:t>须</w:t>
      </w:r>
      <w:r>
        <w:rPr>
          <w:rFonts w:hint="eastAsia" w:ascii="宋体" w:hAnsi="宋体" w:eastAsia="宋体" w:cs="宋体"/>
          <w:color w:val="auto"/>
          <w:kern w:val="0"/>
          <w:sz w:val="18"/>
          <w:szCs w:val="16"/>
          <w:highlight w:val="none"/>
        </w:rPr>
        <w:t>附在广东建设信息网（网址：www.gdcic.net）“进粤企业和人员诚信信息登记平台”专栏关于投标人进粤企业及人员信息登记的查询网页打印件并加盖投标人公章。</w:t>
      </w:r>
    </w:p>
    <w:p w14:paraId="30B194FD">
      <w:pPr>
        <w:pageBreakBefore w:val="0"/>
        <w:tabs>
          <w:tab w:val="left" w:pos="720"/>
        </w:tabs>
        <w:kinsoku/>
        <w:overflowPunct/>
        <w:bidi w:val="0"/>
        <w:spacing w:beforeLines="0" w:afterLines="0" w:line="360" w:lineRule="auto"/>
        <w:ind w:left="0" w:leftChars="0" w:right="0" w:firstLine="360" w:firstLineChars="200"/>
        <w:rPr>
          <w:rFonts w:hint="eastAsia" w:ascii="宋体" w:hAnsi="宋体" w:eastAsia="宋体" w:cs="宋体"/>
          <w:color w:val="auto"/>
          <w:kern w:val="0"/>
          <w:sz w:val="18"/>
          <w:szCs w:val="16"/>
          <w:highlight w:val="none"/>
        </w:rPr>
      </w:pPr>
      <w:r>
        <w:rPr>
          <w:rFonts w:hint="eastAsia" w:ascii="宋体" w:hAnsi="宋体" w:cs="宋体"/>
          <w:color w:val="auto"/>
          <w:kern w:val="0"/>
          <w:sz w:val="18"/>
          <w:szCs w:val="16"/>
          <w:highlight w:val="none"/>
          <w:lang w:val="en-US" w:eastAsia="zh-CN"/>
        </w:rPr>
        <w:t>6</w:t>
      </w:r>
      <w:r>
        <w:rPr>
          <w:rFonts w:hint="eastAsia" w:ascii="宋体" w:hAnsi="宋体" w:eastAsia="宋体" w:cs="宋体"/>
          <w:color w:val="auto"/>
          <w:kern w:val="0"/>
          <w:sz w:val="18"/>
          <w:szCs w:val="16"/>
          <w:highlight w:val="none"/>
        </w:rPr>
        <w:t>.提供的扫描件资料必须清晰、明辨，否则投标人须自行承担后果。</w:t>
      </w:r>
    </w:p>
    <w:p w14:paraId="04B9F25E">
      <w:pPr>
        <w:pStyle w:val="62"/>
        <w:pageBreakBefore w:val="0"/>
        <w:kinsoku/>
        <w:overflowPunct/>
        <w:bidi w:val="0"/>
        <w:spacing w:beforeLines="0" w:after="0" w:afterLines="0" w:line="360" w:lineRule="auto"/>
        <w:ind w:left="0" w:leftChars="0" w:right="0" w:firstLine="360" w:firstLineChars="200"/>
        <w:rPr>
          <w:rFonts w:hint="eastAsia" w:ascii="宋体" w:hAnsi="宋体" w:eastAsia="宋体" w:cs="宋体"/>
          <w:color w:val="auto"/>
          <w:kern w:val="0"/>
          <w:sz w:val="18"/>
          <w:szCs w:val="16"/>
          <w:highlight w:val="none"/>
        </w:rPr>
      </w:pPr>
      <w:r>
        <w:rPr>
          <w:rFonts w:hint="eastAsia" w:ascii="宋体" w:hAnsi="宋体" w:cs="宋体"/>
          <w:color w:val="auto"/>
          <w:kern w:val="0"/>
          <w:sz w:val="18"/>
          <w:szCs w:val="16"/>
          <w:highlight w:val="none"/>
          <w:lang w:val="en-US" w:eastAsia="zh-CN"/>
        </w:rPr>
        <w:t>7</w:t>
      </w:r>
      <w:r>
        <w:rPr>
          <w:rFonts w:hint="eastAsia" w:ascii="宋体" w:hAnsi="宋体" w:eastAsia="宋体" w:cs="宋体"/>
          <w:color w:val="auto"/>
          <w:kern w:val="0"/>
          <w:sz w:val="18"/>
          <w:szCs w:val="16"/>
          <w:highlight w:val="none"/>
        </w:rPr>
        <w:t>.</w:t>
      </w:r>
      <w:r>
        <w:rPr>
          <w:rFonts w:hint="eastAsia" w:ascii="宋体" w:hAnsi="宋体" w:eastAsia="宋体" w:cs="宋体"/>
          <w:color w:val="auto"/>
          <w:sz w:val="18"/>
          <w:szCs w:val="21"/>
          <w:highlight w:val="none"/>
        </w:rPr>
        <w:t>投标人在本表之外的地方重复上传本表要求的材料，与本表处上传的材料不一致的，以本表处上传的材料为准</w:t>
      </w:r>
      <w:r>
        <w:rPr>
          <w:rFonts w:hint="eastAsia" w:ascii="宋体" w:hAnsi="宋体" w:eastAsia="宋体" w:cs="宋体"/>
          <w:color w:val="auto"/>
          <w:kern w:val="0"/>
          <w:sz w:val="18"/>
          <w:szCs w:val="16"/>
          <w:highlight w:val="none"/>
        </w:rPr>
        <w:t>。</w:t>
      </w:r>
    </w:p>
    <w:p w14:paraId="12BC5A6B">
      <w:pPr>
        <w:pageBreakBefore w:val="0"/>
        <w:kinsoku/>
        <w:overflowPunct/>
        <w:bidi w:val="0"/>
        <w:spacing w:beforeLines="0" w:afterLines="0" w:line="360" w:lineRule="auto"/>
        <w:ind w:left="0" w:leftChars="0" w:right="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br w:type="page"/>
      </w:r>
    </w:p>
    <w:p w14:paraId="0B1F5397">
      <w:pPr>
        <w:pStyle w:val="27"/>
        <w:pageBreakBefore w:val="0"/>
        <w:kinsoku/>
        <w:overflowPunct/>
        <w:bidi w:val="0"/>
        <w:spacing w:beforeLines="0" w:afterLines="0" w:line="360" w:lineRule="auto"/>
        <w:ind w:left="0" w:leftChars="0" w:right="0" w:firstLine="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附表四  近年完成的类似项目业绩情况表（如有）</w:t>
      </w:r>
    </w:p>
    <w:tbl>
      <w:tblPr>
        <w:tblStyle w:val="63"/>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4"/>
        <w:gridCol w:w="6816"/>
      </w:tblGrid>
      <w:tr w14:paraId="22E1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144" w:type="dxa"/>
            <w:vAlign w:val="center"/>
          </w:tcPr>
          <w:p w14:paraId="2068FB99">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816" w:type="dxa"/>
          </w:tcPr>
          <w:p w14:paraId="7AB5A17E">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29AB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144" w:type="dxa"/>
            <w:vAlign w:val="center"/>
          </w:tcPr>
          <w:p w14:paraId="5E3491B0">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项目所在地</w:t>
            </w:r>
          </w:p>
        </w:tc>
        <w:tc>
          <w:tcPr>
            <w:tcW w:w="6816" w:type="dxa"/>
          </w:tcPr>
          <w:p w14:paraId="7090651E">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7895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144" w:type="dxa"/>
            <w:vAlign w:val="center"/>
          </w:tcPr>
          <w:p w14:paraId="0E768CCF">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w:t>
            </w:r>
          </w:p>
        </w:tc>
        <w:tc>
          <w:tcPr>
            <w:tcW w:w="6816" w:type="dxa"/>
          </w:tcPr>
          <w:p w14:paraId="025D4A52">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038C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144" w:type="dxa"/>
            <w:vAlign w:val="center"/>
          </w:tcPr>
          <w:p w14:paraId="6BC710AB">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发包人地址</w:t>
            </w:r>
          </w:p>
        </w:tc>
        <w:tc>
          <w:tcPr>
            <w:tcW w:w="6816" w:type="dxa"/>
          </w:tcPr>
          <w:p w14:paraId="037A2990">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1AF7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144" w:type="dxa"/>
            <w:vAlign w:val="center"/>
          </w:tcPr>
          <w:p w14:paraId="456D67D7">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发包人电话</w:t>
            </w:r>
          </w:p>
        </w:tc>
        <w:tc>
          <w:tcPr>
            <w:tcW w:w="6816" w:type="dxa"/>
          </w:tcPr>
          <w:p w14:paraId="4300B824">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4F48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144" w:type="dxa"/>
            <w:vAlign w:val="center"/>
          </w:tcPr>
          <w:p w14:paraId="2A249246">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w:t>
            </w:r>
          </w:p>
        </w:tc>
        <w:tc>
          <w:tcPr>
            <w:tcW w:w="6816" w:type="dxa"/>
          </w:tcPr>
          <w:p w14:paraId="28E33D18">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0C62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144" w:type="dxa"/>
            <w:vAlign w:val="center"/>
          </w:tcPr>
          <w:p w14:paraId="5E1CE62D">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合同签订日期</w:t>
            </w:r>
          </w:p>
        </w:tc>
        <w:tc>
          <w:tcPr>
            <w:tcW w:w="6816" w:type="dxa"/>
          </w:tcPr>
          <w:p w14:paraId="550DEB19">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38B1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144" w:type="dxa"/>
            <w:shd w:val="clear" w:color="auto" w:fill="auto"/>
            <w:vAlign w:val="center"/>
          </w:tcPr>
          <w:p w14:paraId="4867A339">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开工日期</w:t>
            </w:r>
          </w:p>
        </w:tc>
        <w:tc>
          <w:tcPr>
            <w:tcW w:w="6816" w:type="dxa"/>
          </w:tcPr>
          <w:p w14:paraId="64D0199F">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6987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144" w:type="dxa"/>
            <w:shd w:val="clear" w:color="auto" w:fill="auto"/>
            <w:vAlign w:val="center"/>
          </w:tcPr>
          <w:p w14:paraId="29EFFA96">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竣工日期</w:t>
            </w:r>
          </w:p>
        </w:tc>
        <w:tc>
          <w:tcPr>
            <w:tcW w:w="6816" w:type="dxa"/>
          </w:tcPr>
          <w:p w14:paraId="3A7AD1A0">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1DCC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144" w:type="dxa"/>
            <w:vAlign w:val="center"/>
          </w:tcPr>
          <w:p w14:paraId="3BDA35DC">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承担的工作</w:t>
            </w:r>
          </w:p>
        </w:tc>
        <w:tc>
          <w:tcPr>
            <w:tcW w:w="6816" w:type="dxa"/>
          </w:tcPr>
          <w:p w14:paraId="2D745D0D">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03A2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144" w:type="dxa"/>
            <w:vAlign w:val="center"/>
          </w:tcPr>
          <w:p w14:paraId="0EB9204B">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6816" w:type="dxa"/>
          </w:tcPr>
          <w:p w14:paraId="143FEC36">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4B8A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144" w:type="dxa"/>
            <w:vAlign w:val="center"/>
          </w:tcPr>
          <w:p w14:paraId="55AEF9B9">
            <w:pPr>
              <w:pageBreakBefore w:val="0"/>
              <w:kinsoku/>
              <w:overflowPunct/>
              <w:bidi w:val="0"/>
              <w:spacing w:beforeLines="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szCs w:val="21"/>
                <w:highlight w:val="none"/>
              </w:rPr>
              <w:t>其他专业</w:t>
            </w:r>
            <w:r>
              <w:rPr>
                <w:rFonts w:hint="eastAsia" w:ascii="宋体" w:hAnsi="宋体" w:eastAsia="宋体" w:cs="宋体"/>
                <w:color w:val="auto"/>
                <w:szCs w:val="21"/>
                <w:highlight w:val="none"/>
                <w:lang w:eastAsia="zh-CN"/>
              </w:rPr>
              <w:t>造价咨询人员</w:t>
            </w:r>
          </w:p>
        </w:tc>
        <w:tc>
          <w:tcPr>
            <w:tcW w:w="6816" w:type="dxa"/>
          </w:tcPr>
          <w:p w14:paraId="76333FEC">
            <w:pPr>
              <w:pageBreakBefore w:val="0"/>
              <w:kinsoku/>
              <w:overflowPunct/>
              <w:bidi w:val="0"/>
              <w:spacing w:beforeLines="0" w:afterLines="0" w:line="360" w:lineRule="auto"/>
              <w:ind w:left="0" w:leftChars="0" w:right="0"/>
              <w:rPr>
                <w:rFonts w:hint="eastAsia" w:ascii="宋体" w:hAnsi="宋体" w:eastAsia="宋体" w:cs="宋体"/>
                <w:color w:val="auto"/>
                <w:highlight w:val="none"/>
              </w:rPr>
            </w:pPr>
          </w:p>
        </w:tc>
      </w:tr>
      <w:tr w14:paraId="066B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144" w:type="dxa"/>
            <w:vAlign w:val="center"/>
          </w:tcPr>
          <w:p w14:paraId="09D46E4A">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项目描述</w:t>
            </w:r>
          </w:p>
        </w:tc>
        <w:tc>
          <w:tcPr>
            <w:tcW w:w="6816" w:type="dxa"/>
          </w:tcPr>
          <w:p w14:paraId="530C9014">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p w14:paraId="3EFD84F4">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p w14:paraId="27C29276">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6DD6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144" w:type="dxa"/>
            <w:vAlign w:val="center"/>
          </w:tcPr>
          <w:p w14:paraId="35419985">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816" w:type="dxa"/>
          </w:tcPr>
          <w:p w14:paraId="3A6AA893">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bl>
    <w:p w14:paraId="5EA8BD01">
      <w:pPr>
        <w:pageBreakBefore w:val="0"/>
        <w:kinsoku/>
        <w:overflowPunct/>
        <w:bidi w:val="0"/>
        <w:spacing w:beforeLines="0" w:afterLines="0" w:line="360" w:lineRule="auto"/>
        <w:ind w:left="0" w:leftChars="0" w:right="0" w:firstLine="360" w:firstLineChars="200"/>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注：1.表后须附业绩证明材料扫描件（具体材料要求见</w:t>
      </w:r>
      <w:r>
        <w:rPr>
          <w:rFonts w:hint="eastAsia" w:ascii="宋体" w:hAnsi="宋体" w:cs="宋体"/>
          <w:color w:val="auto"/>
          <w:sz w:val="18"/>
          <w:szCs w:val="21"/>
          <w:highlight w:val="none"/>
          <w:lang w:eastAsia="zh-CN"/>
        </w:rPr>
        <w:t>招标公告</w:t>
      </w:r>
      <w:r>
        <w:rPr>
          <w:rFonts w:hint="eastAsia" w:ascii="宋体" w:hAnsi="宋体" w:eastAsia="宋体" w:cs="宋体"/>
          <w:color w:val="auto"/>
          <w:sz w:val="18"/>
          <w:szCs w:val="21"/>
          <w:highlight w:val="none"/>
        </w:rPr>
        <w:t>以及</w:t>
      </w:r>
      <w:r>
        <w:rPr>
          <w:rFonts w:hint="eastAsia" w:ascii="宋体" w:hAnsi="宋体" w:eastAsia="宋体" w:cs="宋体"/>
          <w:color w:val="auto"/>
          <w:sz w:val="18"/>
          <w:szCs w:val="18"/>
          <w:highlight w:val="none"/>
        </w:rPr>
        <w:t>评标定标办法</w:t>
      </w:r>
      <w:r>
        <w:rPr>
          <w:rFonts w:hint="eastAsia" w:ascii="宋体" w:hAnsi="宋体" w:eastAsia="宋体" w:cs="宋体"/>
          <w:color w:val="auto"/>
          <w:sz w:val="18"/>
          <w:szCs w:val="21"/>
          <w:highlight w:val="none"/>
        </w:rPr>
        <w:t>，并加盖投标人公章）</w:t>
      </w:r>
      <w:r>
        <w:rPr>
          <w:rFonts w:hint="eastAsia" w:ascii="宋体" w:hAnsi="宋体" w:eastAsia="宋体" w:cs="宋体"/>
          <w:color w:val="auto"/>
          <w:sz w:val="18"/>
          <w:szCs w:val="18"/>
          <w:highlight w:val="none"/>
        </w:rPr>
        <w:t>，如前述证明材料不能清晰反映有关特征和必要信息的，还须提供该项工程业绩的业主证明并</w:t>
      </w:r>
      <w:r>
        <w:rPr>
          <w:rFonts w:hint="eastAsia" w:ascii="宋体" w:hAnsi="宋体" w:eastAsia="宋体" w:cs="宋体"/>
          <w:color w:val="auto"/>
          <w:sz w:val="18"/>
          <w:szCs w:val="21"/>
          <w:highlight w:val="none"/>
        </w:rPr>
        <w:t>须</w:t>
      </w:r>
      <w:r>
        <w:rPr>
          <w:rFonts w:hint="eastAsia" w:ascii="宋体" w:hAnsi="宋体" w:eastAsia="宋体" w:cs="宋体"/>
          <w:color w:val="auto"/>
          <w:sz w:val="18"/>
          <w:szCs w:val="18"/>
          <w:highlight w:val="none"/>
        </w:rPr>
        <w:t>附有业主方的联系人及联系电话</w:t>
      </w:r>
      <w:r>
        <w:rPr>
          <w:rFonts w:hint="eastAsia" w:ascii="宋体" w:hAnsi="宋体" w:eastAsia="宋体" w:cs="宋体"/>
          <w:color w:val="auto"/>
          <w:sz w:val="18"/>
          <w:szCs w:val="21"/>
          <w:highlight w:val="none"/>
        </w:rPr>
        <w:t>。</w:t>
      </w:r>
    </w:p>
    <w:p w14:paraId="45FF8273">
      <w:pPr>
        <w:pageBreakBefore w:val="0"/>
        <w:kinsoku/>
        <w:overflowPunct/>
        <w:bidi w:val="0"/>
        <w:spacing w:beforeLines="0" w:afterLines="0" w:line="360" w:lineRule="auto"/>
        <w:ind w:left="0" w:leftChars="0" w:right="0" w:firstLine="360" w:firstLineChars="200"/>
        <w:rPr>
          <w:rFonts w:hint="eastAsia" w:ascii="宋体" w:hAnsi="宋体" w:eastAsia="宋体" w:cs="宋体"/>
          <w:strike/>
          <w:color w:val="auto"/>
          <w:sz w:val="18"/>
          <w:szCs w:val="21"/>
          <w:highlight w:val="none"/>
        </w:rPr>
      </w:pPr>
      <w:r>
        <w:rPr>
          <w:rFonts w:hint="eastAsia" w:ascii="宋体" w:hAnsi="宋体" w:eastAsia="宋体" w:cs="宋体"/>
          <w:color w:val="auto"/>
          <w:sz w:val="18"/>
          <w:szCs w:val="21"/>
          <w:highlight w:val="none"/>
        </w:rPr>
        <w:t>2.提供的扫描件资料必须清晰、明辨，否则投标人须自行承担后果。</w:t>
      </w:r>
    </w:p>
    <w:p w14:paraId="7EB6ED19">
      <w:pPr>
        <w:pageBreakBefore w:val="0"/>
        <w:kinsoku/>
        <w:overflowPunct/>
        <w:bidi w:val="0"/>
        <w:spacing w:beforeLines="0" w:afterLines="0" w:line="360" w:lineRule="auto"/>
        <w:ind w:left="0" w:leftChars="0" w:right="0" w:firstLine="360" w:firstLineChars="200"/>
        <w:rPr>
          <w:rFonts w:hint="eastAsia" w:ascii="宋体" w:hAnsi="宋体" w:eastAsia="宋体" w:cs="宋体"/>
          <w:strike/>
          <w:color w:val="auto"/>
          <w:sz w:val="18"/>
          <w:szCs w:val="21"/>
          <w:highlight w:val="none"/>
        </w:rPr>
      </w:pPr>
      <w:r>
        <w:rPr>
          <w:rFonts w:hint="eastAsia" w:ascii="宋体" w:hAnsi="宋体" w:eastAsia="宋体" w:cs="宋体"/>
          <w:color w:val="auto"/>
          <w:sz w:val="18"/>
          <w:szCs w:val="21"/>
          <w:highlight w:val="none"/>
        </w:rPr>
        <w:t>3.投标人在本表之外的地方重复上传本表要求的材料，与本表处上传的材料不一致的，以本表处上传的材料为准</w:t>
      </w:r>
      <w:r>
        <w:rPr>
          <w:rFonts w:hint="eastAsia" w:ascii="宋体" w:hAnsi="宋体" w:eastAsia="宋体" w:cs="宋体"/>
          <w:color w:val="auto"/>
          <w:sz w:val="18"/>
          <w:highlight w:val="none"/>
        </w:rPr>
        <w:t>。</w:t>
      </w:r>
    </w:p>
    <w:p w14:paraId="494EF6D5">
      <w:pPr>
        <w:pageBreakBefore w:val="0"/>
        <w:kinsoku/>
        <w:overflowPunct/>
        <w:bidi w:val="0"/>
        <w:spacing w:beforeLines="0" w:afterLines="0" w:line="360" w:lineRule="auto"/>
        <w:ind w:left="0" w:leftChars="0" w:right="0" w:firstLine="420" w:firstLineChars="200"/>
        <w:jc w:val="center"/>
        <w:rPr>
          <w:rFonts w:hint="eastAsia" w:ascii="宋体" w:hAnsi="宋体" w:eastAsia="宋体" w:cs="宋体"/>
          <w:color w:val="auto"/>
          <w:szCs w:val="21"/>
          <w:highlight w:val="none"/>
        </w:rPr>
      </w:pPr>
    </w:p>
    <w:p w14:paraId="2C678B37">
      <w:pPr>
        <w:pStyle w:val="27"/>
        <w:pageBreakBefore w:val="0"/>
        <w:kinsoku/>
        <w:overflowPunct/>
        <w:bidi w:val="0"/>
        <w:spacing w:beforeLines="0" w:afterLines="0" w:line="360" w:lineRule="auto"/>
        <w:ind w:left="0" w:leftChars="0" w:right="0" w:firstLine="320" w:firstLineChars="200"/>
        <w:rPr>
          <w:rFonts w:hint="eastAsia" w:ascii="宋体" w:hAnsi="宋体" w:eastAsia="宋体" w:cs="宋体"/>
          <w:color w:val="auto"/>
          <w:sz w:val="16"/>
          <w:szCs w:val="21"/>
          <w:highlight w:val="none"/>
        </w:rPr>
      </w:pPr>
      <w:r>
        <w:rPr>
          <w:rFonts w:hint="eastAsia" w:ascii="宋体" w:hAnsi="宋体" w:eastAsia="宋体" w:cs="宋体"/>
          <w:color w:val="auto"/>
          <w:sz w:val="16"/>
          <w:szCs w:val="21"/>
          <w:highlight w:val="none"/>
        </w:rPr>
        <w:br w:type="page"/>
      </w:r>
    </w:p>
    <w:p w14:paraId="515F7BD1">
      <w:pPr>
        <w:pStyle w:val="27"/>
        <w:pageBreakBefore w:val="0"/>
        <w:kinsoku/>
        <w:overflowPunct/>
        <w:bidi w:val="0"/>
        <w:spacing w:beforeLines="0" w:afterLines="0" w:line="360" w:lineRule="auto"/>
        <w:ind w:left="0" w:leftChars="0" w:right="0" w:firstLine="0"/>
        <w:rPr>
          <w:rFonts w:hint="eastAsia" w:ascii="宋体" w:hAnsi="宋体" w:eastAsia="宋体" w:cs="宋体"/>
          <w:bCs w:val="0"/>
          <w:color w:val="auto"/>
          <w:sz w:val="22"/>
          <w:szCs w:val="22"/>
          <w:highlight w:val="none"/>
        </w:rPr>
      </w:pPr>
      <w:r>
        <w:rPr>
          <w:rFonts w:hint="eastAsia" w:ascii="宋体" w:hAnsi="宋体" w:eastAsia="宋体" w:cs="宋体"/>
          <w:color w:val="auto"/>
          <w:sz w:val="22"/>
          <w:szCs w:val="21"/>
          <w:highlight w:val="none"/>
        </w:rPr>
        <w:t xml:space="preserve">附表五  </w:t>
      </w:r>
      <w:r>
        <w:rPr>
          <w:rFonts w:hint="eastAsia" w:ascii="宋体" w:hAnsi="宋体" w:eastAsia="宋体" w:cs="宋体"/>
          <w:bCs w:val="0"/>
          <w:color w:val="auto"/>
          <w:sz w:val="22"/>
          <w:szCs w:val="22"/>
          <w:highlight w:val="none"/>
        </w:rPr>
        <w:t>近年完成的项目获奖情况表（如有）</w:t>
      </w:r>
    </w:p>
    <w:tbl>
      <w:tblPr>
        <w:tblStyle w:val="63"/>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2"/>
        <w:gridCol w:w="6818"/>
      </w:tblGrid>
      <w:tr w14:paraId="567E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Align w:val="center"/>
          </w:tcPr>
          <w:p w14:paraId="0FA8B91D">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818" w:type="dxa"/>
          </w:tcPr>
          <w:p w14:paraId="716A77B0">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0622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Align w:val="center"/>
          </w:tcPr>
          <w:p w14:paraId="1A0FDD8D">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项目所在地</w:t>
            </w:r>
          </w:p>
        </w:tc>
        <w:tc>
          <w:tcPr>
            <w:tcW w:w="6818" w:type="dxa"/>
          </w:tcPr>
          <w:p w14:paraId="234B650F">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5EB0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Align w:val="center"/>
          </w:tcPr>
          <w:p w14:paraId="131F5BEB">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w:t>
            </w:r>
          </w:p>
        </w:tc>
        <w:tc>
          <w:tcPr>
            <w:tcW w:w="6818" w:type="dxa"/>
          </w:tcPr>
          <w:p w14:paraId="4F5BD132">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4CC2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Align w:val="center"/>
          </w:tcPr>
          <w:p w14:paraId="44FB5C07">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发包人地址</w:t>
            </w:r>
          </w:p>
        </w:tc>
        <w:tc>
          <w:tcPr>
            <w:tcW w:w="6818" w:type="dxa"/>
          </w:tcPr>
          <w:p w14:paraId="4A0FD556">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3919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Align w:val="center"/>
          </w:tcPr>
          <w:p w14:paraId="53D30FEB">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发包人电话</w:t>
            </w:r>
          </w:p>
        </w:tc>
        <w:tc>
          <w:tcPr>
            <w:tcW w:w="6818" w:type="dxa"/>
          </w:tcPr>
          <w:p w14:paraId="5F7195D3">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63E1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Align w:val="center"/>
          </w:tcPr>
          <w:p w14:paraId="343446DC">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合同签订日期</w:t>
            </w:r>
          </w:p>
        </w:tc>
        <w:tc>
          <w:tcPr>
            <w:tcW w:w="6818" w:type="dxa"/>
          </w:tcPr>
          <w:p w14:paraId="532FDC42">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77A1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Align w:val="center"/>
          </w:tcPr>
          <w:p w14:paraId="4EA212C4">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承担的工作</w:t>
            </w:r>
          </w:p>
        </w:tc>
        <w:tc>
          <w:tcPr>
            <w:tcW w:w="6818" w:type="dxa"/>
          </w:tcPr>
          <w:p w14:paraId="5A9F3841">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246F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Align w:val="center"/>
          </w:tcPr>
          <w:p w14:paraId="6E836A4E">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获奖名称</w:t>
            </w:r>
          </w:p>
        </w:tc>
        <w:tc>
          <w:tcPr>
            <w:tcW w:w="6818" w:type="dxa"/>
          </w:tcPr>
          <w:p w14:paraId="02269C4B">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0283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Align w:val="center"/>
          </w:tcPr>
          <w:p w14:paraId="2C0D3B94">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发证部门</w:t>
            </w:r>
          </w:p>
        </w:tc>
        <w:tc>
          <w:tcPr>
            <w:tcW w:w="6818" w:type="dxa"/>
          </w:tcPr>
          <w:p w14:paraId="04AD2F3D">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6F6F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Align w:val="center"/>
          </w:tcPr>
          <w:p w14:paraId="044805B9">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获奖时间</w:t>
            </w:r>
          </w:p>
        </w:tc>
        <w:tc>
          <w:tcPr>
            <w:tcW w:w="6818" w:type="dxa"/>
          </w:tcPr>
          <w:p w14:paraId="2355EC06">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2DD0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Align w:val="center"/>
          </w:tcPr>
          <w:p w14:paraId="7134D078">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6818" w:type="dxa"/>
          </w:tcPr>
          <w:p w14:paraId="4AE75320">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13B9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Align w:val="center"/>
          </w:tcPr>
          <w:p w14:paraId="710A8869">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项目描述</w:t>
            </w:r>
          </w:p>
        </w:tc>
        <w:tc>
          <w:tcPr>
            <w:tcW w:w="6818" w:type="dxa"/>
          </w:tcPr>
          <w:p w14:paraId="1DACBB23">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p w14:paraId="1B4E7EDC">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p w14:paraId="7D913A9B">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585D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2" w:type="dxa"/>
            <w:vAlign w:val="center"/>
          </w:tcPr>
          <w:p w14:paraId="0E6DD57B">
            <w:pPr>
              <w:pageBreakBefore w:val="0"/>
              <w:kinsoku/>
              <w:overflowPunct/>
              <w:topLine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818" w:type="dxa"/>
          </w:tcPr>
          <w:p w14:paraId="00CD6BCD">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bl>
    <w:p w14:paraId="7981E6FD">
      <w:pPr>
        <w:pageBreakBefore w:val="0"/>
        <w:kinsoku/>
        <w:overflowPunct/>
        <w:bidi w:val="0"/>
        <w:spacing w:beforeLines="0" w:afterLines="0" w:line="360" w:lineRule="auto"/>
        <w:ind w:left="0" w:leftChars="0" w:right="0"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注：1.表后须附获奖证明材料扫描件</w:t>
      </w:r>
      <w:r>
        <w:rPr>
          <w:rFonts w:hint="eastAsia" w:ascii="宋体" w:hAnsi="宋体" w:eastAsia="宋体" w:cs="宋体"/>
          <w:color w:val="auto"/>
          <w:sz w:val="18"/>
          <w:szCs w:val="21"/>
          <w:highlight w:val="none"/>
        </w:rPr>
        <w:t>（具体材料要求见</w:t>
      </w:r>
      <w:r>
        <w:rPr>
          <w:rFonts w:hint="eastAsia" w:ascii="宋体" w:hAnsi="宋体" w:eastAsia="宋体" w:cs="宋体"/>
          <w:color w:val="auto"/>
          <w:sz w:val="18"/>
          <w:szCs w:val="18"/>
          <w:highlight w:val="none"/>
        </w:rPr>
        <w:t>评标定标办法</w:t>
      </w:r>
      <w:r>
        <w:rPr>
          <w:rFonts w:hint="eastAsia" w:ascii="宋体" w:hAnsi="宋体" w:eastAsia="宋体" w:cs="宋体"/>
          <w:color w:val="auto"/>
          <w:sz w:val="18"/>
          <w:szCs w:val="21"/>
          <w:highlight w:val="none"/>
        </w:rPr>
        <w:t>，并加盖投标人公章）</w:t>
      </w:r>
      <w:r>
        <w:rPr>
          <w:rFonts w:hint="eastAsia" w:ascii="宋体" w:hAnsi="宋体" w:eastAsia="宋体" w:cs="宋体"/>
          <w:color w:val="auto"/>
          <w:sz w:val="18"/>
          <w:szCs w:val="18"/>
          <w:highlight w:val="none"/>
        </w:rPr>
        <w:t>。</w:t>
      </w:r>
    </w:p>
    <w:p w14:paraId="51CD5489">
      <w:pPr>
        <w:pageBreakBefore w:val="0"/>
        <w:kinsoku/>
        <w:overflowPunct/>
        <w:bidi w:val="0"/>
        <w:spacing w:beforeLines="0" w:afterLines="0" w:line="360" w:lineRule="auto"/>
        <w:ind w:left="0" w:leftChars="0" w:right="0"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2.提供的扫描件资料必须清晰、明辨，否则投标人须自行承担后果。</w:t>
      </w:r>
    </w:p>
    <w:p w14:paraId="092D5256">
      <w:pPr>
        <w:pStyle w:val="62"/>
        <w:pageBreakBefore w:val="0"/>
        <w:kinsoku/>
        <w:overflowPunct/>
        <w:bidi w:val="0"/>
        <w:spacing w:beforeLines="0" w:after="0" w:afterLines="0" w:line="360" w:lineRule="auto"/>
        <w:ind w:left="0" w:leftChars="0" w:right="0"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18"/>
          <w:szCs w:val="21"/>
          <w:highlight w:val="none"/>
        </w:rPr>
        <w:t>投标人在本表之外的地方重复上传本表要求的材料，与本表处上传的材料不一致的，以本表处上传的材料为准</w:t>
      </w:r>
      <w:r>
        <w:rPr>
          <w:rFonts w:hint="eastAsia" w:ascii="宋体" w:hAnsi="宋体" w:eastAsia="宋体" w:cs="宋体"/>
          <w:color w:val="auto"/>
          <w:sz w:val="18"/>
          <w:szCs w:val="18"/>
          <w:highlight w:val="none"/>
        </w:rPr>
        <w:t>。</w:t>
      </w:r>
    </w:p>
    <w:p w14:paraId="008F4CA1">
      <w:pPr>
        <w:pageBreakBefore w:val="0"/>
        <w:kinsoku/>
        <w:overflowPunct/>
        <w:bidi w:val="0"/>
        <w:spacing w:beforeLines="0" w:afterLines="0" w:line="360" w:lineRule="auto"/>
        <w:ind w:left="0" w:leftChars="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p>
    <w:p w14:paraId="1A7E0A7D">
      <w:pPr>
        <w:pStyle w:val="27"/>
        <w:pageBreakBefore w:val="0"/>
        <w:kinsoku/>
        <w:overflowPunct/>
        <w:bidi w:val="0"/>
        <w:spacing w:beforeLines="0" w:afterLines="0" w:line="360" w:lineRule="auto"/>
        <w:ind w:left="0" w:leftChars="0" w:right="0" w:firstLine="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附表六  近三年财务状况（如有）</w:t>
      </w:r>
    </w:p>
    <w:p w14:paraId="7F605926">
      <w:pPr>
        <w:pageBreakBefore w:val="0"/>
        <w:kinsoku/>
        <w:overflowPunct/>
        <w:topLinePunct/>
        <w:bidi w:val="0"/>
        <w:spacing w:beforeLines="0" w:afterLines="0" w:line="360" w:lineRule="auto"/>
        <w:ind w:left="0" w:leftChars="0" w:right="0"/>
        <w:rPr>
          <w:rFonts w:hint="eastAsia" w:ascii="宋体" w:hAnsi="宋体" w:eastAsia="宋体" w:cs="宋体"/>
          <w:color w:val="auto"/>
          <w:sz w:val="16"/>
          <w:szCs w:val="21"/>
          <w:highlight w:val="none"/>
        </w:rPr>
      </w:pPr>
    </w:p>
    <w:p w14:paraId="3E673013">
      <w:pPr>
        <w:pageBreakBefore w:val="0"/>
        <w:kinsoku/>
        <w:overflowPunct/>
        <w:topLinePunct/>
        <w:bidi w:val="0"/>
        <w:spacing w:beforeLines="0" w:afterLines="0" w:line="360" w:lineRule="auto"/>
        <w:ind w:left="0" w:leftChars="0" w:right="0"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注：1.具体材料要求见评标定标办法，并加盖投标人公章。</w:t>
      </w:r>
    </w:p>
    <w:p w14:paraId="1E840D32">
      <w:pPr>
        <w:pStyle w:val="62"/>
        <w:pageBreakBefore w:val="0"/>
        <w:kinsoku/>
        <w:overflowPunct/>
        <w:bidi w:val="0"/>
        <w:spacing w:beforeLines="0" w:after="0" w:afterLines="0" w:line="360" w:lineRule="auto"/>
        <w:ind w:left="0" w:leftChars="0" w:right="0"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2.提供的扫描件资料必须清晰、明辨，否则投标人须自行承担后果。</w:t>
      </w:r>
    </w:p>
    <w:p w14:paraId="28DECB08">
      <w:pPr>
        <w:pStyle w:val="62"/>
        <w:pageBreakBefore w:val="0"/>
        <w:kinsoku/>
        <w:overflowPunct/>
        <w:bidi w:val="0"/>
        <w:spacing w:beforeLines="0" w:after="0" w:afterLines="0" w:line="360" w:lineRule="auto"/>
        <w:ind w:left="0" w:leftChars="0" w:right="0"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18"/>
          <w:szCs w:val="21"/>
          <w:highlight w:val="none"/>
        </w:rPr>
        <w:t>投标人在本表之外的地方重复上传本表要求的材料，与本表处上传的材料不一致的，以本表处上传的材料为准</w:t>
      </w:r>
      <w:r>
        <w:rPr>
          <w:rFonts w:hint="eastAsia" w:ascii="宋体" w:hAnsi="宋体" w:eastAsia="宋体" w:cs="宋体"/>
          <w:color w:val="auto"/>
          <w:sz w:val="18"/>
          <w:szCs w:val="18"/>
          <w:highlight w:val="none"/>
        </w:rPr>
        <w:t>。</w:t>
      </w:r>
    </w:p>
    <w:p w14:paraId="23A66CF6">
      <w:pPr>
        <w:pageBreakBefore w:val="0"/>
        <w:kinsoku/>
        <w:overflowPunct/>
        <w:bidi w:val="0"/>
        <w:spacing w:beforeLines="0" w:afterLines="0" w:line="360" w:lineRule="auto"/>
        <w:ind w:left="0" w:leftChars="0" w:right="0" w:firstLine="420" w:firstLineChars="200"/>
        <w:jc w:val="center"/>
        <w:rPr>
          <w:rFonts w:hint="eastAsia" w:ascii="宋体" w:hAnsi="宋体" w:eastAsia="宋体" w:cs="宋体"/>
          <w:color w:val="auto"/>
          <w:szCs w:val="21"/>
          <w:highlight w:val="none"/>
        </w:rPr>
      </w:pPr>
    </w:p>
    <w:p w14:paraId="18C8E661">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233A8B10">
      <w:pPr>
        <w:pageBreakBefore w:val="0"/>
        <w:kinsoku/>
        <w:overflowPunct/>
        <w:bidi w:val="0"/>
        <w:spacing w:beforeLines="0" w:afterLines="0" w:line="360" w:lineRule="auto"/>
        <w:ind w:left="0" w:leftChars="0" w:right="0" w:firstLine="420" w:firstLineChars="200"/>
        <w:jc w:val="center"/>
        <w:rPr>
          <w:rFonts w:hint="eastAsia" w:ascii="宋体" w:hAnsi="宋体" w:eastAsia="宋体" w:cs="宋体"/>
          <w:color w:val="auto"/>
          <w:szCs w:val="21"/>
          <w:highlight w:val="none"/>
        </w:rPr>
      </w:pPr>
    </w:p>
    <w:p w14:paraId="79CECD43">
      <w:pPr>
        <w:pageBreakBefore w:val="0"/>
        <w:kinsoku/>
        <w:overflowPunct/>
        <w:bidi w:val="0"/>
        <w:spacing w:beforeLines="0" w:afterLines="0" w:line="360" w:lineRule="auto"/>
        <w:ind w:left="0" w:leftChars="0" w:right="0" w:firstLine="440" w:firstLineChars="200"/>
        <w:rPr>
          <w:rFonts w:hint="eastAsia" w:ascii="宋体" w:hAnsi="宋体" w:eastAsia="宋体" w:cs="宋体"/>
          <w:color w:val="auto"/>
          <w:szCs w:val="21"/>
          <w:highlight w:val="none"/>
        </w:rPr>
      </w:pPr>
      <w:r>
        <w:rPr>
          <w:rFonts w:hint="eastAsia" w:ascii="宋体" w:hAnsi="宋体" w:eastAsia="宋体" w:cs="宋体"/>
          <w:color w:val="auto"/>
          <w:sz w:val="22"/>
          <w:szCs w:val="21"/>
          <w:highlight w:val="none"/>
        </w:rPr>
        <w:br w:type="page"/>
      </w:r>
    </w:p>
    <w:p w14:paraId="49A9EC52">
      <w:pPr>
        <w:pStyle w:val="27"/>
        <w:pageBreakBefore w:val="0"/>
        <w:kinsoku/>
        <w:overflowPunct/>
        <w:bidi w:val="0"/>
        <w:spacing w:beforeLines="0" w:afterLines="0" w:line="360" w:lineRule="auto"/>
        <w:ind w:left="0" w:leftChars="0" w:right="0" w:firstLine="0"/>
        <w:rPr>
          <w:rFonts w:hint="eastAsia" w:ascii="宋体" w:hAnsi="宋体" w:eastAsia="宋体" w:cs="宋体"/>
          <w:color w:val="auto"/>
          <w:sz w:val="22"/>
          <w:szCs w:val="21"/>
          <w:highlight w:val="none"/>
        </w:rPr>
      </w:pPr>
      <w:bookmarkStart w:id="667" w:name="_Toc449445124"/>
      <w:r>
        <w:rPr>
          <w:rFonts w:hint="eastAsia" w:ascii="宋体" w:hAnsi="宋体" w:eastAsia="宋体" w:cs="宋体"/>
          <w:color w:val="auto"/>
          <w:sz w:val="22"/>
          <w:szCs w:val="21"/>
          <w:highlight w:val="none"/>
        </w:rPr>
        <w:t>附表七  诚信投标承诺书</w:t>
      </w:r>
      <w:bookmarkEnd w:id="667"/>
    </w:p>
    <w:p w14:paraId="0A9B8F15">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u w:val="single"/>
        </w:rPr>
      </w:pPr>
    </w:p>
    <w:p w14:paraId="44D5FA21">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u w:val="single"/>
          <w:lang w:eastAsia="zh-CN"/>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lang w:eastAsia="zh-CN"/>
        </w:rPr>
        <w:t>广东南海城建集团有限公司</w:t>
      </w:r>
    </w:p>
    <w:p w14:paraId="02EEAECB">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本人以法定代表人的身份代表本单位郑重承诺：</w:t>
      </w:r>
    </w:p>
    <w:p w14:paraId="413FD710">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一、本单位将遵循公开、公正和诚实信用的原则参加</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kern w:val="0"/>
          <w:szCs w:val="21"/>
          <w:highlight w:val="none"/>
        </w:rPr>
        <w:t>的投标。</w:t>
      </w:r>
    </w:p>
    <w:p w14:paraId="1C10946C">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二、本单位所提供的一切材料都是真实、有效、合法的，没有伪（变）造或虚假成分。</w:t>
      </w:r>
    </w:p>
    <w:p w14:paraId="3F2AB48B">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三、本单位自觉维护招投标市场秩序，不以他人名义投标，不出借、转让、买卖、伪造企业或从业人员的资质证书、证照、业绩、获奖等相关资信证明文件和印章，也不允许其他企业或个人以本单位名义投标。</w:t>
      </w:r>
    </w:p>
    <w:p w14:paraId="588BCD12">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四、本单位自觉接受本招标项目招标文件的规则要求参与投标，依法公平竞争，不采取虚假或恶意投诉等不正当手段损害、侵犯招标人或其他投标人的正当权益。</w:t>
      </w:r>
    </w:p>
    <w:p w14:paraId="3D15D35B">
      <w:pPr>
        <w:pStyle w:val="62"/>
        <w:pageBreakBefore w:val="0"/>
        <w:kinsoku/>
        <w:overflowPunct/>
        <w:bidi w:val="0"/>
        <w:spacing w:beforeLines="0" w:after="0" w:afterLines="0" w:line="360" w:lineRule="auto"/>
        <w:ind w:left="0" w:leftChars="0" w:right="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五、本单位为大中型企业，通过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（与小微企业组成联合体/向一家或者多家小微企业分包）的方式参与投标，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（联合协议/分包意向协议）中约定的小微企业的合同份额占到合同总金额30%以上。</w:t>
      </w:r>
    </w:p>
    <w:p w14:paraId="6AD3D99E">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六、法律、法规规定的其他资格条件。</w:t>
      </w:r>
    </w:p>
    <w:p w14:paraId="673BBE31">
      <w:pPr>
        <w:pageBreakBefore w:val="0"/>
        <w:kinsoku/>
        <w:overflowPunct/>
        <w:bidi w:val="0"/>
        <w:spacing w:beforeLines="0" w:afterLines="0" w:line="360" w:lineRule="auto"/>
        <w:ind w:left="0" w:leftChars="0" w:right="0"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以上内容本人已仔细阅读，本单位如违反上述承诺内容，愿意接受行业主管部门按照有关规定进行的处理（处罚）。</w:t>
      </w:r>
    </w:p>
    <w:p w14:paraId="35F4D72E">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14:paraId="333B2A03">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p>
    <w:p w14:paraId="0E1BC5CC">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7995D3FF">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b/>
          <w:bCs/>
          <w:color w:val="auto"/>
          <w:kern w:val="0"/>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3961298">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szCs w:val="21"/>
          <w:highlight w:val="none"/>
        </w:rPr>
      </w:pPr>
    </w:p>
    <w:p w14:paraId="72CEEDB7">
      <w:pPr>
        <w:pStyle w:val="200"/>
        <w:pageBreakBefore w:val="0"/>
        <w:kinsoku/>
        <w:overflowPunct/>
        <w:bidi w:val="0"/>
        <w:spacing w:before="0" w:beforeLines="0" w:after="0" w:afterLines="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注：如为联合体投标人，联合体各方均须作出声明，须分别提交原件并分别加盖单位公章及签字。联合体成员单位由法定代表人签字的，应附法定代表人身份证明；由委托代理人签字的，应附授权委托书。</w:t>
      </w:r>
    </w:p>
    <w:p w14:paraId="4DF832BB">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1839301">
      <w:pPr>
        <w:pStyle w:val="27"/>
        <w:pageBreakBefore w:val="0"/>
        <w:kinsoku/>
        <w:overflowPunct/>
        <w:bidi w:val="0"/>
        <w:spacing w:beforeLines="0" w:afterLines="0" w:line="360" w:lineRule="auto"/>
        <w:ind w:left="0" w:leftChars="0" w:right="0" w:firstLine="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附表八  企业信誉（信用）状况声明</w:t>
      </w:r>
    </w:p>
    <w:p w14:paraId="122B8E1D">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u w:val="single"/>
          <w:lang w:eastAsia="zh-CN"/>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lang w:eastAsia="zh-CN"/>
        </w:rPr>
        <w:t>广东南海城建集团有限公司</w:t>
      </w:r>
    </w:p>
    <w:p w14:paraId="60E7F3B8">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经慎</w:t>
      </w:r>
      <w:r>
        <w:rPr>
          <w:rFonts w:hint="eastAsia" w:ascii="宋体" w:hAnsi="宋体" w:eastAsia="宋体" w:cs="宋体"/>
          <w:color w:val="auto"/>
          <w:szCs w:val="21"/>
          <w:highlight w:val="none"/>
        </w:rPr>
        <w:t>重、认真核查，本单位郑重声明如下：</w:t>
      </w:r>
    </w:p>
    <w:p w14:paraId="7CB9FA2B">
      <w:pPr>
        <w:pageBreakBefore w:val="0"/>
        <w:widowControl/>
        <w:numPr>
          <w:ilvl w:val="0"/>
          <w:numId w:val="4"/>
        </w:numPr>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没有处于被责令停业，财产被接管、冻结，破产状态。</w:t>
      </w:r>
    </w:p>
    <w:p w14:paraId="300EA9D9">
      <w:pPr>
        <w:pageBreakBefore w:val="0"/>
        <w:widowControl/>
        <w:numPr>
          <w:ilvl w:val="0"/>
          <w:numId w:val="4"/>
        </w:numPr>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截止时，没有受到取消投标资格的行政处罚。（此处所指的“处罚”，是指依据《中华人民共和国行政处罚法》作出的有关取消投标资格的行政处罚并处于投标限制期内，且该行政处罚信息已按照行政执法公示制度公开，除此之外，其他以通知、通报等形式或依据规范性文件对投标人投标资格作出的限制，不属于此处所指的“处罚”范畴）</w:t>
      </w:r>
    </w:p>
    <w:p w14:paraId="4C3A405A">
      <w:pPr>
        <w:pageBreakBefore w:val="0"/>
        <w:widowControl/>
        <w:numPr>
          <w:ilvl w:val="0"/>
          <w:numId w:val="4"/>
        </w:numPr>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最近三年内没有发生骗取中标或严重违约或重大质量问题。（此处“骗取中标”是指依据《中华人民共和国行政处罚法》所作出的《行政处罚决定书》中所认定的违法行为；“严重违约或重大质量问题”则以司法、仲裁机构等出具的生效文件予以认定，其中的“重大”质量问题，是指生效文件认定的“重大”事故等级达到《关于做好房屋建筑和市政基础设施工程质量事故报告和调查处理工作的通知》和《生产安全事故报告和调查处理条例》的标准；“最近三年”是指该项目招标公告发出之日起往前顺推三年，以《行政处罚决定书》或司法、仲裁机构等出具的生效文件的落款时间为准）</w:t>
      </w:r>
    </w:p>
    <w:p w14:paraId="0A2C9D11">
      <w:pPr>
        <w:pageBreakBefore w:val="0"/>
        <w:widowControl/>
        <w:numPr>
          <w:ilvl w:val="0"/>
          <w:numId w:val="4"/>
        </w:numPr>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根据佛山市中级人民法院《启用执行联动机制决定书》和《协助执行通知书》的要求，投标人若为名单上的失信被执行人，不得参加本工程项目投标。</w:t>
      </w:r>
    </w:p>
    <w:p w14:paraId="595EE80B">
      <w:pPr>
        <w:pageBreakBefore w:val="0"/>
        <w:widowControl/>
        <w:numPr>
          <w:ilvl w:val="0"/>
          <w:numId w:val="4"/>
        </w:numPr>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根据《佛山市发展和改革局等8部门关于在公共资源交易事项中进行信用信息查询和实施联合奖惩的通知》（佛发改信用〔2019〕1号），对被佛山市公共信用信息管理系统列入失信名单的投标人，不得参加投标。</w:t>
      </w:r>
    </w:p>
    <w:p w14:paraId="5CBB5CA8">
      <w:pPr>
        <w:pageBreakBefore w:val="0"/>
        <w:widowControl/>
        <w:numPr>
          <w:ilvl w:val="0"/>
          <w:numId w:val="4"/>
        </w:numPr>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根据《佛山市政务服务数据管理局等10部门关于深化工程建设项目招标投标制度改革促进经济高质量发展若干措施的通知》（佛政数〔2022〕14号）规定，因在工程建设领域安全生产工作中存在瞒报、谎报、迟报生产安全事故、拒不缴纳罚款、拒不执行政府部门指令等行为，或在投标过程中不按招标文件要求如实汇报生产安全事故情况，或在广东辖区内发生较大及以上建筑施工安全事故的企业，或在佛山辖区内发生死亡2人及以下一般事故的企业，或频发事故的企业等情况，被应急管理部门、行业行政主管部门依法实施行政处罚，并限制其一定时限内参与我市工程建设项目投标的潜在投标人，限制投标期内不得参加投标。</w:t>
      </w:r>
    </w:p>
    <w:p w14:paraId="20F6368E">
      <w:pPr>
        <w:pageBreakBefore w:val="0"/>
        <w:widowControl/>
        <w:numPr>
          <w:ilvl w:val="255"/>
          <w:numId w:val="0"/>
        </w:numPr>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本单位不会向招标人、评标委员会故意隐瞒上述情况的相关信息。</w:t>
      </w:r>
    </w:p>
    <w:p w14:paraId="002566D0">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14:paraId="42BBEA9C">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p>
    <w:p w14:paraId="3D5973AE">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30133950">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p>
    <w:p w14:paraId="70EA5D52">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778B1A6">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注：如为联合体投标人，联合体各方均须作出声明，须分别提交原件并分别加盖单位公章及签字。联合体成员单位由法定代表人签字的，应附法定代表人身份证明；由委托代理人签字的，应附授权委托书。</w:t>
      </w:r>
    </w:p>
    <w:p w14:paraId="3A15B993">
      <w:pPr>
        <w:pageBreakBefore w:val="0"/>
        <w:kinsoku/>
        <w:overflowPunct/>
        <w:bidi w:val="0"/>
        <w:spacing w:beforeLines="0" w:afterLines="0" w:line="360" w:lineRule="auto"/>
        <w:ind w:left="0" w:leftChars="0" w:right="0"/>
        <w:rPr>
          <w:rFonts w:hint="eastAsia" w:ascii="宋体" w:hAnsi="宋体" w:eastAsia="宋体" w:cs="宋体"/>
          <w:bCs/>
          <w:color w:val="auto"/>
          <w:sz w:val="22"/>
          <w:szCs w:val="21"/>
          <w:highlight w:val="none"/>
        </w:rPr>
      </w:pPr>
      <w:r>
        <w:rPr>
          <w:rFonts w:hint="eastAsia" w:ascii="宋体" w:hAnsi="宋体" w:eastAsia="宋体" w:cs="宋体"/>
          <w:bCs/>
          <w:color w:val="auto"/>
          <w:sz w:val="22"/>
          <w:szCs w:val="21"/>
          <w:highlight w:val="none"/>
        </w:rPr>
        <w:br w:type="page"/>
      </w:r>
    </w:p>
    <w:p w14:paraId="5CA9D497">
      <w:pPr>
        <w:pStyle w:val="27"/>
        <w:pageBreakBefore w:val="0"/>
        <w:kinsoku/>
        <w:overflowPunct/>
        <w:bidi w:val="0"/>
        <w:spacing w:beforeLines="0" w:afterLines="0" w:line="360" w:lineRule="auto"/>
        <w:ind w:left="0" w:leftChars="0" w:right="0" w:firstLine="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附表九  标后履约承诺书</w:t>
      </w:r>
    </w:p>
    <w:p w14:paraId="66F60CC6">
      <w:pPr>
        <w:pageBreakBefore w:val="0"/>
        <w:widowControl/>
        <w:kinsoku/>
        <w:overflowPunct/>
        <w:autoSpaceDE w:val="0"/>
        <w:autoSpaceDN w:val="0"/>
        <w:bidi w:val="0"/>
        <w:snapToGrid w:val="0"/>
        <w:spacing w:beforeLines="0" w:afterLines="0" w:line="360" w:lineRule="auto"/>
        <w:ind w:left="0" w:leftChars="0" w:right="0" w:firstLine="420" w:firstLineChars="200"/>
        <w:textAlignment w:val="bottom"/>
        <w:rPr>
          <w:rFonts w:hint="eastAsia" w:ascii="宋体" w:hAnsi="宋体" w:eastAsia="宋体" w:cs="宋体"/>
          <w:color w:val="auto"/>
          <w:szCs w:val="21"/>
          <w:highlight w:val="none"/>
        </w:rPr>
      </w:pPr>
    </w:p>
    <w:p w14:paraId="4E9B2FAC">
      <w:pPr>
        <w:pageBreakBefore w:val="0"/>
        <w:widowControl/>
        <w:kinsoku/>
        <w:overflowPunct/>
        <w:autoSpaceDE w:val="0"/>
        <w:autoSpaceDN w:val="0"/>
        <w:bidi w:val="0"/>
        <w:snapToGrid w:val="0"/>
        <w:spacing w:beforeLines="0" w:afterLines="0" w:line="360" w:lineRule="auto"/>
        <w:ind w:left="0" w:leftChars="0" w:right="0"/>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致：</w:t>
      </w:r>
      <w:r>
        <w:rPr>
          <w:rFonts w:hint="eastAsia" w:ascii="宋体" w:hAnsi="宋体" w:eastAsia="宋体" w:cs="宋体"/>
          <w:color w:val="auto"/>
          <w:kern w:val="0"/>
          <w:szCs w:val="21"/>
          <w:highlight w:val="none"/>
          <w:u w:val="single"/>
          <w:lang w:eastAsia="zh-CN"/>
        </w:rPr>
        <w:t>广东南海城建集团有限公司</w:t>
      </w:r>
    </w:p>
    <w:p w14:paraId="2E7E5B22">
      <w:pPr>
        <w:pageBreakBefore w:val="0"/>
        <w:widowControl/>
        <w:kinsoku/>
        <w:overflowPunct/>
        <w:autoSpaceDE w:val="0"/>
        <w:autoSpaceDN w:val="0"/>
        <w:bidi w:val="0"/>
        <w:snapToGrid w:val="0"/>
        <w:spacing w:beforeLines="0" w:afterLines="0" w:line="360" w:lineRule="auto"/>
        <w:ind w:left="0" w:leftChars="0" w:righ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及投标文件中载明的项目负责人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已经认真阅读、知悉《佛山市政府投资工程建设项目标后履约监督管理办法（试行）》的全部内容。在明确理解有关管理规定和要求后，经过认真考虑，我单位决定参加贵方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（招标项目）的竞标，并做出以下真实意思表示的承诺：</w:t>
      </w:r>
    </w:p>
    <w:p w14:paraId="44F317D7">
      <w:pPr>
        <w:pageBreakBefore w:val="0"/>
        <w:widowControl/>
        <w:kinsoku/>
        <w:overflowPunct/>
        <w:autoSpaceDE w:val="0"/>
        <w:autoSpaceDN w:val="0"/>
        <w:bidi w:val="0"/>
        <w:snapToGrid w:val="0"/>
        <w:spacing w:beforeLines="0" w:afterLines="0" w:line="360" w:lineRule="auto"/>
        <w:ind w:left="0" w:leftChars="0" w:righ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一旦我单位中标，我单位保证守法经营、诚信履约，无条件全面遵守《佛山市政府投资工程建设项目标后履约监督管理办法（试行）》并接受管理，包括但不限于：</w:t>
      </w:r>
    </w:p>
    <w:p w14:paraId="503C2A0D">
      <w:pPr>
        <w:pageBreakBefore w:val="0"/>
        <w:widowControl/>
        <w:kinsoku/>
        <w:overflowPunct/>
        <w:autoSpaceDE w:val="0"/>
        <w:autoSpaceDN w:val="0"/>
        <w:bidi w:val="0"/>
        <w:snapToGrid w:val="0"/>
        <w:spacing w:beforeLines="0" w:afterLines="0" w:line="360" w:lineRule="auto"/>
        <w:ind w:left="0" w:leftChars="0" w:righ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1.我单位将严格按照合同约定、我单位投标文件和工程进度组织项目管理人员进场，承诺不擅自更换项目负责人等一切施工现场关键岗位人员，并根据工程的实际需要增派相关人员。</w:t>
      </w:r>
    </w:p>
    <w:p w14:paraId="7309FEB5">
      <w:pPr>
        <w:pageBreakBefore w:val="0"/>
        <w:widowControl/>
        <w:kinsoku/>
        <w:overflowPunct/>
        <w:autoSpaceDE w:val="0"/>
        <w:autoSpaceDN w:val="0"/>
        <w:bidi w:val="0"/>
        <w:snapToGrid w:val="0"/>
        <w:spacing w:beforeLines="0" w:afterLines="0" w:line="360" w:lineRule="auto"/>
        <w:ind w:left="0" w:leftChars="0" w:righ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2.我单位将严格按照合同约定、我单位投标文件和工程进度，组织</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，承诺根据工程的实际需要增加设备。</w:t>
      </w:r>
    </w:p>
    <w:p w14:paraId="0EC608A9">
      <w:pPr>
        <w:pageBreakBefore w:val="0"/>
        <w:widowControl/>
        <w:kinsoku/>
        <w:overflowPunct/>
        <w:autoSpaceDE w:val="0"/>
        <w:autoSpaceDN w:val="0"/>
        <w:bidi w:val="0"/>
        <w:snapToGrid w:val="0"/>
        <w:spacing w:beforeLines="0" w:afterLines="0" w:line="360" w:lineRule="auto"/>
        <w:ind w:left="0" w:leftChars="0" w:righ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3.我单位将严格按照合同约定完全接受业主对本招标项目工程款项的监管和共管，承诺将本招标项目工程款项全部用于本招标项目的支出，在项目通过竣（交）工验收前不以任何名义挪作他用。</w:t>
      </w:r>
    </w:p>
    <w:p w14:paraId="418329E4">
      <w:pPr>
        <w:pageBreakBefore w:val="0"/>
        <w:widowControl/>
        <w:kinsoku/>
        <w:overflowPunct/>
        <w:autoSpaceDE w:val="0"/>
        <w:autoSpaceDN w:val="0"/>
        <w:bidi w:val="0"/>
        <w:snapToGrid w:val="0"/>
        <w:spacing w:beforeLines="0" w:afterLines="0" w:line="360" w:lineRule="auto"/>
        <w:ind w:left="0" w:leftChars="0" w:righ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4.我单位承诺，在工程的实施过程中，我们完全响应招标文件的所有条款，履行合同义务。质量检验标准绝不低于招标文件或国家及广东省、佛山市地方强制性标准要求。</w:t>
      </w:r>
    </w:p>
    <w:p w14:paraId="437A1180">
      <w:pPr>
        <w:pageBreakBefore w:val="0"/>
        <w:widowControl/>
        <w:kinsoku/>
        <w:overflowPunct/>
        <w:autoSpaceDE w:val="0"/>
        <w:autoSpaceDN w:val="0"/>
        <w:bidi w:val="0"/>
        <w:snapToGrid w:val="0"/>
        <w:spacing w:beforeLines="0" w:afterLines="0" w:line="360" w:lineRule="auto"/>
        <w:ind w:left="0" w:leftChars="0" w:righ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5.我单位完全响应和遵守招标文件及合同中规定的工程验收、计量、支付办法。</w:t>
      </w:r>
    </w:p>
    <w:p w14:paraId="09362C49">
      <w:pPr>
        <w:pageBreakBefore w:val="0"/>
        <w:widowControl/>
        <w:kinsoku/>
        <w:overflowPunct/>
        <w:autoSpaceDE w:val="0"/>
        <w:autoSpaceDN w:val="0"/>
        <w:bidi w:val="0"/>
        <w:snapToGrid w:val="0"/>
        <w:spacing w:beforeLines="0" w:afterLines="0" w:line="360" w:lineRule="auto"/>
        <w:ind w:left="0" w:leftChars="0" w:righ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6.我单位承诺，在工程施工过程中，一定遵照投标文件中承诺的实施方案，精心</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，确保工程质量、安全生产满足相关规定和要求，并保护环境，按业主要求的工期完成</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w:t>
      </w:r>
    </w:p>
    <w:p w14:paraId="0E5286F3">
      <w:pPr>
        <w:pageBreakBefore w:val="0"/>
        <w:widowControl/>
        <w:kinsoku/>
        <w:overflowPunct/>
        <w:autoSpaceDE w:val="0"/>
        <w:autoSpaceDN w:val="0"/>
        <w:bidi w:val="0"/>
        <w:snapToGrid w:val="0"/>
        <w:spacing w:beforeLines="0" w:afterLines="0" w:line="360" w:lineRule="auto"/>
        <w:ind w:left="0" w:leftChars="0" w:righ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7.我单位承诺，在工程实施过程中，严格按照有关的规定做好各项安全保障措施。</w:t>
      </w:r>
    </w:p>
    <w:p w14:paraId="01143843">
      <w:pPr>
        <w:pageBreakBefore w:val="0"/>
        <w:widowControl/>
        <w:kinsoku/>
        <w:overflowPunct/>
        <w:autoSpaceDE w:val="0"/>
        <w:autoSpaceDN w:val="0"/>
        <w:bidi w:val="0"/>
        <w:snapToGrid w:val="0"/>
        <w:spacing w:beforeLines="0" w:afterLines="0" w:line="360" w:lineRule="auto"/>
        <w:ind w:left="0" w:leftChars="0" w:righ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□8.我单位承诺，一定遵照投标文件中承诺的要求进行质量保修（售后服务）、服务响应。</w:t>
      </w:r>
    </w:p>
    <w:p w14:paraId="2EAFD86B">
      <w:pPr>
        <w:pageBreakBefore w:val="0"/>
        <w:widowControl/>
        <w:kinsoku/>
        <w:overflowPunct/>
        <w:autoSpaceDE w:val="0"/>
        <w:autoSpaceDN w:val="0"/>
        <w:bidi w:val="0"/>
        <w:snapToGrid w:val="0"/>
        <w:spacing w:beforeLines="0" w:afterLines="0" w:line="360" w:lineRule="auto"/>
        <w:ind w:left="0" w:leftChars="0" w:right="0"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若我单位在工程实施过程中违背上述承诺，我单位自愿承担由此引起的一切法律后果和相关责任。</w:t>
      </w:r>
    </w:p>
    <w:p w14:paraId="58648C23">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14:paraId="5BB2318B">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p>
    <w:p w14:paraId="04467E30">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0E28AA2B">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p>
    <w:p w14:paraId="284D5E4B">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561CB6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p>
    <w:p w14:paraId="53878D63">
      <w:pPr>
        <w:pageBreakBefore w:val="0"/>
        <w:kinsoku/>
        <w:overflowPunct/>
        <w:bidi w:val="0"/>
        <w:spacing w:beforeLines="0" w:afterLines="0" w:line="360" w:lineRule="auto"/>
        <w:ind w:left="0" w:leftChars="0" w:right="0"/>
        <w:rPr>
          <w:rFonts w:hint="eastAsia" w:ascii="宋体" w:hAnsi="宋体" w:eastAsia="宋体" w:cs="宋体"/>
          <w:bCs/>
          <w:color w:val="auto"/>
          <w:sz w:val="22"/>
          <w:szCs w:val="21"/>
          <w:highlight w:val="none"/>
        </w:rPr>
      </w:pPr>
      <w:r>
        <w:rPr>
          <w:rFonts w:hint="eastAsia" w:ascii="宋体" w:hAnsi="宋体" w:eastAsia="宋体" w:cs="宋体"/>
          <w:bCs/>
          <w:color w:val="auto"/>
          <w:sz w:val="22"/>
          <w:szCs w:val="21"/>
          <w:highlight w:val="none"/>
        </w:rPr>
        <w:br w:type="page"/>
      </w:r>
    </w:p>
    <w:p w14:paraId="7E8D1787">
      <w:pPr>
        <w:pStyle w:val="27"/>
        <w:pageBreakBefore w:val="0"/>
        <w:kinsoku/>
        <w:overflowPunct/>
        <w:bidi w:val="0"/>
        <w:spacing w:beforeLines="0" w:afterLines="0" w:line="360" w:lineRule="auto"/>
        <w:ind w:left="0" w:leftChars="0" w:right="0" w:firstLine="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附表十  中小企业声明函（如有）</w:t>
      </w:r>
    </w:p>
    <w:p w14:paraId="7B06EBD4">
      <w:pPr>
        <w:pageBreakBefore w:val="0"/>
        <w:widowControl/>
        <w:kinsoku/>
        <w:overflowPunct/>
        <w:autoSpaceDE w:val="0"/>
        <w:autoSpaceDN w:val="0"/>
        <w:bidi w:val="0"/>
        <w:snapToGrid w:val="0"/>
        <w:spacing w:beforeLines="0" w:afterLines="0" w:line="360" w:lineRule="auto"/>
        <w:ind w:left="0" w:leftChars="0" w:right="0" w:firstLine="420" w:firstLineChars="200"/>
        <w:textAlignment w:val="bottom"/>
        <w:rPr>
          <w:rFonts w:hint="eastAsia" w:ascii="宋体" w:hAnsi="宋体" w:eastAsia="宋体" w:cs="宋体"/>
          <w:color w:val="auto"/>
          <w:szCs w:val="21"/>
          <w:highlight w:val="none"/>
        </w:rPr>
      </w:pPr>
    </w:p>
    <w:p w14:paraId="36B66869">
      <w:pPr>
        <w:pageBreakBefore w:val="0"/>
        <w:widowControl/>
        <w:kinsoku/>
        <w:overflowPunct/>
        <w:autoSpaceDE w:val="0"/>
        <w:autoSpaceDN w:val="0"/>
        <w:bidi w:val="0"/>
        <w:snapToGrid w:val="0"/>
        <w:spacing w:beforeLines="0" w:afterLines="0" w:line="360" w:lineRule="auto"/>
        <w:ind w:left="0" w:leftChars="0" w:right="0" w:firstLine="420" w:firstLineChars="200"/>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致：</w:t>
      </w:r>
      <w:r>
        <w:rPr>
          <w:rFonts w:hint="eastAsia" w:ascii="宋体" w:hAnsi="宋体" w:eastAsia="宋体" w:cs="宋体"/>
          <w:color w:val="auto"/>
          <w:kern w:val="0"/>
          <w:szCs w:val="21"/>
          <w:highlight w:val="none"/>
          <w:u w:val="single"/>
          <w:lang w:eastAsia="zh-CN"/>
        </w:rPr>
        <w:t>广东南海城建集团有限公司</w:t>
      </w:r>
    </w:p>
    <w:p w14:paraId="3EDF8D88">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本公司（联合体）郑重声明，根据《政府采购促进中小企业发展管理办法》（财库﹝2020﹞46号）的规定，本公司（联合体）参加</w:t>
      </w:r>
      <w:r>
        <w:rPr>
          <w:rFonts w:hint="eastAsia" w:ascii="宋体" w:hAnsi="宋体" w:eastAsia="宋体" w:cs="宋体"/>
          <w:color w:val="auto"/>
          <w:kern w:val="0"/>
          <w:szCs w:val="21"/>
          <w:highlight w:val="none"/>
          <w:u w:val="single"/>
        </w:rPr>
        <w:t xml:space="preserve"> （招标人）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u w:val="single"/>
        </w:rPr>
        <w:t xml:space="preserve">（项目名称） </w:t>
      </w:r>
      <w:r>
        <w:rPr>
          <w:rFonts w:hint="eastAsia" w:ascii="宋体" w:hAnsi="宋体" w:eastAsia="宋体" w:cs="宋体"/>
          <w:color w:val="auto"/>
          <w:kern w:val="0"/>
          <w:szCs w:val="21"/>
          <w:highlight w:val="none"/>
        </w:rPr>
        <w:t xml:space="preserve">招标活动，工程的勘察设计单位全部为符合政策要求的中小企业。相关企业（含联合体中的中小企业、签订分包意向协议的中小企业）的具体情况如下： </w:t>
      </w:r>
    </w:p>
    <w:p w14:paraId="1656AFC9">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（标的名称）</w:t>
      </w:r>
      <w:r>
        <w:rPr>
          <w:rFonts w:hint="eastAsia" w:ascii="宋体" w:hAnsi="宋体" w:eastAsia="宋体" w:cs="宋体"/>
          <w:color w:val="auto"/>
          <w:kern w:val="0"/>
          <w:szCs w:val="21"/>
          <w:highlight w:val="none"/>
        </w:rPr>
        <w:t>，属于</w:t>
      </w:r>
      <w:r>
        <w:rPr>
          <w:rFonts w:hint="eastAsia" w:ascii="宋体" w:hAnsi="宋体" w:eastAsia="宋体" w:cs="宋体"/>
          <w:bCs/>
          <w:color w:val="auto"/>
          <w:szCs w:val="21"/>
          <w:highlight w:val="none"/>
        </w:rPr>
        <w:t>其他未列明</w:t>
      </w:r>
      <w:r>
        <w:rPr>
          <w:rFonts w:hint="eastAsia" w:ascii="宋体" w:hAnsi="宋体" w:eastAsia="宋体" w:cs="宋体"/>
          <w:color w:val="auto"/>
          <w:kern w:val="0"/>
          <w:szCs w:val="21"/>
          <w:highlight w:val="none"/>
        </w:rPr>
        <w:t>行业；承建（承接）企业为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Cs w:val="21"/>
          <w:highlight w:val="none"/>
        </w:rPr>
        <w:t>，从业人员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人，营业收入为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万元，资产总额为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万元，属于</w:t>
      </w:r>
      <w:r>
        <w:rPr>
          <w:rFonts w:hint="eastAsia" w:ascii="宋体" w:hAnsi="宋体" w:eastAsia="宋体" w:cs="宋体"/>
          <w:color w:val="auto"/>
          <w:kern w:val="0"/>
          <w:szCs w:val="21"/>
          <w:highlight w:val="none"/>
          <w:u w:val="single"/>
        </w:rPr>
        <w:t>（小型企业、微型企业）</w:t>
      </w:r>
      <w:r>
        <w:rPr>
          <w:rFonts w:hint="eastAsia" w:ascii="宋体" w:hAnsi="宋体" w:eastAsia="宋体" w:cs="宋体"/>
          <w:color w:val="auto"/>
          <w:kern w:val="0"/>
          <w:szCs w:val="21"/>
          <w:highlight w:val="none"/>
        </w:rPr>
        <w:t>；</w:t>
      </w:r>
    </w:p>
    <w:p w14:paraId="282958E4">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u w:val="single"/>
        </w:rPr>
        <w:t>（标的名称）</w:t>
      </w:r>
      <w:r>
        <w:rPr>
          <w:rFonts w:hint="eastAsia" w:ascii="宋体" w:hAnsi="宋体" w:eastAsia="宋体" w:cs="宋体"/>
          <w:color w:val="auto"/>
          <w:kern w:val="0"/>
          <w:szCs w:val="21"/>
          <w:highlight w:val="none"/>
        </w:rPr>
        <w:t>，属于</w:t>
      </w:r>
      <w:r>
        <w:rPr>
          <w:rFonts w:hint="eastAsia" w:ascii="宋体" w:hAnsi="宋体" w:eastAsia="宋体" w:cs="宋体"/>
          <w:bCs/>
          <w:color w:val="auto"/>
          <w:szCs w:val="21"/>
          <w:highlight w:val="none"/>
        </w:rPr>
        <w:t>其他未列明</w:t>
      </w:r>
      <w:r>
        <w:rPr>
          <w:rFonts w:hint="eastAsia" w:ascii="宋体" w:hAnsi="宋体" w:eastAsia="宋体" w:cs="宋体"/>
          <w:color w:val="auto"/>
          <w:kern w:val="0"/>
          <w:szCs w:val="21"/>
          <w:highlight w:val="none"/>
        </w:rPr>
        <w:t>行业；承建（承接）企业为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Cs w:val="21"/>
          <w:highlight w:val="none"/>
        </w:rPr>
        <w:t>，从业人员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人，营业收入为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万元，资产总额为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万元，属于</w:t>
      </w:r>
      <w:r>
        <w:rPr>
          <w:rFonts w:hint="eastAsia" w:ascii="宋体" w:hAnsi="宋体" w:eastAsia="宋体" w:cs="宋体"/>
          <w:color w:val="auto"/>
          <w:kern w:val="0"/>
          <w:szCs w:val="21"/>
          <w:highlight w:val="none"/>
          <w:u w:val="single"/>
        </w:rPr>
        <w:t>（小型企业、微型企业）</w:t>
      </w:r>
      <w:r>
        <w:rPr>
          <w:rFonts w:hint="eastAsia" w:ascii="宋体" w:hAnsi="宋体" w:eastAsia="宋体" w:cs="宋体"/>
          <w:color w:val="auto"/>
          <w:kern w:val="0"/>
          <w:szCs w:val="21"/>
          <w:highlight w:val="none"/>
        </w:rPr>
        <w:t>；</w:t>
      </w:r>
    </w:p>
    <w:p w14:paraId="76D6B303">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560FAEDC">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以上企业，不属于大企业的分支机构，不存在控股股东为大企业的情形，也不存在与大企业的负责人为同一人的情形。 </w:t>
      </w:r>
    </w:p>
    <w:p w14:paraId="2E697928">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本企业对上述声明内容的真实性负责。如有虚假，将依法承担相应责任。 </w:t>
      </w:r>
    </w:p>
    <w:p w14:paraId="74473FE4">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p>
    <w:p w14:paraId="26A0713C">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14:paraId="5BC5BB05">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p>
    <w:p w14:paraId="39512574">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45EB96D8">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p>
    <w:p w14:paraId="200528B4">
      <w:pPr>
        <w:pStyle w:val="36"/>
        <w:pageBreakBefore w:val="0"/>
        <w:kinsoku/>
        <w:overflowPunct/>
        <w:bidi w:val="0"/>
        <w:spacing w:beforeLines="0" w:after="0" w:afterLines="0" w:line="360" w:lineRule="auto"/>
        <w:ind w:left="0" w:leftChars="0" w:right="0" w:firstLine="420" w:firstLineChars="200"/>
        <w:jc w:val="right"/>
        <w:rPr>
          <w:rFonts w:hint="eastAsia" w:ascii="宋体" w:hAnsi="宋体" w:eastAsia="宋体" w:cs="宋体"/>
          <w:color w:val="auto"/>
          <w:sz w:val="18"/>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71F43685">
      <w:pPr>
        <w:pStyle w:val="36"/>
        <w:pageBreakBefore w:val="0"/>
        <w:kinsoku/>
        <w:overflowPunct/>
        <w:bidi w:val="0"/>
        <w:spacing w:beforeLines="0" w:after="0" w:afterLines="0" w:line="360" w:lineRule="auto"/>
        <w:ind w:left="0" w:leftChars="0" w:right="0" w:firstLine="360" w:firstLineChars="200"/>
        <w:rPr>
          <w:rFonts w:hint="eastAsia" w:ascii="宋体" w:hAnsi="宋体" w:eastAsia="宋体" w:cs="宋体"/>
          <w:color w:val="auto"/>
          <w:sz w:val="18"/>
          <w:szCs w:val="21"/>
          <w:highlight w:val="none"/>
        </w:rPr>
      </w:pPr>
    </w:p>
    <w:p w14:paraId="4F35500D">
      <w:pPr>
        <w:pStyle w:val="36"/>
        <w:pageBreakBefore w:val="0"/>
        <w:kinsoku/>
        <w:overflowPunct/>
        <w:bidi w:val="0"/>
        <w:spacing w:beforeLines="0" w:after="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注：从业人员、营业收入、资产总额填报上一年度数据，无上一年度数据的新成立企业可不填报。</w:t>
      </w:r>
    </w:p>
    <w:p w14:paraId="726B342A">
      <w:pPr>
        <w:pageBreakBefore w:val="0"/>
        <w:kinsoku/>
        <w:overflowPunct/>
        <w:bidi w:val="0"/>
        <w:spacing w:beforeLines="0" w:afterLines="0" w:line="360" w:lineRule="auto"/>
        <w:ind w:left="0" w:leftChars="0" w:right="0" w:firstLine="480" w:firstLineChars="200"/>
        <w:rPr>
          <w:rFonts w:hint="eastAsia" w:ascii="宋体" w:hAnsi="宋体" w:eastAsia="宋体" w:cs="宋体"/>
          <w:color w:val="auto"/>
          <w:sz w:val="24"/>
          <w:highlight w:val="none"/>
        </w:rPr>
      </w:pPr>
    </w:p>
    <w:p w14:paraId="38D5BF25">
      <w:pPr>
        <w:pageBreakBefore w:val="0"/>
        <w:kinsoku/>
        <w:overflowPunct/>
        <w:bidi w:val="0"/>
        <w:spacing w:beforeLines="0" w:afterLines="0" w:line="360" w:lineRule="auto"/>
        <w:ind w:left="0" w:leftChars="0" w:right="0" w:firstLine="6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2992143">
      <w:pPr>
        <w:pStyle w:val="27"/>
        <w:pageBreakBefore w:val="0"/>
        <w:kinsoku/>
        <w:overflowPunct/>
        <w:bidi w:val="0"/>
        <w:spacing w:beforeLines="0" w:afterLines="0" w:line="360" w:lineRule="auto"/>
        <w:ind w:left="0" w:leftChars="0" w:right="0" w:firstLine="0"/>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附表十一  投标人资信标响应一览表（如有）</w:t>
      </w:r>
    </w:p>
    <w:p w14:paraId="6A952A21">
      <w:pPr>
        <w:pageBreakBefore w:val="0"/>
        <w:widowControl/>
        <w:kinsoku/>
        <w:overflowPunct/>
        <w:autoSpaceDE w:val="0"/>
        <w:autoSpaceDN w:val="0"/>
        <w:bidi w:val="0"/>
        <w:snapToGrid w:val="0"/>
        <w:spacing w:beforeLines="0" w:afterLines="0" w:line="360" w:lineRule="auto"/>
        <w:ind w:left="0" w:leftChars="0" w:right="0" w:firstLine="420" w:firstLineChars="200"/>
        <w:textAlignment w:val="bottom"/>
        <w:rPr>
          <w:rFonts w:hint="eastAsia" w:ascii="宋体" w:hAnsi="宋体" w:eastAsia="宋体" w:cs="宋体"/>
          <w:color w:val="auto"/>
          <w:szCs w:val="21"/>
          <w:highlight w:val="none"/>
        </w:rPr>
      </w:pPr>
    </w:p>
    <w:tbl>
      <w:tblPr>
        <w:tblStyle w:val="63"/>
        <w:tblW w:w="995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671"/>
        <w:gridCol w:w="1462"/>
        <w:gridCol w:w="2773"/>
        <w:gridCol w:w="3308"/>
        <w:gridCol w:w="1744"/>
      </w:tblGrid>
      <w:tr w14:paraId="12C01C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71" w:type="dxa"/>
            <w:vAlign w:val="center"/>
          </w:tcPr>
          <w:p w14:paraId="3B64FAE2">
            <w:pPr>
              <w:pageBreakBefore w:val="0"/>
              <w:kinsoku/>
              <w:overflowPunct/>
              <w:bidi w:val="0"/>
              <w:adjustRightInd w:val="0"/>
              <w:snapToGrid w:val="0"/>
              <w:spacing w:beforeLines="0" w:afterLines="0" w:line="360" w:lineRule="auto"/>
              <w:ind w:left="0" w:leftChars="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462" w:type="dxa"/>
            <w:vAlign w:val="center"/>
          </w:tcPr>
          <w:p w14:paraId="48C2DDE0">
            <w:pPr>
              <w:pageBreakBefore w:val="0"/>
              <w:kinsoku/>
              <w:overflowPunct/>
              <w:bidi w:val="0"/>
              <w:adjustRightInd w:val="0"/>
              <w:snapToGrid w:val="0"/>
              <w:spacing w:beforeLines="0" w:afterLines="0" w:line="360" w:lineRule="auto"/>
              <w:ind w:left="0" w:leftChars="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评分因素</w:t>
            </w:r>
          </w:p>
        </w:tc>
        <w:tc>
          <w:tcPr>
            <w:tcW w:w="2773" w:type="dxa"/>
            <w:tcBorders>
              <w:right w:val="single" w:color="auto" w:sz="4" w:space="0"/>
            </w:tcBorders>
            <w:vAlign w:val="center"/>
          </w:tcPr>
          <w:p w14:paraId="0E1FF98A">
            <w:pPr>
              <w:pageBreakBefore w:val="0"/>
              <w:kinsoku/>
              <w:overflowPunct/>
              <w:bidi w:val="0"/>
              <w:adjustRightInd w:val="0"/>
              <w:snapToGrid w:val="0"/>
              <w:spacing w:beforeLines="0" w:afterLines="0" w:line="360" w:lineRule="auto"/>
              <w:ind w:left="0" w:leftChars="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评分标准</w:t>
            </w:r>
          </w:p>
        </w:tc>
        <w:tc>
          <w:tcPr>
            <w:tcW w:w="3308" w:type="dxa"/>
            <w:tcBorders>
              <w:left w:val="single" w:color="auto" w:sz="4" w:space="0"/>
              <w:right w:val="single" w:color="auto" w:sz="4" w:space="0"/>
            </w:tcBorders>
            <w:vAlign w:val="center"/>
          </w:tcPr>
          <w:p w14:paraId="414D6D4E">
            <w:pPr>
              <w:pageBreakBefore w:val="0"/>
              <w:kinsoku/>
              <w:overflowPunct/>
              <w:bidi w:val="0"/>
              <w:adjustRightInd w:val="0"/>
              <w:snapToGrid w:val="0"/>
              <w:spacing w:beforeLines="0" w:afterLines="0" w:line="360" w:lineRule="auto"/>
              <w:ind w:left="0" w:leftChars="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响应情况总结陈述</w:t>
            </w:r>
          </w:p>
        </w:tc>
        <w:tc>
          <w:tcPr>
            <w:tcW w:w="1744" w:type="dxa"/>
            <w:tcBorders>
              <w:left w:val="single" w:color="auto" w:sz="4" w:space="0"/>
            </w:tcBorders>
            <w:vAlign w:val="center"/>
          </w:tcPr>
          <w:p w14:paraId="15973DF0">
            <w:pPr>
              <w:pageBreakBefore w:val="0"/>
              <w:kinsoku/>
              <w:overflowPunct/>
              <w:bidi w:val="0"/>
              <w:adjustRightInd w:val="0"/>
              <w:snapToGrid w:val="0"/>
              <w:spacing w:beforeLines="0" w:afterLines="0" w:line="360" w:lineRule="auto"/>
              <w:ind w:left="0" w:leftChars="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856B2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71" w:type="dxa"/>
            <w:vAlign w:val="center"/>
          </w:tcPr>
          <w:p w14:paraId="5DD85B9A">
            <w:pPr>
              <w:pageBreakBefore w:val="0"/>
              <w:kinsoku/>
              <w:overflowPunct/>
              <w:bidi w:val="0"/>
              <w:adjustRightInd w:val="0"/>
              <w:snapToGrid w:val="0"/>
              <w:spacing w:beforeLines="0" w:afterLines="0" w:line="360" w:lineRule="auto"/>
              <w:ind w:left="0" w:leftChars="0" w:right="0"/>
              <w:jc w:val="center"/>
              <w:rPr>
                <w:rFonts w:hint="eastAsia" w:ascii="宋体" w:hAnsi="宋体" w:eastAsia="宋体" w:cs="宋体"/>
                <w:bCs/>
                <w:color w:val="auto"/>
                <w:szCs w:val="21"/>
                <w:highlight w:val="none"/>
              </w:rPr>
            </w:pPr>
          </w:p>
        </w:tc>
        <w:tc>
          <w:tcPr>
            <w:tcW w:w="1462" w:type="dxa"/>
            <w:vAlign w:val="center"/>
          </w:tcPr>
          <w:p w14:paraId="64267E67">
            <w:pPr>
              <w:pageBreakBefore w:val="0"/>
              <w:kinsoku/>
              <w:overflowPunct/>
              <w:bidi w:val="0"/>
              <w:adjustRightInd w:val="0"/>
              <w:snapToGrid w:val="0"/>
              <w:spacing w:beforeLines="0" w:afterLines="0" w:line="360" w:lineRule="auto"/>
              <w:ind w:left="0" w:leftChars="0" w:right="0"/>
              <w:jc w:val="center"/>
              <w:rPr>
                <w:rFonts w:hint="eastAsia" w:ascii="宋体" w:hAnsi="宋体" w:eastAsia="宋体" w:cs="宋体"/>
                <w:bCs/>
                <w:color w:val="auto"/>
                <w:szCs w:val="21"/>
                <w:highlight w:val="none"/>
              </w:rPr>
            </w:pPr>
          </w:p>
        </w:tc>
        <w:tc>
          <w:tcPr>
            <w:tcW w:w="2773" w:type="dxa"/>
            <w:tcBorders>
              <w:right w:val="single" w:color="auto" w:sz="4" w:space="0"/>
            </w:tcBorders>
            <w:vAlign w:val="center"/>
          </w:tcPr>
          <w:p w14:paraId="1BB3A98B">
            <w:pPr>
              <w:pageBreakBefore w:val="0"/>
              <w:kinsoku/>
              <w:overflowPunct/>
              <w:bidi w:val="0"/>
              <w:adjustRightInd w:val="0"/>
              <w:snapToGrid w:val="0"/>
              <w:spacing w:beforeLines="0" w:afterLines="0" w:line="360" w:lineRule="auto"/>
              <w:ind w:left="0" w:leftChars="0" w:right="0"/>
              <w:rPr>
                <w:rFonts w:hint="eastAsia" w:ascii="宋体" w:hAnsi="宋体" w:eastAsia="宋体" w:cs="宋体"/>
                <w:bCs/>
                <w:color w:val="auto"/>
                <w:szCs w:val="21"/>
                <w:highlight w:val="none"/>
              </w:rPr>
            </w:pPr>
          </w:p>
        </w:tc>
        <w:tc>
          <w:tcPr>
            <w:tcW w:w="3308" w:type="dxa"/>
            <w:tcBorders>
              <w:left w:val="single" w:color="auto" w:sz="4" w:space="0"/>
              <w:right w:val="single" w:color="auto" w:sz="4" w:space="0"/>
            </w:tcBorders>
            <w:vAlign w:val="center"/>
          </w:tcPr>
          <w:p w14:paraId="6D88AE15">
            <w:pPr>
              <w:pageBreakBefore w:val="0"/>
              <w:kinsoku/>
              <w:overflowPunct/>
              <w:bidi w:val="0"/>
              <w:adjustRightInd w:val="0"/>
              <w:snapToGrid w:val="0"/>
              <w:spacing w:beforeLines="0" w:afterLines="0" w:line="360" w:lineRule="auto"/>
              <w:ind w:left="0" w:leftChars="0" w:right="0"/>
              <w:rPr>
                <w:rFonts w:hint="eastAsia" w:ascii="宋体" w:hAnsi="宋体" w:eastAsia="宋体" w:cs="宋体"/>
                <w:bCs/>
                <w:color w:val="auto"/>
                <w:szCs w:val="21"/>
                <w:highlight w:val="none"/>
              </w:rPr>
            </w:pPr>
          </w:p>
        </w:tc>
        <w:tc>
          <w:tcPr>
            <w:tcW w:w="1744" w:type="dxa"/>
            <w:tcBorders>
              <w:left w:val="single" w:color="auto" w:sz="4" w:space="0"/>
            </w:tcBorders>
            <w:vAlign w:val="center"/>
          </w:tcPr>
          <w:p w14:paraId="6264CC07">
            <w:pPr>
              <w:pageBreakBefore w:val="0"/>
              <w:kinsoku/>
              <w:overflowPunct/>
              <w:bidi w:val="0"/>
              <w:adjustRightInd w:val="0"/>
              <w:snapToGrid w:val="0"/>
              <w:spacing w:beforeLines="0" w:afterLines="0" w:line="360" w:lineRule="auto"/>
              <w:ind w:left="0" w:leftChars="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例：</w:t>
            </w:r>
          </w:p>
          <w:p w14:paraId="7FA6F025">
            <w:pPr>
              <w:pageBreakBefore w:val="0"/>
              <w:kinsoku/>
              <w:overflowPunct/>
              <w:bidi w:val="0"/>
              <w:adjustRightInd w:val="0"/>
              <w:snapToGrid w:val="0"/>
              <w:spacing w:beforeLines="0" w:afterLines="0" w:line="360" w:lineRule="auto"/>
              <w:ind w:left="0" w:leftChars="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附表x第x页</w:t>
            </w:r>
          </w:p>
        </w:tc>
      </w:tr>
      <w:tr w14:paraId="24A0AA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71" w:type="dxa"/>
            <w:vAlign w:val="center"/>
          </w:tcPr>
          <w:p w14:paraId="10558619">
            <w:pPr>
              <w:pageBreakBefore w:val="0"/>
              <w:kinsoku/>
              <w:overflowPunct/>
              <w:bidi w:val="0"/>
              <w:spacing w:beforeLines="0" w:afterLines="0" w:line="360" w:lineRule="auto"/>
              <w:ind w:left="0" w:leftChars="0" w:right="0"/>
              <w:rPr>
                <w:rFonts w:hint="eastAsia" w:ascii="宋体" w:hAnsi="宋体" w:eastAsia="宋体" w:cs="宋体"/>
                <w:bCs/>
                <w:color w:val="auto"/>
                <w:szCs w:val="21"/>
                <w:highlight w:val="none"/>
              </w:rPr>
            </w:pPr>
          </w:p>
        </w:tc>
        <w:tc>
          <w:tcPr>
            <w:tcW w:w="1462" w:type="dxa"/>
            <w:vAlign w:val="center"/>
          </w:tcPr>
          <w:p w14:paraId="42863D79">
            <w:pPr>
              <w:pageBreakBefore w:val="0"/>
              <w:kinsoku/>
              <w:overflowPunct/>
              <w:bidi w:val="0"/>
              <w:spacing w:beforeLines="0" w:afterLines="0" w:line="360" w:lineRule="auto"/>
              <w:ind w:left="0" w:leftChars="0" w:right="0"/>
              <w:rPr>
                <w:rFonts w:hint="eastAsia" w:ascii="宋体" w:hAnsi="宋体" w:eastAsia="宋体" w:cs="宋体"/>
                <w:bCs/>
                <w:color w:val="auto"/>
                <w:szCs w:val="21"/>
                <w:highlight w:val="none"/>
              </w:rPr>
            </w:pPr>
          </w:p>
        </w:tc>
        <w:tc>
          <w:tcPr>
            <w:tcW w:w="2773" w:type="dxa"/>
            <w:tcBorders>
              <w:right w:val="single" w:color="auto" w:sz="4" w:space="0"/>
            </w:tcBorders>
            <w:vAlign w:val="center"/>
          </w:tcPr>
          <w:p w14:paraId="36615DF6">
            <w:pPr>
              <w:pageBreakBefore w:val="0"/>
              <w:kinsoku/>
              <w:overflowPunct/>
              <w:bidi w:val="0"/>
              <w:adjustRightInd w:val="0"/>
              <w:snapToGrid w:val="0"/>
              <w:spacing w:beforeLines="0" w:afterLines="0" w:line="360" w:lineRule="auto"/>
              <w:ind w:left="0" w:leftChars="0" w:right="0"/>
              <w:rPr>
                <w:rFonts w:hint="eastAsia" w:ascii="宋体" w:hAnsi="宋体" w:eastAsia="宋体" w:cs="宋体"/>
                <w:bCs/>
                <w:color w:val="auto"/>
                <w:szCs w:val="21"/>
                <w:highlight w:val="none"/>
              </w:rPr>
            </w:pPr>
          </w:p>
        </w:tc>
        <w:tc>
          <w:tcPr>
            <w:tcW w:w="3308" w:type="dxa"/>
            <w:tcBorders>
              <w:left w:val="single" w:color="auto" w:sz="4" w:space="0"/>
              <w:right w:val="single" w:color="auto" w:sz="4" w:space="0"/>
            </w:tcBorders>
            <w:vAlign w:val="center"/>
          </w:tcPr>
          <w:p w14:paraId="45F62EBC">
            <w:pPr>
              <w:pageBreakBefore w:val="0"/>
              <w:kinsoku/>
              <w:overflowPunct/>
              <w:bidi w:val="0"/>
              <w:adjustRightInd w:val="0"/>
              <w:snapToGrid w:val="0"/>
              <w:spacing w:beforeLines="0" w:afterLines="0" w:line="360" w:lineRule="auto"/>
              <w:ind w:left="0" w:leftChars="0" w:right="0"/>
              <w:rPr>
                <w:rFonts w:hint="eastAsia" w:ascii="宋体" w:hAnsi="宋体" w:eastAsia="宋体" w:cs="宋体"/>
                <w:bCs/>
                <w:color w:val="auto"/>
                <w:szCs w:val="21"/>
                <w:highlight w:val="none"/>
              </w:rPr>
            </w:pPr>
          </w:p>
        </w:tc>
        <w:tc>
          <w:tcPr>
            <w:tcW w:w="1744" w:type="dxa"/>
            <w:tcBorders>
              <w:left w:val="single" w:color="auto" w:sz="4" w:space="0"/>
            </w:tcBorders>
            <w:vAlign w:val="center"/>
          </w:tcPr>
          <w:p w14:paraId="03ED7DF5">
            <w:pPr>
              <w:pageBreakBefore w:val="0"/>
              <w:kinsoku/>
              <w:overflowPunct/>
              <w:bidi w:val="0"/>
              <w:adjustRightInd w:val="0"/>
              <w:snapToGrid w:val="0"/>
              <w:spacing w:beforeLines="0" w:afterLines="0" w:line="360" w:lineRule="auto"/>
              <w:ind w:left="0" w:leftChars="0" w:right="0"/>
              <w:rPr>
                <w:rFonts w:hint="eastAsia" w:ascii="宋体" w:hAnsi="宋体" w:eastAsia="宋体" w:cs="宋体"/>
                <w:bCs/>
                <w:color w:val="auto"/>
                <w:szCs w:val="21"/>
                <w:highlight w:val="none"/>
              </w:rPr>
            </w:pPr>
          </w:p>
        </w:tc>
      </w:tr>
      <w:tr w14:paraId="384FA2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71" w:type="dxa"/>
            <w:vAlign w:val="center"/>
          </w:tcPr>
          <w:p w14:paraId="5279041D">
            <w:pPr>
              <w:pageBreakBefore w:val="0"/>
              <w:kinsoku/>
              <w:overflowPunct/>
              <w:bidi w:val="0"/>
              <w:adjustRightInd w:val="0"/>
              <w:snapToGrid w:val="0"/>
              <w:spacing w:beforeLines="0" w:afterLines="0" w:line="360" w:lineRule="auto"/>
              <w:ind w:left="0" w:leftChars="0" w:right="0"/>
              <w:jc w:val="center"/>
              <w:rPr>
                <w:rFonts w:hint="eastAsia" w:ascii="宋体" w:hAnsi="宋体" w:eastAsia="宋体" w:cs="宋体"/>
                <w:bCs/>
                <w:color w:val="auto"/>
                <w:szCs w:val="21"/>
                <w:highlight w:val="none"/>
              </w:rPr>
            </w:pPr>
          </w:p>
        </w:tc>
        <w:tc>
          <w:tcPr>
            <w:tcW w:w="1462" w:type="dxa"/>
            <w:vAlign w:val="center"/>
          </w:tcPr>
          <w:p w14:paraId="49E9B799">
            <w:pPr>
              <w:pageBreakBefore w:val="0"/>
              <w:kinsoku/>
              <w:overflowPunct/>
              <w:bidi w:val="0"/>
              <w:adjustRightInd w:val="0"/>
              <w:snapToGrid w:val="0"/>
              <w:spacing w:beforeLines="0" w:afterLines="0" w:line="360" w:lineRule="auto"/>
              <w:ind w:left="0" w:leftChars="0" w:right="0"/>
              <w:rPr>
                <w:rFonts w:hint="eastAsia" w:ascii="宋体" w:hAnsi="宋体" w:eastAsia="宋体" w:cs="宋体"/>
                <w:bCs/>
                <w:color w:val="auto"/>
                <w:szCs w:val="21"/>
                <w:highlight w:val="none"/>
              </w:rPr>
            </w:pPr>
          </w:p>
        </w:tc>
        <w:tc>
          <w:tcPr>
            <w:tcW w:w="2773" w:type="dxa"/>
            <w:tcBorders>
              <w:right w:val="single" w:color="auto" w:sz="4" w:space="0"/>
            </w:tcBorders>
            <w:vAlign w:val="center"/>
          </w:tcPr>
          <w:p w14:paraId="475774E1">
            <w:pPr>
              <w:pageBreakBefore w:val="0"/>
              <w:kinsoku/>
              <w:overflowPunct/>
              <w:bidi w:val="0"/>
              <w:spacing w:beforeLines="0" w:afterLines="0" w:line="360" w:lineRule="auto"/>
              <w:ind w:left="0" w:leftChars="0" w:right="0"/>
              <w:rPr>
                <w:rFonts w:hint="eastAsia" w:ascii="宋体" w:hAnsi="宋体" w:eastAsia="宋体" w:cs="宋体"/>
                <w:bCs/>
                <w:color w:val="auto"/>
                <w:szCs w:val="21"/>
                <w:highlight w:val="none"/>
              </w:rPr>
            </w:pPr>
          </w:p>
        </w:tc>
        <w:tc>
          <w:tcPr>
            <w:tcW w:w="3308" w:type="dxa"/>
            <w:tcBorders>
              <w:left w:val="single" w:color="auto" w:sz="4" w:space="0"/>
              <w:right w:val="single" w:color="auto" w:sz="4" w:space="0"/>
            </w:tcBorders>
            <w:vAlign w:val="center"/>
          </w:tcPr>
          <w:p w14:paraId="04B72588">
            <w:pPr>
              <w:pageBreakBefore w:val="0"/>
              <w:kinsoku/>
              <w:overflowPunct/>
              <w:bidi w:val="0"/>
              <w:spacing w:beforeLines="0" w:afterLines="0" w:line="360" w:lineRule="auto"/>
              <w:ind w:left="0" w:leftChars="0" w:right="0"/>
              <w:rPr>
                <w:rFonts w:hint="eastAsia" w:ascii="宋体" w:hAnsi="宋体" w:eastAsia="宋体" w:cs="宋体"/>
                <w:bCs/>
                <w:color w:val="auto"/>
                <w:szCs w:val="21"/>
                <w:highlight w:val="none"/>
              </w:rPr>
            </w:pPr>
          </w:p>
        </w:tc>
        <w:tc>
          <w:tcPr>
            <w:tcW w:w="1744" w:type="dxa"/>
            <w:tcBorders>
              <w:left w:val="single" w:color="auto" w:sz="4" w:space="0"/>
            </w:tcBorders>
            <w:vAlign w:val="center"/>
          </w:tcPr>
          <w:p w14:paraId="260A9C73">
            <w:pPr>
              <w:pageBreakBefore w:val="0"/>
              <w:kinsoku/>
              <w:overflowPunct/>
              <w:bidi w:val="0"/>
              <w:spacing w:beforeLines="0" w:afterLines="0" w:line="360" w:lineRule="auto"/>
              <w:ind w:left="0" w:leftChars="0" w:right="0"/>
              <w:rPr>
                <w:rFonts w:hint="eastAsia" w:ascii="宋体" w:hAnsi="宋体" w:eastAsia="宋体" w:cs="宋体"/>
                <w:bCs/>
                <w:color w:val="auto"/>
                <w:szCs w:val="21"/>
                <w:highlight w:val="none"/>
              </w:rPr>
            </w:pPr>
          </w:p>
        </w:tc>
      </w:tr>
      <w:tr w14:paraId="34633A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2133" w:type="dxa"/>
            <w:gridSpan w:val="2"/>
            <w:tcBorders>
              <w:top w:val="single" w:color="auto" w:sz="6" w:space="0"/>
              <w:left w:val="single" w:color="auto" w:sz="4" w:space="0"/>
              <w:bottom w:val="outset" w:color="808080" w:sz="6" w:space="0"/>
              <w:right w:val="single" w:color="auto" w:sz="6" w:space="0"/>
            </w:tcBorders>
            <w:vAlign w:val="center"/>
          </w:tcPr>
          <w:p w14:paraId="2D7E1B45">
            <w:pPr>
              <w:pageBreakBefore w:val="0"/>
              <w:kinsoku/>
              <w:overflowPunct/>
              <w:bidi w:val="0"/>
              <w:adjustRightInd w:val="0"/>
              <w:snapToGrid w:val="0"/>
              <w:spacing w:beforeLines="0" w:afterLines="0" w:line="360" w:lineRule="auto"/>
              <w:ind w:left="0" w:leftChars="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773" w:type="dxa"/>
            <w:tcBorders>
              <w:top w:val="single" w:color="auto" w:sz="6" w:space="0"/>
              <w:left w:val="single" w:color="auto" w:sz="6" w:space="0"/>
              <w:bottom w:val="outset" w:color="808080" w:sz="6" w:space="0"/>
              <w:right w:val="single" w:color="auto" w:sz="4" w:space="0"/>
            </w:tcBorders>
            <w:vAlign w:val="center"/>
          </w:tcPr>
          <w:p w14:paraId="4F867A26">
            <w:pPr>
              <w:pageBreakBefore w:val="0"/>
              <w:kinsoku/>
              <w:overflowPunct/>
              <w:bidi w:val="0"/>
              <w:adjustRightInd w:val="0"/>
              <w:snapToGrid w:val="0"/>
              <w:spacing w:beforeLines="0" w:afterLines="0" w:line="360" w:lineRule="auto"/>
              <w:ind w:left="0" w:leftChars="0" w:right="0"/>
              <w:rPr>
                <w:rFonts w:hint="eastAsia" w:ascii="宋体" w:hAnsi="宋体" w:eastAsia="宋体" w:cs="宋体"/>
                <w:bCs/>
                <w:color w:val="auto"/>
                <w:szCs w:val="21"/>
                <w:highlight w:val="none"/>
              </w:rPr>
            </w:pPr>
          </w:p>
        </w:tc>
        <w:tc>
          <w:tcPr>
            <w:tcW w:w="3308" w:type="dxa"/>
            <w:tcBorders>
              <w:top w:val="single" w:color="auto" w:sz="6" w:space="0"/>
              <w:left w:val="single" w:color="auto" w:sz="4" w:space="0"/>
              <w:bottom w:val="outset" w:color="808080" w:sz="6" w:space="0"/>
              <w:right w:val="single" w:color="auto" w:sz="6" w:space="0"/>
            </w:tcBorders>
            <w:vAlign w:val="center"/>
          </w:tcPr>
          <w:p w14:paraId="43080905">
            <w:pPr>
              <w:pageBreakBefore w:val="0"/>
              <w:kinsoku/>
              <w:overflowPunct/>
              <w:bidi w:val="0"/>
              <w:adjustRightInd w:val="0"/>
              <w:snapToGrid w:val="0"/>
              <w:spacing w:beforeLines="0" w:afterLines="0" w:line="360" w:lineRule="auto"/>
              <w:ind w:left="0" w:leftChars="0" w:right="0"/>
              <w:rPr>
                <w:rFonts w:hint="eastAsia" w:ascii="宋体" w:hAnsi="宋体" w:eastAsia="宋体" w:cs="宋体"/>
                <w:bCs/>
                <w:color w:val="auto"/>
                <w:szCs w:val="21"/>
                <w:highlight w:val="none"/>
              </w:rPr>
            </w:pPr>
          </w:p>
        </w:tc>
        <w:tc>
          <w:tcPr>
            <w:tcW w:w="1744" w:type="dxa"/>
            <w:tcBorders>
              <w:top w:val="single" w:color="auto" w:sz="6" w:space="0"/>
              <w:left w:val="single" w:color="auto" w:sz="4" w:space="0"/>
              <w:bottom w:val="outset" w:color="808080" w:sz="6" w:space="0"/>
              <w:right w:val="single" w:color="auto" w:sz="6" w:space="0"/>
            </w:tcBorders>
            <w:vAlign w:val="center"/>
          </w:tcPr>
          <w:p w14:paraId="5EB580A6">
            <w:pPr>
              <w:pageBreakBefore w:val="0"/>
              <w:kinsoku/>
              <w:overflowPunct/>
              <w:bidi w:val="0"/>
              <w:adjustRightInd w:val="0"/>
              <w:snapToGrid w:val="0"/>
              <w:spacing w:beforeLines="0" w:afterLines="0" w:line="360" w:lineRule="auto"/>
              <w:ind w:left="0" w:leftChars="0" w:right="0"/>
              <w:rPr>
                <w:rFonts w:hint="eastAsia" w:ascii="宋体" w:hAnsi="宋体" w:eastAsia="宋体" w:cs="宋体"/>
                <w:bCs/>
                <w:color w:val="auto"/>
                <w:szCs w:val="21"/>
                <w:highlight w:val="none"/>
              </w:rPr>
            </w:pPr>
          </w:p>
        </w:tc>
      </w:tr>
    </w:tbl>
    <w:p w14:paraId="70503272">
      <w:pPr>
        <w:pageBreakBefore w:val="0"/>
        <w:kinsoku/>
        <w:overflowPunct/>
        <w:bidi w:val="0"/>
        <w:spacing w:beforeLines="0" w:afterLines="0" w:line="360" w:lineRule="auto"/>
        <w:ind w:left="0" w:leftChars="0" w:right="0" w:firstLine="560" w:firstLineChars="200"/>
        <w:rPr>
          <w:rFonts w:hint="eastAsia" w:ascii="宋体" w:hAnsi="宋体" w:eastAsia="宋体" w:cs="宋体"/>
          <w:color w:val="auto"/>
          <w:sz w:val="28"/>
          <w:szCs w:val="28"/>
          <w:highlight w:val="none"/>
        </w:rPr>
      </w:pPr>
    </w:p>
    <w:p w14:paraId="7892B8A3">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p>
    <w:p w14:paraId="03C85F98">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p>
    <w:p w14:paraId="40D2A523">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14:paraId="61471537">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p>
    <w:p w14:paraId="1950CB91">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70D65F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6DFB5CCA">
      <w:pPr>
        <w:pageBreakBefore w:val="0"/>
        <w:kinsoku/>
        <w:overflowPunct/>
        <w:bidi w:val="0"/>
        <w:spacing w:beforeLines="0" w:afterLines="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13A18164">
      <w:pPr>
        <w:pStyle w:val="24"/>
        <w:pageBreakBefore w:val="0"/>
        <w:kinsoku/>
        <w:overflowPunct/>
        <w:bidi w:val="0"/>
        <w:spacing w:beforeLines="0" w:afterLines="0" w:line="360" w:lineRule="auto"/>
        <w:ind w:left="0" w:leftChars="0" w:right="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第三节 经济标格式</w:t>
      </w:r>
    </w:p>
    <w:p w14:paraId="1B67ED42">
      <w:pPr>
        <w:pStyle w:val="192"/>
        <w:pageBreakBefore w:val="0"/>
        <w:kinsoku/>
        <w:overflowPunct/>
        <w:bidi w:val="0"/>
        <w:spacing w:before="0" w:beforeLines="0" w:afterLines="0" w:line="360" w:lineRule="auto"/>
        <w:ind w:left="0" w:leftChars="0" w:right="0"/>
        <w:jc w:val="center"/>
        <w:rPr>
          <w:rFonts w:hint="eastAsia" w:ascii="宋体" w:hAnsi="宋体" w:eastAsia="宋体" w:cs="宋体"/>
          <w:color w:val="auto"/>
          <w:highlight w:val="none"/>
        </w:rPr>
      </w:pPr>
    </w:p>
    <w:p w14:paraId="4B596D69">
      <w:pPr>
        <w:pageBreakBefore w:val="0"/>
        <w:kinsoku/>
        <w:overflowPunct/>
        <w:bidi w:val="0"/>
        <w:spacing w:beforeLines="0" w:afterLines="0" w:line="360" w:lineRule="auto"/>
        <w:ind w:left="0" w:leftChars="0" w:right="0"/>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color w:val="auto"/>
          <w:sz w:val="28"/>
          <w:szCs w:val="28"/>
          <w:highlight w:val="none"/>
        </w:rPr>
        <w:t>封面格式</w:t>
      </w:r>
    </w:p>
    <w:p w14:paraId="2E170B0C">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10056FA0">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059C6914">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1C28E59C">
      <w:pPr>
        <w:pageBreakBefore w:val="0"/>
        <w:kinsoku/>
        <w:overflowPunct/>
        <w:bidi w:val="0"/>
        <w:spacing w:beforeLines="0" w:afterLines="0" w:line="360" w:lineRule="auto"/>
        <w:ind w:left="0" w:leftChars="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44"/>
          <w:szCs w:val="44"/>
          <w:highlight w:val="none"/>
          <w:u w:val="single"/>
          <w:lang w:eastAsia="zh-CN"/>
        </w:rPr>
        <w:t>粤港澳大湾区—佛山市南海区电力管廊（一期）项目—佛山220千伏沥中输变电线路配套电力管廊建设工程预算审核（复审）</w:t>
      </w:r>
      <w:r>
        <w:rPr>
          <w:rFonts w:hint="eastAsia" w:ascii="宋体" w:hAnsi="宋体" w:eastAsia="宋体" w:cs="宋体"/>
          <w:b/>
          <w:color w:val="auto"/>
          <w:sz w:val="44"/>
          <w:szCs w:val="44"/>
          <w:highlight w:val="none"/>
        </w:rPr>
        <w:t>招标</w:t>
      </w:r>
    </w:p>
    <w:p w14:paraId="6ADC66B6">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2169275F">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0E29C2A5">
      <w:pPr>
        <w:pageBreakBefore w:val="0"/>
        <w:kinsoku/>
        <w:overflowPunct/>
        <w:bidi w:val="0"/>
        <w:spacing w:beforeLines="0" w:afterLines="0" w:line="360" w:lineRule="auto"/>
        <w:ind w:left="0" w:leftChars="0" w:right="0"/>
        <w:rPr>
          <w:rFonts w:hint="eastAsia" w:ascii="宋体" w:hAnsi="宋体" w:eastAsia="宋体" w:cs="宋体"/>
          <w:b/>
          <w:color w:val="auto"/>
          <w:sz w:val="28"/>
          <w:szCs w:val="28"/>
          <w:highlight w:val="none"/>
        </w:rPr>
      </w:pPr>
    </w:p>
    <w:p w14:paraId="694E0A08">
      <w:pPr>
        <w:pageBreakBefore w:val="0"/>
        <w:kinsoku/>
        <w:overflowPunct/>
        <w:bidi w:val="0"/>
        <w:spacing w:beforeLines="0" w:afterLines="0" w:line="360" w:lineRule="auto"/>
        <w:ind w:left="0" w:leftChars="0" w:right="0"/>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经济标</w:t>
      </w:r>
    </w:p>
    <w:p w14:paraId="74C0CD80">
      <w:pPr>
        <w:pageBreakBefore w:val="0"/>
        <w:kinsoku/>
        <w:overflowPunct/>
        <w:bidi w:val="0"/>
        <w:spacing w:beforeLines="0" w:afterLines="0" w:line="360" w:lineRule="auto"/>
        <w:ind w:left="0" w:leftChars="0" w:right="0"/>
        <w:jc w:val="center"/>
        <w:rPr>
          <w:rFonts w:hint="eastAsia" w:ascii="宋体" w:hAnsi="宋体" w:eastAsia="宋体" w:cs="宋体"/>
          <w:b/>
          <w:color w:val="auto"/>
          <w:sz w:val="30"/>
          <w:szCs w:val="30"/>
          <w:highlight w:val="none"/>
        </w:rPr>
      </w:pPr>
    </w:p>
    <w:p w14:paraId="56501EB1">
      <w:pPr>
        <w:pageBreakBefore w:val="0"/>
        <w:kinsoku/>
        <w:overflowPunct/>
        <w:bidi w:val="0"/>
        <w:spacing w:beforeLines="0" w:afterLines="0" w:line="360" w:lineRule="auto"/>
        <w:ind w:left="0" w:leftChars="0" w:right="0"/>
        <w:rPr>
          <w:rFonts w:hint="eastAsia" w:ascii="宋体" w:hAnsi="宋体" w:eastAsia="宋体" w:cs="宋体"/>
          <w:b/>
          <w:color w:val="auto"/>
          <w:sz w:val="28"/>
          <w:szCs w:val="28"/>
          <w:highlight w:val="none"/>
        </w:rPr>
      </w:pPr>
    </w:p>
    <w:p w14:paraId="6B3123ED">
      <w:pPr>
        <w:pageBreakBefore w:val="0"/>
        <w:kinsoku/>
        <w:overflowPunct/>
        <w:bidi w:val="0"/>
        <w:spacing w:beforeLines="0" w:afterLines="0" w:line="360" w:lineRule="auto"/>
        <w:ind w:left="0" w:leftChars="0" w:right="0"/>
        <w:rPr>
          <w:rFonts w:hint="eastAsia" w:ascii="宋体" w:hAnsi="宋体" w:eastAsia="宋体" w:cs="宋体"/>
          <w:b/>
          <w:color w:val="auto"/>
          <w:sz w:val="28"/>
          <w:szCs w:val="28"/>
          <w:highlight w:val="none"/>
        </w:rPr>
      </w:pPr>
    </w:p>
    <w:p w14:paraId="501F92B4">
      <w:pPr>
        <w:pageBreakBefore w:val="0"/>
        <w:kinsoku/>
        <w:overflowPunct/>
        <w:bidi w:val="0"/>
        <w:spacing w:beforeLines="0" w:afterLines="0" w:line="360" w:lineRule="auto"/>
        <w:ind w:left="0" w:leftChars="0" w:right="0"/>
        <w:rPr>
          <w:rFonts w:hint="eastAsia" w:ascii="宋体" w:hAnsi="宋体" w:eastAsia="宋体" w:cs="宋体"/>
          <w:b/>
          <w:color w:val="auto"/>
          <w:sz w:val="28"/>
          <w:szCs w:val="28"/>
          <w:highlight w:val="none"/>
        </w:rPr>
      </w:pPr>
    </w:p>
    <w:p w14:paraId="14E5B7F5">
      <w:pPr>
        <w:pageBreakBefore w:val="0"/>
        <w:kinsoku/>
        <w:overflowPunct/>
        <w:bidi w:val="0"/>
        <w:spacing w:beforeLines="0" w:afterLines="0" w:line="360" w:lineRule="auto"/>
        <w:ind w:left="0" w:leftChars="0" w:right="0"/>
        <w:rPr>
          <w:rFonts w:hint="eastAsia" w:ascii="宋体" w:hAnsi="宋体" w:eastAsia="宋体" w:cs="宋体"/>
          <w:b/>
          <w:color w:val="auto"/>
          <w:sz w:val="28"/>
          <w:szCs w:val="28"/>
          <w:highlight w:val="none"/>
        </w:rPr>
      </w:pPr>
    </w:p>
    <w:p w14:paraId="4C01A4F1">
      <w:pPr>
        <w:pageBreakBefore w:val="0"/>
        <w:kinsoku/>
        <w:overflowPunct/>
        <w:bidi w:val="0"/>
        <w:spacing w:beforeLines="0" w:afterLines="0" w:line="360" w:lineRule="auto"/>
        <w:ind w:left="0" w:leftChars="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（盖公章）</w:t>
      </w:r>
    </w:p>
    <w:p w14:paraId="2B292011">
      <w:pPr>
        <w:pageBreakBefore w:val="0"/>
        <w:kinsoku/>
        <w:overflowPunct/>
        <w:bidi w:val="0"/>
        <w:spacing w:beforeLines="0" w:afterLines="0" w:line="360" w:lineRule="auto"/>
        <w:ind w:left="0" w:leftChars="0" w:right="0"/>
        <w:jc w:val="center"/>
        <w:rPr>
          <w:rFonts w:hint="eastAsia" w:ascii="宋体" w:hAnsi="宋体" w:eastAsia="宋体" w:cs="宋体"/>
          <w:b/>
          <w:color w:val="auto"/>
          <w:sz w:val="28"/>
          <w:szCs w:val="28"/>
          <w:highlight w:val="none"/>
          <w:u w:val="single"/>
        </w:rPr>
      </w:pPr>
    </w:p>
    <w:p w14:paraId="79126879">
      <w:pPr>
        <w:pageBreakBefore w:val="0"/>
        <w:kinsoku/>
        <w:overflowPunct/>
        <w:bidi w:val="0"/>
        <w:spacing w:beforeLines="0" w:afterLines="0" w:line="360" w:lineRule="auto"/>
        <w:ind w:left="0" w:leftChars="0" w:right="0"/>
        <w:jc w:val="center"/>
        <w:rPr>
          <w:rFonts w:hint="eastAsia" w:ascii="宋体" w:hAnsi="宋体" w:eastAsia="宋体" w:cs="宋体"/>
          <w:b/>
          <w:color w:val="auto"/>
          <w:sz w:val="28"/>
          <w:szCs w:val="28"/>
          <w:highlight w:val="none"/>
          <w:u w:val="single"/>
        </w:rPr>
      </w:pPr>
    </w:p>
    <w:p w14:paraId="2BF7D2B3">
      <w:pPr>
        <w:pageBreakBefore w:val="0"/>
        <w:kinsoku/>
        <w:overflowPunct/>
        <w:bidi w:val="0"/>
        <w:spacing w:beforeLines="0" w:afterLines="0" w:line="360" w:lineRule="auto"/>
        <w:ind w:left="0" w:leftChars="0" w:right="0"/>
        <w:jc w:val="center"/>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月</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日</w:t>
      </w:r>
    </w:p>
    <w:p w14:paraId="55405601">
      <w:pPr>
        <w:pageBreakBefore w:val="0"/>
        <w:kinsoku/>
        <w:overflowPunct/>
        <w:bidi w:val="0"/>
        <w:spacing w:beforeLines="0" w:afterLines="0" w:line="360" w:lineRule="auto"/>
        <w:ind w:left="0" w:leftChars="0" w:right="0"/>
        <w:rPr>
          <w:rFonts w:hint="eastAsia" w:ascii="宋体" w:hAnsi="宋体" w:eastAsia="宋体" w:cs="宋体"/>
          <w:b/>
          <w:color w:val="auto"/>
          <w:sz w:val="20"/>
          <w:szCs w:val="20"/>
          <w:highlight w:val="none"/>
        </w:rPr>
      </w:pPr>
    </w:p>
    <w:p w14:paraId="00B2F9B4">
      <w:pPr>
        <w:pageBreakBefore w:val="0"/>
        <w:kinsoku/>
        <w:overflowPunct/>
        <w:bidi w:val="0"/>
        <w:spacing w:beforeLines="0" w:afterLines="0" w:line="360" w:lineRule="auto"/>
        <w:ind w:left="0" w:leftChars="0" w:right="0"/>
        <w:rPr>
          <w:rFonts w:hint="eastAsia" w:ascii="宋体" w:hAnsi="宋体" w:eastAsia="宋体" w:cs="宋体"/>
          <w:color w:val="auto"/>
          <w:highlight w:val="none"/>
        </w:rPr>
      </w:pPr>
    </w:p>
    <w:p w14:paraId="77250158">
      <w:pPr>
        <w:pageBreakBefore w:val="0"/>
        <w:kinsoku/>
        <w:overflowPunct/>
        <w:bidi w:val="0"/>
        <w:spacing w:beforeLines="0" w:afterLines="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4854773">
      <w:pPr>
        <w:pageBreakBefore w:val="0"/>
        <w:kinsoku/>
        <w:overflowPunct/>
        <w:bidi w:val="0"/>
        <w:spacing w:beforeLines="0" w:afterLines="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目    录</w:t>
      </w:r>
    </w:p>
    <w:p w14:paraId="5A8F3CBB">
      <w:pPr>
        <w:pageBreakBefore w:val="0"/>
        <w:kinsoku/>
        <w:overflowPunct/>
        <w:bidi w:val="0"/>
        <w:spacing w:beforeLines="0" w:afterLines="0" w:line="360" w:lineRule="auto"/>
        <w:ind w:left="0" w:leftChars="0" w:right="0"/>
        <w:rPr>
          <w:rFonts w:hint="eastAsia" w:ascii="宋体" w:hAnsi="宋体" w:eastAsia="宋体" w:cs="宋体"/>
          <w:color w:val="auto"/>
          <w:sz w:val="18"/>
          <w:szCs w:val="21"/>
          <w:highlight w:val="none"/>
        </w:rPr>
      </w:pPr>
    </w:p>
    <w:p w14:paraId="09A9B051">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一、投标函及投标函附录</w:t>
      </w:r>
    </w:p>
    <w:p w14:paraId="685CE010">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二、投标保证金</w:t>
      </w:r>
    </w:p>
    <w:p w14:paraId="2D22D709">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eastAsia="zh-CN"/>
        </w:rPr>
        <w:t>预算复审造价咨询服务费</w:t>
      </w:r>
      <w:r>
        <w:rPr>
          <w:rFonts w:hint="eastAsia" w:ascii="宋体" w:hAnsi="宋体" w:eastAsia="宋体" w:cs="宋体"/>
          <w:color w:val="auto"/>
          <w:szCs w:val="21"/>
          <w:highlight w:val="none"/>
        </w:rPr>
        <w:t>报价说明</w:t>
      </w:r>
    </w:p>
    <w:p w14:paraId="5E251E7B">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四、其他材料</w:t>
      </w:r>
    </w:p>
    <w:p w14:paraId="049B0079">
      <w:pPr>
        <w:pageBreakBefore w:val="0"/>
        <w:tabs>
          <w:tab w:val="left" w:pos="2520"/>
        </w:tabs>
        <w:kinsoku/>
        <w:overflowPunct/>
        <w:bidi w:val="0"/>
        <w:spacing w:beforeLines="0" w:afterLines="0" w:line="360" w:lineRule="auto"/>
        <w:ind w:left="0" w:leftChars="0" w:right="0"/>
        <w:rPr>
          <w:rFonts w:hint="eastAsia" w:ascii="宋体" w:hAnsi="宋体" w:eastAsia="宋体" w:cs="宋体"/>
          <w:color w:val="auto"/>
          <w:sz w:val="22"/>
          <w:szCs w:val="2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4"/>
          <w:highlight w:val="none"/>
        </w:rPr>
        <w:t>一、投标函及投标函附录</w:t>
      </w:r>
    </w:p>
    <w:p w14:paraId="600EBC1E">
      <w:pPr>
        <w:pageBreakBefore w:val="0"/>
        <w:kinsoku/>
        <w:overflowPunct/>
        <w:bidi w:val="0"/>
        <w:spacing w:beforeLines="0" w:afterLines="0" w:line="360" w:lineRule="auto"/>
        <w:ind w:left="0" w:leftChars="0" w:right="0"/>
        <w:jc w:val="center"/>
        <w:rPr>
          <w:rFonts w:hint="eastAsia" w:ascii="宋体" w:hAnsi="宋体" w:eastAsia="宋体" w:cs="宋体"/>
          <w:b/>
          <w:color w:val="auto"/>
          <w:sz w:val="22"/>
          <w:szCs w:val="18"/>
          <w:highlight w:val="none"/>
        </w:rPr>
      </w:pPr>
      <w:r>
        <w:rPr>
          <w:rFonts w:hint="eastAsia" w:ascii="宋体" w:hAnsi="宋体" w:eastAsia="宋体" w:cs="宋体"/>
          <w:b/>
          <w:color w:val="auto"/>
          <w:sz w:val="22"/>
          <w:szCs w:val="18"/>
          <w:highlight w:val="none"/>
        </w:rPr>
        <w:t>（一）投标函</w:t>
      </w:r>
    </w:p>
    <w:p w14:paraId="795ADC4D">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（招标人名称）：</w:t>
      </w:r>
    </w:p>
    <w:p w14:paraId="246FAD99">
      <w:pPr>
        <w:pageBreakBefore w:val="0"/>
        <w:numPr>
          <w:ilvl w:val="0"/>
          <w:numId w:val="5"/>
        </w:numPr>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我方已仔细研究了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（项目名称）招标文件的全部内容，愿意以人民币（大写）</w:t>
      </w:r>
    </w:p>
    <w:p w14:paraId="0329E472">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元的投标总报价（其中，</w:t>
      </w:r>
      <w:r>
        <w:rPr>
          <w:rFonts w:hint="eastAsia" w:ascii="宋体" w:hAnsi="宋体" w:eastAsia="宋体" w:cs="宋体"/>
          <w:color w:val="auto"/>
          <w:szCs w:val="21"/>
          <w:highlight w:val="none"/>
          <w:lang w:eastAsia="zh-CN"/>
        </w:rPr>
        <w:t>预算复审造价咨询服务费</w:t>
      </w:r>
      <w:r>
        <w:rPr>
          <w:rFonts w:hint="eastAsia" w:ascii="宋体" w:hAnsi="宋体" w:eastAsia="宋体" w:cs="宋体"/>
          <w:color w:val="auto"/>
          <w:szCs w:val="21"/>
          <w:highlight w:val="none"/>
        </w:rPr>
        <w:t>费率为（大写）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服务期</w:t>
      </w:r>
      <w:r>
        <w:rPr>
          <w:rFonts w:hint="eastAsia" w:ascii="宋体" w:hAnsi="宋体" w:eastAsia="宋体" w:cs="宋体"/>
          <w:color w:val="auto"/>
          <w:szCs w:val="21"/>
          <w:highlight w:val="none"/>
        </w:rPr>
        <w:t>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日历天，按合同约定及招标文件等有关规定完成</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服务工作，保证</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服务质量、</w:t>
      </w: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规范和技术标准符合招标文件要求。我方完全理解并接受招标文件中所规定的</w:t>
      </w:r>
      <w:r>
        <w:rPr>
          <w:rFonts w:hint="eastAsia" w:ascii="宋体" w:hAnsi="宋体" w:eastAsia="宋体" w:cs="宋体"/>
          <w:color w:val="auto"/>
          <w:szCs w:val="21"/>
          <w:highlight w:val="none"/>
          <w:lang w:eastAsia="zh-CN"/>
        </w:rPr>
        <w:t>预算复审造价咨询服务费</w:t>
      </w:r>
      <w:r>
        <w:rPr>
          <w:rFonts w:hint="eastAsia" w:ascii="宋体" w:hAnsi="宋体" w:eastAsia="宋体" w:cs="宋体"/>
          <w:color w:val="auto"/>
          <w:szCs w:val="21"/>
          <w:highlight w:val="none"/>
        </w:rPr>
        <w:t>的确定和支付办法。</w:t>
      </w:r>
    </w:p>
    <w:p w14:paraId="72C86FF2">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2.我方承诺在投标有效期（投标文件截止之日起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日）内不修改、撤销投标文件。</w:t>
      </w:r>
    </w:p>
    <w:p w14:paraId="34B13FD1">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3.随同本投标函提交投标保证金一份，金额为人民币（大写）</w:t>
      </w:r>
      <w:r>
        <w:rPr>
          <w:rFonts w:hint="eastAsia" w:ascii="宋体" w:hAnsi="宋体" w:eastAsia="宋体" w:cs="宋体"/>
          <w:color w:val="auto"/>
          <w:szCs w:val="21"/>
          <w:highlight w:val="none"/>
          <w:u w:val="single"/>
        </w:rPr>
        <w:t xml:space="preserve">                  </w:t>
      </w:r>
    </w:p>
    <w:p w14:paraId="08BF91B9">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577834F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4.如我方中标，我方承诺：</w:t>
      </w:r>
    </w:p>
    <w:p w14:paraId="0A9F253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（1）随同本投标函递交的投标函附录属于合同文件的组成部分；</w:t>
      </w:r>
    </w:p>
    <w:p w14:paraId="28D74FB4">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（2）在收到中标通知书后，在中标通知书规定的期限内与你方签订合同；</w:t>
      </w:r>
    </w:p>
    <w:p w14:paraId="080AB165">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（3）在签订合同时不向你方提出附加条件；</w:t>
      </w:r>
    </w:p>
    <w:p w14:paraId="0F4EBCA5">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（4）在签订合同时不更改合同实质性内容；</w:t>
      </w:r>
    </w:p>
    <w:p w14:paraId="66C2E5E9">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（5）按照招标文件要求提交履约保证金；</w:t>
      </w:r>
    </w:p>
    <w:p w14:paraId="6D702A3D">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（6）在合同约定的期限内完成合同规定的全部义务。</w:t>
      </w:r>
    </w:p>
    <w:p w14:paraId="4028A1DD">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5.我方在此声明，所递交的投标文件及有关资料内容完整、真实和准确，且不存在第三章“投标人须知”第1.4.3款规定的任何一种情形。</w:t>
      </w:r>
    </w:p>
    <w:p w14:paraId="70FCA1DC">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6.我方完全响应第五章“合同条款及格式”规定的权利义务、第八章“技术标准和要求”规定的技术标准和要求。</w:t>
      </w:r>
    </w:p>
    <w:p w14:paraId="35DFD179">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（其他补充说明）。</w:t>
      </w:r>
    </w:p>
    <w:p w14:paraId="73592240">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szCs w:val="21"/>
          <w:highlight w:val="none"/>
        </w:rPr>
      </w:pPr>
    </w:p>
    <w:p w14:paraId="3CC8C7DE">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14:paraId="6E24CA2F">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p>
    <w:p w14:paraId="4F3ED75F">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692BB821">
      <w:pPr>
        <w:pageBreakBefore w:val="0"/>
        <w:widowControl/>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p>
    <w:p w14:paraId="6F799345">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C2F1C9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145D1A34">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注：投标人应通过</w:t>
      </w:r>
      <w:r>
        <w:rPr>
          <w:rFonts w:hint="eastAsia" w:ascii="宋体" w:hAnsi="宋体" w:cs="宋体"/>
          <w:color w:val="auto"/>
          <w:szCs w:val="21"/>
          <w:highlight w:val="none"/>
          <w:lang w:eastAsia="zh-CN"/>
        </w:rPr>
        <w:t>佛山市南海区人民政府网站—佛山市公共资源交易中心南海分中心</w:t>
      </w:r>
      <w:r>
        <w:rPr>
          <w:rFonts w:hint="eastAsia" w:ascii="宋体" w:hAnsi="宋体" w:eastAsia="宋体" w:cs="宋体"/>
          <w:color w:val="auto"/>
          <w:szCs w:val="21"/>
          <w:highlight w:val="none"/>
        </w:rPr>
        <w:t>填写投标函和投标函附录有关内容，开评标过程中将引用投标人填写生成的PDF文件的数据作为评标依据。如投标人未办理法定代表人或其委托代理人电子签章，由法定代表人或其委托代理人手写签名后上传投标函和投标函附录，该上传的投标函和投标函附录内容应当与通过</w:t>
      </w:r>
      <w:r>
        <w:rPr>
          <w:rFonts w:hint="eastAsia" w:ascii="宋体" w:hAnsi="宋体" w:cs="宋体"/>
          <w:color w:val="auto"/>
          <w:szCs w:val="21"/>
          <w:highlight w:val="none"/>
          <w:lang w:eastAsia="zh-CN"/>
        </w:rPr>
        <w:t>佛山市南海区人民政府网站—佛山市公共资源交易中心南海分中心</w:t>
      </w:r>
      <w:r>
        <w:rPr>
          <w:rFonts w:hint="eastAsia" w:ascii="宋体" w:hAnsi="宋体" w:eastAsia="宋体" w:cs="宋体"/>
          <w:color w:val="auto"/>
          <w:szCs w:val="21"/>
          <w:highlight w:val="none"/>
        </w:rPr>
        <w:t>填写投标函和投标函附录生成的PDF文件内容保持一致。若内容不一致的，以通过</w:t>
      </w:r>
      <w:r>
        <w:rPr>
          <w:rFonts w:hint="eastAsia" w:ascii="宋体" w:hAnsi="宋体" w:cs="宋体"/>
          <w:color w:val="auto"/>
          <w:szCs w:val="21"/>
          <w:highlight w:val="none"/>
          <w:lang w:eastAsia="zh-CN"/>
        </w:rPr>
        <w:t>佛山市南海区人民政府网站—佛山市公共资源交易中心南海分中心</w:t>
      </w:r>
      <w:r>
        <w:rPr>
          <w:rFonts w:hint="eastAsia" w:ascii="宋体" w:hAnsi="宋体" w:eastAsia="宋体" w:cs="宋体"/>
          <w:color w:val="auto"/>
          <w:szCs w:val="21"/>
          <w:highlight w:val="none"/>
        </w:rPr>
        <w:t>填写投标函和投标函附录生成的PDF文件为准，由此产生的一切后果由投标人自行承担。</w:t>
      </w:r>
    </w:p>
    <w:p w14:paraId="097CE742">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0FF0BE54">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259B2668">
      <w:pPr>
        <w:pStyle w:val="2"/>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p w14:paraId="366C76C8">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53020857">
      <w:pPr>
        <w:pStyle w:val="2"/>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p w14:paraId="1D4CC444">
      <w:pPr>
        <w:pageBreakBefore w:val="0"/>
        <w:kinsoku/>
        <w:overflowPunct/>
        <w:bidi w:val="0"/>
        <w:spacing w:beforeLines="0" w:afterLines="0" w:line="360" w:lineRule="auto"/>
        <w:ind w:left="0" w:leftChars="0" w:right="0"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3F5D59DD">
      <w:pPr>
        <w:pageBreakBefore w:val="0"/>
        <w:kinsoku/>
        <w:overflowPunct/>
        <w:bidi w:val="0"/>
        <w:spacing w:beforeLines="0" w:afterLines="0" w:line="360" w:lineRule="auto"/>
        <w:ind w:left="0" w:leftChars="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（二）投标函附录</w:t>
      </w:r>
    </w:p>
    <w:tbl>
      <w:tblPr>
        <w:tblStyle w:val="63"/>
        <w:tblW w:w="99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
        <w:gridCol w:w="3347"/>
        <w:gridCol w:w="2863"/>
        <w:gridCol w:w="2863"/>
      </w:tblGrid>
      <w:tr w14:paraId="1DD211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85" w:type="dxa"/>
            <w:vAlign w:val="center"/>
          </w:tcPr>
          <w:p w14:paraId="4EDB840A">
            <w:pPr>
              <w:pageBreakBefore w:val="0"/>
              <w:kinsoku/>
              <w:overflowPunct/>
              <w:bidi w:val="0"/>
              <w:spacing w:beforeLines="0" w:afterLines="0" w:line="360" w:lineRule="auto"/>
              <w:ind w:left="0" w:leftChars="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347" w:type="dxa"/>
            <w:vAlign w:val="center"/>
          </w:tcPr>
          <w:p w14:paraId="324408D3">
            <w:pPr>
              <w:pageBreakBefore w:val="0"/>
              <w:kinsoku/>
              <w:overflowPunct/>
              <w:bidi w:val="0"/>
              <w:spacing w:beforeLines="0" w:afterLines="0" w:line="360" w:lineRule="auto"/>
              <w:ind w:left="0" w:leftChars="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2863" w:type="dxa"/>
            <w:tcBorders>
              <w:right w:val="single" w:color="auto" w:sz="4" w:space="0"/>
            </w:tcBorders>
            <w:vAlign w:val="center"/>
          </w:tcPr>
          <w:p w14:paraId="53B0D2CA">
            <w:pPr>
              <w:pageBreakBefore w:val="0"/>
              <w:kinsoku/>
              <w:overflowPunct/>
              <w:bidi w:val="0"/>
              <w:spacing w:beforeLines="0" w:afterLines="0" w:line="360" w:lineRule="auto"/>
              <w:ind w:left="0" w:leftChars="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约定内容</w:t>
            </w:r>
          </w:p>
        </w:tc>
        <w:tc>
          <w:tcPr>
            <w:tcW w:w="2863" w:type="dxa"/>
            <w:tcBorders>
              <w:left w:val="single" w:color="auto" w:sz="4" w:space="0"/>
            </w:tcBorders>
            <w:vAlign w:val="center"/>
          </w:tcPr>
          <w:p w14:paraId="2DFCAB78">
            <w:pPr>
              <w:pageBreakBefore w:val="0"/>
              <w:kinsoku/>
              <w:overflowPunct/>
              <w:bidi w:val="0"/>
              <w:spacing w:beforeLines="0" w:afterLines="0" w:line="360" w:lineRule="auto"/>
              <w:ind w:left="0" w:leftChars="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72058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85" w:type="dxa"/>
            <w:vAlign w:val="center"/>
          </w:tcPr>
          <w:p w14:paraId="02A9DB7A">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47" w:type="dxa"/>
            <w:vAlign w:val="center"/>
          </w:tcPr>
          <w:p w14:paraId="0755D6E0">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2863" w:type="dxa"/>
            <w:tcBorders>
              <w:right w:val="single" w:color="auto" w:sz="4" w:space="0"/>
            </w:tcBorders>
            <w:vAlign w:val="center"/>
          </w:tcPr>
          <w:p w14:paraId="584B5EB0">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p>
        </w:tc>
        <w:tc>
          <w:tcPr>
            <w:tcW w:w="2863" w:type="dxa"/>
            <w:tcBorders>
              <w:left w:val="single" w:color="auto" w:sz="4" w:space="0"/>
            </w:tcBorders>
            <w:vAlign w:val="center"/>
          </w:tcPr>
          <w:p w14:paraId="1D6ED8F6">
            <w:pPr>
              <w:pageBreakBefore w:val="0"/>
              <w:kinsoku/>
              <w:overflowPunct/>
              <w:bidi w:val="0"/>
              <w:spacing w:beforeLines="0" w:afterLines="0" w:line="360" w:lineRule="auto"/>
              <w:ind w:left="0" w:leftChars="0" w:right="0"/>
              <w:rPr>
                <w:rFonts w:hint="eastAsia" w:ascii="宋体" w:hAnsi="宋体" w:eastAsia="宋体" w:cs="宋体"/>
                <w:b/>
                <w:color w:val="auto"/>
                <w:szCs w:val="21"/>
                <w:highlight w:val="none"/>
              </w:rPr>
            </w:pPr>
          </w:p>
        </w:tc>
      </w:tr>
      <w:tr w14:paraId="1E698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885" w:type="dxa"/>
            <w:vAlign w:val="center"/>
          </w:tcPr>
          <w:p w14:paraId="5F99F54A">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347" w:type="dxa"/>
            <w:vAlign w:val="center"/>
          </w:tcPr>
          <w:p w14:paraId="38DBCDBC">
            <w:pPr>
              <w:pageBreakBefore w:val="0"/>
              <w:kinsoku/>
              <w:overflowPunct/>
              <w:bidi w:val="0"/>
              <w:spacing w:beforeLines="0" w:afterLines="0" w:line="360" w:lineRule="auto"/>
              <w:ind w:left="0" w:leftChars="0" w:right="0"/>
              <w:rPr>
                <w:rFonts w:hint="eastAsia" w:ascii="宋体" w:hAnsi="宋体" w:eastAsia="宋体" w:cs="宋体"/>
                <w:b/>
                <w:color w:val="auto"/>
                <w:szCs w:val="21"/>
                <w:highlight w:val="none"/>
              </w:rPr>
            </w:pPr>
            <w:r>
              <w:rPr>
                <w:rFonts w:hint="eastAsia" w:ascii="宋体" w:hAnsi="宋体" w:cs="宋体"/>
                <w:color w:val="auto"/>
                <w:szCs w:val="21"/>
                <w:highlight w:val="none"/>
                <w:lang w:eastAsia="zh-CN"/>
              </w:rPr>
              <w:t>服务期</w:t>
            </w:r>
            <w:r>
              <w:rPr>
                <w:rFonts w:hint="eastAsia" w:ascii="宋体" w:hAnsi="宋体" w:eastAsia="宋体" w:cs="宋体"/>
                <w:color w:val="auto"/>
                <w:szCs w:val="21"/>
                <w:highlight w:val="none"/>
              </w:rPr>
              <w:t>限</w:t>
            </w:r>
          </w:p>
        </w:tc>
        <w:tc>
          <w:tcPr>
            <w:tcW w:w="2863" w:type="dxa"/>
            <w:tcBorders>
              <w:right w:val="single" w:color="auto" w:sz="4" w:space="0"/>
            </w:tcBorders>
            <w:vAlign w:val="center"/>
          </w:tcPr>
          <w:p w14:paraId="7614F2FE">
            <w:pPr>
              <w:pageBreakBefore w:val="0"/>
              <w:kinsoku/>
              <w:overflowPunct/>
              <w:bidi w:val="0"/>
              <w:spacing w:beforeLines="0" w:afterLines="0" w:line="360" w:lineRule="auto"/>
              <w:ind w:left="0" w:leftChars="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日历天</w:t>
            </w:r>
          </w:p>
        </w:tc>
        <w:tc>
          <w:tcPr>
            <w:tcW w:w="2863" w:type="dxa"/>
            <w:tcBorders>
              <w:left w:val="single" w:color="auto" w:sz="4" w:space="0"/>
            </w:tcBorders>
            <w:vAlign w:val="center"/>
          </w:tcPr>
          <w:p w14:paraId="0B333EC9">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u w:val="single"/>
              </w:rPr>
            </w:pPr>
          </w:p>
        </w:tc>
      </w:tr>
      <w:tr w14:paraId="3C586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85" w:type="dxa"/>
            <w:vAlign w:val="center"/>
          </w:tcPr>
          <w:p w14:paraId="5A6CDEC0">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347" w:type="dxa"/>
            <w:vAlign w:val="center"/>
          </w:tcPr>
          <w:p w14:paraId="7F49AE8B">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造价咨询</w:t>
            </w:r>
            <w:r>
              <w:rPr>
                <w:rFonts w:hint="eastAsia" w:ascii="宋体" w:hAnsi="宋体" w:eastAsia="宋体" w:cs="宋体"/>
                <w:color w:val="auto"/>
                <w:szCs w:val="21"/>
                <w:highlight w:val="none"/>
              </w:rPr>
              <w:t>质量标准</w:t>
            </w:r>
          </w:p>
        </w:tc>
        <w:tc>
          <w:tcPr>
            <w:tcW w:w="2863" w:type="dxa"/>
            <w:tcBorders>
              <w:right w:val="single" w:color="auto" w:sz="4" w:space="0"/>
            </w:tcBorders>
            <w:vAlign w:val="center"/>
          </w:tcPr>
          <w:p w14:paraId="45C6B171">
            <w:pPr>
              <w:pageBreakBefore w:val="0"/>
              <w:kinsoku/>
              <w:overflowPunct/>
              <w:bidi w:val="0"/>
              <w:spacing w:beforeLines="0" w:afterLines="0" w:line="360" w:lineRule="auto"/>
              <w:ind w:left="0" w:leftChars="0" w:right="0"/>
              <w:jc w:val="center"/>
              <w:rPr>
                <w:rFonts w:hint="eastAsia" w:ascii="宋体" w:hAnsi="宋体" w:eastAsia="宋体" w:cs="宋体"/>
                <w:b/>
                <w:color w:val="auto"/>
                <w:szCs w:val="21"/>
                <w:highlight w:val="none"/>
              </w:rPr>
            </w:pPr>
          </w:p>
        </w:tc>
        <w:tc>
          <w:tcPr>
            <w:tcW w:w="2863" w:type="dxa"/>
            <w:tcBorders>
              <w:left w:val="single" w:color="auto" w:sz="4" w:space="0"/>
            </w:tcBorders>
            <w:vAlign w:val="center"/>
          </w:tcPr>
          <w:p w14:paraId="4525D3CF">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76B12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85" w:type="dxa"/>
            <w:vAlign w:val="center"/>
          </w:tcPr>
          <w:p w14:paraId="264582C1">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347" w:type="dxa"/>
            <w:vAlign w:val="center"/>
          </w:tcPr>
          <w:p w14:paraId="1EB9F291">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合同价款确定方式</w:t>
            </w:r>
          </w:p>
        </w:tc>
        <w:tc>
          <w:tcPr>
            <w:tcW w:w="2863" w:type="dxa"/>
            <w:tcBorders>
              <w:right w:val="single" w:color="auto" w:sz="4" w:space="0"/>
            </w:tcBorders>
            <w:vAlign w:val="center"/>
          </w:tcPr>
          <w:p w14:paraId="2F0ED0AC">
            <w:pPr>
              <w:pageBreakBefore w:val="0"/>
              <w:kinsoku/>
              <w:overflowPunct/>
              <w:bidi w:val="0"/>
              <w:spacing w:beforeLines="0" w:afterLines="0" w:line="360" w:lineRule="auto"/>
              <w:ind w:left="0" w:leftChars="0" w:right="0"/>
              <w:rPr>
                <w:rFonts w:hint="eastAsia" w:ascii="宋体" w:hAnsi="宋体" w:eastAsia="宋体" w:cs="宋体"/>
                <w:snapToGrid w:val="0"/>
                <w:color w:val="auto"/>
                <w:kern w:val="0"/>
                <w:szCs w:val="21"/>
                <w:highlight w:val="none"/>
              </w:rPr>
            </w:pPr>
          </w:p>
        </w:tc>
        <w:tc>
          <w:tcPr>
            <w:tcW w:w="2863" w:type="dxa"/>
            <w:tcBorders>
              <w:left w:val="single" w:color="auto" w:sz="4" w:space="0"/>
            </w:tcBorders>
            <w:vAlign w:val="center"/>
          </w:tcPr>
          <w:p w14:paraId="2281DA79">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p>
        </w:tc>
      </w:tr>
      <w:tr w14:paraId="4F181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85" w:type="dxa"/>
            <w:vAlign w:val="center"/>
          </w:tcPr>
          <w:p w14:paraId="5689C5EF">
            <w:pPr>
              <w:pageBreakBefore w:val="0"/>
              <w:kinsoku/>
              <w:overflowPunct/>
              <w:bidi w:val="0"/>
              <w:spacing w:beforeLines="0" w:afterLines="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347" w:type="dxa"/>
            <w:vAlign w:val="center"/>
          </w:tcPr>
          <w:p w14:paraId="3B350D81">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专用合同条款的其他内容</w:t>
            </w:r>
          </w:p>
        </w:tc>
        <w:tc>
          <w:tcPr>
            <w:tcW w:w="2863" w:type="dxa"/>
            <w:tcBorders>
              <w:right w:val="single" w:color="auto" w:sz="4" w:space="0"/>
            </w:tcBorders>
            <w:vAlign w:val="center"/>
          </w:tcPr>
          <w:p w14:paraId="1FDD1336">
            <w:pPr>
              <w:pageBreakBefore w:val="0"/>
              <w:kinsoku/>
              <w:overflowPunct/>
              <w:bidi w:val="0"/>
              <w:spacing w:beforeLines="0" w:afterLines="0" w:line="360" w:lineRule="auto"/>
              <w:ind w:left="0" w:leftChars="0" w:right="0"/>
              <w:rPr>
                <w:rFonts w:hint="eastAsia" w:ascii="宋体" w:hAnsi="宋体" w:eastAsia="宋体" w:cs="宋体"/>
                <w:snapToGrid w:val="0"/>
                <w:color w:val="auto"/>
                <w:kern w:val="0"/>
                <w:szCs w:val="21"/>
                <w:highlight w:val="none"/>
              </w:rPr>
            </w:pPr>
          </w:p>
        </w:tc>
        <w:tc>
          <w:tcPr>
            <w:tcW w:w="2863" w:type="dxa"/>
            <w:tcBorders>
              <w:left w:val="single" w:color="auto" w:sz="4" w:space="0"/>
            </w:tcBorders>
            <w:vAlign w:val="center"/>
          </w:tcPr>
          <w:p w14:paraId="4462E35B">
            <w:pPr>
              <w:pageBreakBefore w:val="0"/>
              <w:kinsoku/>
              <w:overflowPunct/>
              <w:bidi w:val="0"/>
              <w:spacing w:beforeLines="0" w:afterLines="0" w:line="360" w:lineRule="auto"/>
              <w:ind w:left="0" w:leftChars="0" w:right="0"/>
              <w:rPr>
                <w:rFonts w:hint="eastAsia" w:ascii="宋体" w:hAnsi="宋体" w:eastAsia="宋体" w:cs="宋体"/>
                <w:snapToGrid w:val="0"/>
                <w:color w:val="auto"/>
                <w:kern w:val="0"/>
                <w:szCs w:val="21"/>
                <w:highlight w:val="none"/>
              </w:rPr>
            </w:pPr>
          </w:p>
        </w:tc>
      </w:tr>
    </w:tbl>
    <w:p w14:paraId="6737D359">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1.投标人在响应招标文件中规定的实质性要求和条件的基础上，可做出其他有利于招标人的承诺。此类承诺可在本表中予以补充填写，但投标人在“约定内容”中填写的内容低于招标文件中规定的实质性要求的，视为没有对招标文件的实质性要求和条件作出响应。本备注栏的内容可以删除以节省篇幅；</w:t>
      </w:r>
    </w:p>
    <w:p w14:paraId="06142CFF">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cs="宋体"/>
          <w:b/>
          <w:color w:val="auto"/>
          <w:szCs w:val="21"/>
          <w:highlight w:val="none"/>
          <w:lang w:eastAsia="zh-CN"/>
        </w:rPr>
        <w:t>服务期</w:t>
      </w:r>
      <w:r>
        <w:rPr>
          <w:rFonts w:hint="eastAsia" w:ascii="宋体" w:hAnsi="宋体" w:eastAsia="宋体" w:cs="宋体"/>
          <w:b/>
          <w:color w:val="auto"/>
          <w:szCs w:val="21"/>
          <w:highlight w:val="none"/>
        </w:rPr>
        <w:t>限”“</w:t>
      </w:r>
      <w:r>
        <w:rPr>
          <w:rFonts w:hint="eastAsia" w:ascii="宋体" w:hAnsi="宋体" w:eastAsia="宋体" w:cs="宋体"/>
          <w:b/>
          <w:color w:val="auto"/>
          <w:szCs w:val="21"/>
          <w:highlight w:val="none"/>
          <w:lang w:eastAsia="zh-CN"/>
        </w:rPr>
        <w:t>造价咨询</w:t>
      </w:r>
      <w:r>
        <w:rPr>
          <w:rFonts w:hint="eastAsia" w:ascii="宋体" w:hAnsi="宋体" w:eastAsia="宋体" w:cs="宋体"/>
          <w:b/>
          <w:color w:val="auto"/>
          <w:szCs w:val="21"/>
          <w:highlight w:val="none"/>
        </w:rPr>
        <w:t>质量标准”请留意本</w:t>
      </w:r>
      <w:r>
        <w:rPr>
          <w:rFonts w:hint="eastAsia" w:ascii="宋体" w:hAnsi="宋体" w:cs="宋体"/>
          <w:b/>
          <w:color w:val="auto"/>
          <w:szCs w:val="21"/>
          <w:highlight w:val="none"/>
          <w:lang w:eastAsia="zh-CN"/>
        </w:rPr>
        <w:t>招标公告</w:t>
      </w:r>
      <w:r>
        <w:rPr>
          <w:rFonts w:hint="eastAsia" w:ascii="宋体" w:hAnsi="宋体" w:eastAsia="宋体" w:cs="宋体"/>
          <w:b/>
          <w:color w:val="auto"/>
          <w:szCs w:val="21"/>
          <w:highlight w:val="none"/>
        </w:rPr>
        <w:t>中的相关内容，投标人若接受</w:t>
      </w:r>
      <w:r>
        <w:rPr>
          <w:rFonts w:hint="eastAsia" w:ascii="宋体" w:hAnsi="宋体" w:cs="宋体"/>
          <w:b/>
          <w:color w:val="auto"/>
          <w:szCs w:val="21"/>
          <w:highlight w:val="none"/>
          <w:lang w:eastAsia="zh-CN"/>
        </w:rPr>
        <w:t>招标公告</w:t>
      </w:r>
      <w:r>
        <w:rPr>
          <w:rFonts w:hint="eastAsia" w:ascii="宋体" w:hAnsi="宋体" w:eastAsia="宋体" w:cs="宋体"/>
          <w:b/>
          <w:color w:val="auto"/>
          <w:szCs w:val="21"/>
          <w:highlight w:val="none"/>
        </w:rPr>
        <w:t>中约定内容的，可在备注栏中填写“接受</w:t>
      </w:r>
      <w:r>
        <w:rPr>
          <w:rFonts w:hint="eastAsia" w:ascii="宋体" w:hAnsi="宋体" w:cs="宋体"/>
          <w:b/>
          <w:color w:val="auto"/>
          <w:szCs w:val="21"/>
          <w:highlight w:val="none"/>
          <w:lang w:eastAsia="zh-CN"/>
        </w:rPr>
        <w:t>招标公告</w:t>
      </w:r>
      <w:r>
        <w:rPr>
          <w:rFonts w:hint="eastAsia" w:ascii="宋体" w:hAnsi="宋体" w:eastAsia="宋体" w:cs="宋体"/>
          <w:b/>
          <w:color w:val="auto"/>
          <w:szCs w:val="21"/>
          <w:highlight w:val="none"/>
        </w:rPr>
        <w:t>的内容”，无需再填写“约定内容”；</w:t>
      </w:r>
    </w:p>
    <w:p w14:paraId="4F92B338">
      <w:pPr>
        <w:pageBreakBefore w:val="0"/>
        <w:kinsoku/>
        <w:overflowPunct/>
        <w:bidi w:val="0"/>
        <w:spacing w:beforeLines="0" w:afterLines="0" w:line="360" w:lineRule="auto"/>
        <w:ind w:left="0" w:leftChars="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3.“专用合同条款的其他内容”要求投标人明确填写是否接受本招标文件第五章合同条款及格式中专用合同条款的其他内容。</w:t>
      </w:r>
    </w:p>
    <w:p w14:paraId="5FEA7BAB">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p>
    <w:p w14:paraId="5B67BE66">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14:paraId="0F75A753">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p>
    <w:p w14:paraId="6510C27B">
      <w:pPr>
        <w:pageBreakBefore w:val="0"/>
        <w:widowControl/>
        <w:kinsoku/>
        <w:overflowPunct/>
        <w:bidi w:val="0"/>
        <w:spacing w:beforeLines="0" w:afterLines="0" w:line="360" w:lineRule="auto"/>
        <w:ind w:left="0" w:leftChars="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3F0F6BD4">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p>
    <w:p w14:paraId="6C7A9ED2">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3C46BC2">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p>
    <w:p w14:paraId="4548B046">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p>
    <w:p w14:paraId="22DC81EB">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p>
    <w:p w14:paraId="3BEBC131">
      <w:pPr>
        <w:pageBreakBefore w:val="0"/>
        <w:kinsoku/>
        <w:overflowPunct/>
        <w:bidi w:val="0"/>
        <w:spacing w:beforeLines="0" w:afterLines="0" w:line="360" w:lineRule="auto"/>
        <w:ind w:left="0" w:leftChars="0" w:right="0" w:firstLine="420" w:firstLineChars="200"/>
        <w:jc w:val="right"/>
        <w:rPr>
          <w:rFonts w:hint="eastAsia" w:ascii="宋体" w:hAnsi="宋体" w:eastAsia="宋体" w:cs="宋体"/>
          <w:color w:val="auto"/>
          <w:kern w:val="0"/>
          <w:szCs w:val="21"/>
          <w:highlight w:val="none"/>
        </w:rPr>
      </w:pPr>
    </w:p>
    <w:p w14:paraId="0D8E64F8">
      <w:pPr>
        <w:pageBreakBefore w:val="0"/>
        <w:kinsoku/>
        <w:overflowPunct/>
        <w:bidi w:val="0"/>
        <w:spacing w:beforeLines="0" w:afterLines="0"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9154DCB">
      <w:pPr>
        <w:pStyle w:val="25"/>
        <w:pageBreakBefore w:val="0"/>
        <w:tabs>
          <w:tab w:val="left" w:pos="2520"/>
        </w:tabs>
        <w:kinsoku/>
        <w:overflowPunct/>
        <w:bidi w:val="0"/>
        <w:spacing w:beforeLines="0" w:afterLines="0" w:line="360" w:lineRule="auto"/>
        <w:ind w:left="0" w:leftChars="0" w:right="0"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二、投标保证金</w:t>
      </w:r>
    </w:p>
    <w:p w14:paraId="303B9E6A">
      <w:pPr>
        <w:pageBreakBefore w:val="0"/>
        <w:kinsoku/>
        <w:overflowPunct/>
        <w:bidi w:val="0"/>
        <w:spacing w:beforeLines="0" w:afterLines="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（招标人名称）：</w:t>
      </w:r>
    </w:p>
    <w:p w14:paraId="1239E78D">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（投标人名称）（以下称“投标人”）于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日参加</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（项目名称）的投标，我单位已按招标文件的规定提交了投标保证金共计人民币（大写）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4469D927">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w:t>
      </w:r>
    </w:p>
    <w:p w14:paraId="332BDA57">
      <w:pPr>
        <w:pageBreakBefore w:val="0"/>
        <w:tabs>
          <w:tab w:val="left" w:pos="900"/>
        </w:tabs>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1.我方将严格遵守《中华人民共和国招标投标法》及相关法律、法规、规章  、规范性文件以及国家、省、市各级政府部门工作文件规定，在本次投标过程中保证不“挂靠”、不“围标”、不串标、不提供虚假资料、履行中标承诺、填报的人员设备按时进场，如有违背，愿无条件接受贵方扣罚投标保证金；</w:t>
      </w:r>
    </w:p>
    <w:p w14:paraId="1078ACBE">
      <w:pPr>
        <w:pageBreakBefore w:val="0"/>
        <w:tabs>
          <w:tab w:val="left" w:pos="900"/>
        </w:tabs>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2.我方愿意遵守招标文件中关于投标人须知部分所列明的各项规定，如出现有招标文件第三章投标人须知第3.5.3项所列情形之一的，愿无条件接受贵方扣罚投标保证金。</w:t>
      </w:r>
    </w:p>
    <w:p w14:paraId="3203072A">
      <w:pPr>
        <w:pageBreakBefore w:val="0"/>
        <w:tabs>
          <w:tab w:val="left" w:pos="900"/>
        </w:tabs>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3.我方提交及退还投标保证金的开户银行（企业基本账户）及账号如下（如有）：</w:t>
      </w:r>
    </w:p>
    <w:p w14:paraId="54644DF1">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p w14:paraId="59EFC261">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账户名称：</w:t>
      </w:r>
    </w:p>
    <w:p w14:paraId="29B25E72">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p>
    <w:p w14:paraId="37996D0E">
      <w:pPr>
        <w:pageBreakBefore w:val="0"/>
        <w:kinsoku/>
        <w:wordWrap w:val="0"/>
        <w:overflowPunct/>
        <w:bidi w:val="0"/>
        <w:spacing w:beforeLines="0" w:afterLines="0" w:line="360" w:lineRule="auto"/>
        <w:ind w:left="0" w:leftChars="0" w:right="0"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6E30FBE">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（盖公章）</w:t>
      </w:r>
    </w:p>
    <w:p w14:paraId="5CB4036B">
      <w:pPr>
        <w:pageBreakBefore w:val="0"/>
        <w:widowControl/>
        <w:kinsoku/>
        <w:overflowPunct/>
        <w:bidi w:val="0"/>
        <w:spacing w:beforeLines="0" w:afterLines="0" w:line="360" w:lineRule="auto"/>
        <w:ind w:left="0" w:leftChars="0" w:right="0" w:firstLine="420" w:firstLineChars="200"/>
        <w:jc w:val="left"/>
        <w:rPr>
          <w:rFonts w:hint="eastAsia" w:ascii="宋体" w:hAnsi="宋体" w:eastAsia="宋体" w:cs="宋体"/>
          <w:color w:val="auto"/>
          <w:kern w:val="0"/>
          <w:szCs w:val="21"/>
          <w:highlight w:val="none"/>
        </w:rPr>
      </w:pPr>
    </w:p>
    <w:p w14:paraId="33D1C713">
      <w:pPr>
        <w:pageBreakBefore w:val="0"/>
        <w:widowControl/>
        <w:kinsoku/>
        <w:overflowPunct/>
        <w:bidi w:val="0"/>
        <w:spacing w:beforeLines="0" w:afterLines="0" w:line="360" w:lineRule="auto"/>
        <w:ind w:left="0" w:leftChars="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35115909">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56455B07">
      <w:pPr>
        <w:pageBreakBefore w:val="0"/>
        <w:widowControl/>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6C151824">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7A74C416">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14:paraId="0F96E910">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1D59F563">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292A30F3">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4CD1D82A">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2E31B86E">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kern w:val="0"/>
          <w:szCs w:val="21"/>
          <w:highlight w:val="none"/>
        </w:rPr>
      </w:pPr>
    </w:p>
    <w:p w14:paraId="6C241571">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DC22FE7">
      <w:pPr>
        <w:pageBreakBefore w:val="0"/>
        <w:widowControl/>
        <w:kinsoku/>
        <w:overflowPunct/>
        <w:autoSpaceDE w:val="0"/>
        <w:autoSpaceDN w:val="0"/>
        <w:bidi w:val="0"/>
        <w:snapToGrid w:val="0"/>
        <w:spacing w:beforeLines="0" w:afterLines="0" w:line="360" w:lineRule="auto"/>
        <w:ind w:left="0" w:leftChars="0" w:right="0" w:firstLine="420" w:firstLineChars="200"/>
        <w:textAlignment w:val="bottom"/>
        <w:rPr>
          <w:rFonts w:hint="eastAsia" w:ascii="宋体" w:hAnsi="宋体" w:eastAsia="宋体" w:cs="宋体"/>
          <w:color w:val="auto"/>
          <w:szCs w:val="21"/>
          <w:highlight w:val="none"/>
        </w:rPr>
      </w:pPr>
    </w:p>
    <w:p w14:paraId="2168C353">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注：1.以现金方式提交投标保证金的，应附投标保证金银行付款凭证及企业基本账户银行开户许可证或银行出具的《基本存款账户信息》扫描件（加盖投标人公章）；</w:t>
      </w:r>
    </w:p>
    <w:p w14:paraId="41FE0E75">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2.以电子投标保函（保单）形式提交投标保证金的，应通过与</w:t>
      </w:r>
      <w:r>
        <w:rPr>
          <w:rFonts w:hint="eastAsia" w:ascii="宋体" w:hAnsi="宋体" w:cs="宋体"/>
          <w:color w:val="auto"/>
          <w:szCs w:val="21"/>
          <w:highlight w:val="none"/>
          <w:lang w:eastAsia="zh-CN"/>
        </w:rPr>
        <w:t>佛山市南海区人民政府网站—佛山市公共资源交易中心南海分中心</w:t>
      </w:r>
      <w:r>
        <w:rPr>
          <w:rFonts w:hint="eastAsia" w:ascii="宋体" w:hAnsi="宋体" w:eastAsia="宋体" w:cs="宋体"/>
          <w:color w:val="auto"/>
          <w:szCs w:val="21"/>
          <w:highlight w:val="none"/>
        </w:rPr>
        <w:t>互联互通的保证机构系统办理，并附下载的加密电子投标保函（保单）（加盖投标人公章）；</w:t>
      </w:r>
    </w:p>
    <w:p w14:paraId="24DC3FB6">
      <w:pPr>
        <w:rPr>
          <w:rFonts w:hint="eastAsia" w:ascii="宋体" w:hAnsi="宋体" w:eastAsia="宋体" w:cs="宋体"/>
          <w:b/>
          <w:bCs w:val="0"/>
          <w:color w:val="auto"/>
          <w:sz w:val="22"/>
          <w:szCs w:val="22"/>
          <w:highlight w:val="none"/>
        </w:rPr>
      </w:pPr>
      <w:r>
        <w:rPr>
          <w:rFonts w:hint="eastAsia" w:ascii="宋体" w:hAnsi="宋体" w:eastAsia="宋体" w:cs="宋体"/>
          <w:color w:val="auto"/>
          <w:szCs w:val="21"/>
          <w:highlight w:val="none"/>
        </w:rPr>
        <w:t>3.以其他方式提交投标保证金的，应按我市工程建设项目招标投标领域投标担保有关要求附相关证明材料扫描件（加盖投标人公章）。</w:t>
      </w:r>
      <w:r>
        <w:rPr>
          <w:rFonts w:hint="eastAsia" w:ascii="宋体" w:hAnsi="宋体" w:eastAsia="宋体" w:cs="宋体"/>
          <w:b/>
          <w:bCs w:val="0"/>
          <w:color w:val="auto"/>
          <w:sz w:val="22"/>
          <w:szCs w:val="22"/>
          <w:highlight w:val="none"/>
        </w:rPr>
        <w:br w:type="page"/>
      </w:r>
    </w:p>
    <w:p w14:paraId="2E5C8AB7">
      <w:pPr>
        <w:rPr>
          <w:rFonts w:hint="eastAsia" w:ascii="宋体" w:hAnsi="宋体" w:eastAsia="宋体" w:cs="宋体"/>
          <w:b/>
          <w:bCs w:val="0"/>
          <w:color w:val="auto"/>
          <w:sz w:val="22"/>
          <w:szCs w:val="22"/>
          <w:highlight w:val="none"/>
        </w:rPr>
      </w:pPr>
    </w:p>
    <w:p w14:paraId="6266E8B8">
      <w:pPr>
        <w:pStyle w:val="25"/>
        <w:tabs>
          <w:tab w:val="left" w:pos="2520"/>
        </w:tabs>
        <w:spacing w:beforeLines="0" w:afterLines="0" w:line="360" w:lineRule="auto"/>
        <w:ind w:firstLine="0" w:firstLineChars="0"/>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企业采购保证金退付委托书</w:t>
      </w:r>
    </w:p>
    <w:p w14:paraId="38EA9717">
      <w:pPr>
        <w:jc w:val="center"/>
        <w:rPr>
          <w:rFonts w:asciiTheme="minorEastAsia" w:hAnsiTheme="minorEastAsia" w:eastAsiaTheme="minorEastAsia"/>
          <w:b/>
          <w:color w:val="auto"/>
          <w:sz w:val="36"/>
          <w:szCs w:val="36"/>
          <w:highlight w:val="none"/>
        </w:rPr>
      </w:pPr>
    </w:p>
    <w:p w14:paraId="48824E94">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佛山市南海公有资产流转服务有限公司：</w:t>
      </w:r>
    </w:p>
    <w:p w14:paraId="43AF0D78">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兹委托贵司将采购人：</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rPr>
        <w:t>的企业采购项目“</w:t>
      </w:r>
      <w:r>
        <w:rPr>
          <w:rFonts w:hint="eastAsia" w:ascii="宋体" w:hAnsi="宋体" w:eastAsia="宋体" w:cs="宋体"/>
          <w:color w:val="auto"/>
          <w:kern w:val="2"/>
          <w:sz w:val="21"/>
          <w:szCs w:val="21"/>
          <w:highlight w:val="none"/>
          <w:u w:val="non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rPr>
        <w:t>）</w:t>
      </w:r>
    </w:p>
    <w:p w14:paraId="2753F199">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u w:val="none"/>
        </w:rPr>
        <w:t>保证金</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rPr>
        <w:t>）退回以下</w:t>
      </w:r>
      <w:r>
        <w:rPr>
          <w:rFonts w:hint="eastAsia" w:ascii="宋体" w:hAnsi="宋体" w:eastAsia="宋体" w:cs="宋体"/>
          <w:color w:val="auto"/>
          <w:sz w:val="21"/>
          <w:szCs w:val="21"/>
          <w:highlight w:val="none"/>
          <w:lang w:eastAsia="zh-CN"/>
        </w:rPr>
        <w:t>账</w:t>
      </w:r>
      <w:r>
        <w:rPr>
          <w:rFonts w:hint="eastAsia" w:ascii="宋体" w:hAnsi="宋体" w:eastAsia="宋体" w:cs="宋体"/>
          <w:color w:val="auto"/>
          <w:sz w:val="21"/>
          <w:szCs w:val="21"/>
          <w:highlight w:val="none"/>
        </w:rPr>
        <w:t>户：</w:t>
      </w:r>
    </w:p>
    <w:p w14:paraId="1F00FBDE">
      <w:pPr>
        <w:spacing w:beforeLines="0" w:afterLines="0"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 xml:space="preserve">户名： </w:t>
      </w:r>
      <w:r>
        <w:rPr>
          <w:rFonts w:hint="eastAsia" w:ascii="宋体" w:hAnsi="宋体" w:eastAsia="宋体" w:cs="宋体"/>
          <w:color w:val="auto"/>
          <w:sz w:val="21"/>
          <w:szCs w:val="21"/>
          <w:highlight w:val="none"/>
          <w:u w:val="none"/>
        </w:rPr>
        <w:t xml:space="preserve">                     （与缴款人或者单位一致）</w:t>
      </w:r>
    </w:p>
    <w:p w14:paraId="53309CC4">
      <w:pPr>
        <w:spacing w:beforeLines="0" w:afterLines="0"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 xml:space="preserve">账号： </w:t>
      </w:r>
      <w:r>
        <w:rPr>
          <w:rFonts w:hint="eastAsia" w:ascii="宋体" w:hAnsi="宋体" w:eastAsia="宋体" w:cs="宋体"/>
          <w:color w:val="auto"/>
          <w:sz w:val="21"/>
          <w:szCs w:val="21"/>
          <w:highlight w:val="none"/>
          <w:u w:val="none"/>
        </w:rPr>
        <w:t xml:space="preserve">                                             </w:t>
      </w:r>
    </w:p>
    <w:p w14:paraId="23D5121D">
      <w:pPr>
        <w:spacing w:beforeLines="0" w:afterLines="0"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none"/>
        </w:rPr>
        <w:t xml:space="preserve">                                          </w:t>
      </w:r>
    </w:p>
    <w:p w14:paraId="498BDEB9">
      <w:pPr>
        <w:spacing w:beforeLines="0" w:afterLines="0"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none"/>
        </w:rPr>
        <w:t xml:space="preserve">                                          </w:t>
      </w:r>
    </w:p>
    <w:p w14:paraId="242A72FC">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此委托退款账号及户名经本人（单位）核对无误，如有差异导致款项错退，本（单位）人承担其经济责任。</w:t>
      </w:r>
    </w:p>
    <w:p w14:paraId="4DC89743">
      <w:pPr>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特此委托</w:t>
      </w:r>
      <w:r>
        <w:rPr>
          <w:rFonts w:hint="eastAsia" w:ascii="宋体" w:hAnsi="宋体" w:eastAsia="宋体" w:cs="宋体"/>
          <w:color w:val="auto"/>
          <w:sz w:val="21"/>
          <w:szCs w:val="21"/>
          <w:highlight w:val="none"/>
          <w:lang w:eastAsia="zh-CN"/>
        </w:rPr>
        <w:t>。</w:t>
      </w:r>
    </w:p>
    <w:p w14:paraId="34A5555B">
      <w:pPr>
        <w:wordWrap/>
        <w:spacing w:beforeLines="0" w:afterLines="0" w:line="360" w:lineRule="auto"/>
        <w:ind w:right="0" w:firstLine="0" w:firstLineChars="0"/>
        <w:jc w:val="righ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单位（单位盖章）：</w:t>
      </w:r>
      <w:r>
        <w:rPr>
          <w:rFonts w:hint="eastAsia" w:ascii="宋体" w:hAnsi="宋体" w:eastAsia="宋体" w:cs="宋体"/>
          <w:color w:val="auto"/>
          <w:sz w:val="21"/>
          <w:szCs w:val="21"/>
          <w:highlight w:val="none"/>
          <w:lang w:val="en-US" w:eastAsia="zh-CN"/>
        </w:rPr>
        <w:t xml:space="preserve">                         </w:t>
      </w:r>
    </w:p>
    <w:p w14:paraId="162DC998">
      <w:pPr>
        <w:spacing w:beforeLines="0" w:afterLines="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32EFE7EB">
      <w:pPr>
        <w:spacing w:beforeLines="0" w:afterLines="0" w:line="360" w:lineRule="auto"/>
        <w:rPr>
          <w:rFonts w:hint="eastAsia" w:ascii="宋体" w:hAnsi="宋体" w:eastAsia="宋体" w:cs="宋体"/>
          <w:color w:val="auto"/>
          <w:sz w:val="21"/>
          <w:szCs w:val="21"/>
          <w:highlight w:val="none"/>
        </w:rPr>
      </w:pPr>
    </w:p>
    <w:p w14:paraId="2E725BDA">
      <w:pPr>
        <w:spacing w:beforeLines="0" w:afterLines="0" w:line="360" w:lineRule="auto"/>
        <w:rPr>
          <w:rFonts w:hint="eastAsia" w:ascii="宋体" w:hAnsi="宋体" w:eastAsia="宋体" w:cs="宋体"/>
          <w:color w:val="auto"/>
          <w:sz w:val="21"/>
          <w:szCs w:val="21"/>
          <w:highlight w:val="none"/>
        </w:rPr>
      </w:pPr>
    </w:p>
    <w:p w14:paraId="5CF0C575">
      <w:pPr>
        <w:spacing w:beforeLines="0" w:afterLines="0" w:line="360" w:lineRule="auto"/>
        <w:rPr>
          <w:rFonts w:hint="eastAsia" w:ascii="宋体" w:hAnsi="宋体" w:eastAsia="宋体" w:cs="宋体"/>
          <w:color w:val="auto"/>
          <w:sz w:val="21"/>
          <w:szCs w:val="21"/>
          <w:highlight w:val="none"/>
        </w:rPr>
      </w:pPr>
    </w:p>
    <w:p w14:paraId="785FEA8E">
      <w:pPr>
        <w:spacing w:beforeLines="0" w:afterLines="0"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本委托书要求字迹清晰，涂改无效。</w:t>
      </w:r>
    </w:p>
    <w:p w14:paraId="210C9504">
      <w:pPr>
        <w:pageBreakBefore w:val="0"/>
        <w:kinsoku/>
        <w:overflowPunct/>
        <w:bidi w:val="0"/>
        <w:spacing w:beforeLines="0" w:afterLines="0" w:line="360" w:lineRule="auto"/>
        <w:ind w:left="0" w:leftChars="0" w:right="0" w:firstLine="422" w:firstLineChars="200"/>
        <w:rPr>
          <w:rFonts w:hint="eastAsia" w:ascii="宋体" w:hAnsi="宋体" w:eastAsia="宋体" w:cs="宋体"/>
          <w:b/>
          <w:strike/>
          <w:color w:val="auto"/>
          <w:szCs w:val="21"/>
          <w:highlight w:val="none"/>
        </w:rPr>
      </w:pPr>
    </w:p>
    <w:p w14:paraId="29DFA7CD">
      <w:pPr>
        <w:pageBreakBefore w:val="0"/>
        <w:kinsoku/>
        <w:overflowPunct/>
        <w:bidi w:val="0"/>
        <w:spacing w:beforeLines="0" w:afterLines="0" w:line="360" w:lineRule="auto"/>
        <w:ind w:left="0" w:leftChars="0" w:right="0" w:firstLine="422" w:firstLineChars="200"/>
        <w:rPr>
          <w:rFonts w:hint="eastAsia" w:ascii="宋体" w:hAnsi="宋体" w:eastAsia="宋体" w:cs="宋体"/>
          <w:b/>
          <w:strike/>
          <w:color w:val="auto"/>
          <w:szCs w:val="21"/>
          <w:highlight w:val="none"/>
        </w:rPr>
      </w:pPr>
      <w:r>
        <w:rPr>
          <w:rFonts w:hint="eastAsia" w:ascii="宋体" w:hAnsi="宋体" w:eastAsia="宋体" w:cs="宋体"/>
          <w:b/>
          <w:strike/>
          <w:color w:val="auto"/>
          <w:szCs w:val="21"/>
          <w:highlight w:val="none"/>
        </w:rPr>
        <w:br w:type="page"/>
      </w:r>
    </w:p>
    <w:p w14:paraId="1F42901F">
      <w:pPr>
        <w:pageBreakBefore w:val="0"/>
        <w:tabs>
          <w:tab w:val="left" w:pos="2520"/>
        </w:tabs>
        <w:kinsoku/>
        <w:overflowPunct/>
        <w:bidi w:val="0"/>
        <w:spacing w:beforeLines="0" w:afterLines="0" w:line="360" w:lineRule="auto"/>
        <w:ind w:left="0" w:leftChars="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四、其他材料</w:t>
      </w:r>
    </w:p>
    <w:p w14:paraId="5876B544">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p>
    <w:p w14:paraId="4F03708A">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注：此处提交招标文件规定的其他材料，以及投标人认为需要提交的其他材料。</w:t>
      </w:r>
    </w:p>
    <w:bookmarkEnd w:id="661"/>
    <w:bookmarkEnd w:id="662"/>
    <w:bookmarkEnd w:id="663"/>
    <w:bookmarkEnd w:id="664"/>
    <w:bookmarkEnd w:id="665"/>
    <w:bookmarkEnd w:id="666"/>
    <w:p w14:paraId="4671ACFF">
      <w:pPr>
        <w:pageBreakBefore w:val="0"/>
        <w:kinsoku/>
        <w:overflowPunct/>
        <w:bidi w:val="0"/>
        <w:spacing w:beforeLines="0" w:afterLines="0" w:line="360" w:lineRule="auto"/>
        <w:ind w:left="0" w:leftChars="0" w:right="0" w:firstLine="420" w:firstLineChars="200"/>
        <w:rPr>
          <w:rFonts w:hint="eastAsia" w:ascii="宋体" w:hAnsi="宋体" w:eastAsia="宋体" w:cs="宋体"/>
          <w:color w:val="auto"/>
          <w:highlight w:val="none"/>
        </w:rPr>
      </w:pPr>
    </w:p>
    <w:sectPr>
      <w:footerReference r:id="rId9" w:type="default"/>
      <w:pgSz w:w="11906" w:h="16838"/>
      <w:pgMar w:top="1440" w:right="1080" w:bottom="1440" w:left="1080" w:header="737"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EDCF5">
    <w:pPr>
      <w:pStyle w:val="47"/>
      <w:rPr>
        <w:rFonts w:eastAsia="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30A75">
    <w:pPr>
      <w:jc w:val="center"/>
    </w:pPr>
    <w:r>
      <w:rPr>
        <w:rFonts w:hint="eastAsia"/>
      </w:rPr>
      <w:fldChar w:fldCharType="begin"/>
    </w:r>
    <w:r>
      <w:rPr>
        <w:rFonts w:hint="eastAsia"/>
      </w:rPr>
      <w:instrText xml:space="preserve"> PAGE  \* MERGEFORMAT </w:instrText>
    </w:r>
    <w:r>
      <w:rPr>
        <w:rFonts w:hint="eastAsia"/>
      </w:rPr>
      <w:fldChar w:fldCharType="separate"/>
    </w:r>
    <w:r>
      <w:t>120</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AF82E">
    <w:pPr>
      <w:pStyle w:val="47"/>
      <w:rPr>
        <w:rFonts w:eastAsia="仿宋_GB2312"/>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B86F73E">
                          <w:pPr>
                            <w:pStyle w:val="47"/>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3B86F73E">
                    <w:pPr>
                      <w:pStyle w:val="4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6BA1D">
    <w:pPr>
      <w:pStyle w:val="47"/>
      <w:jc w:val="center"/>
      <w:rPr>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98EDE27">
                          <w:pPr>
                            <w:pStyle w:val="47"/>
                          </w:pPr>
                          <w:r>
                            <w:fldChar w:fldCharType="begin"/>
                          </w:r>
                          <w:r>
                            <w:instrText xml:space="preserve"> PAGE  \* MERGEFORMAT </w:instrText>
                          </w:r>
                          <w:r>
                            <w:fldChar w:fldCharType="separate"/>
                          </w:r>
                          <w:r>
                            <w:t>7</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anvhjRAQAAn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2p74Y0QEAAJ4DAAAOAAAAAAAAAAEAIAAAAB8BAABk&#10;cnMvZTJvRG9jLnhtbFBLBQYAAAAABgAGAFkBAABiBQAAAAA=&#10;">
              <v:fill on="f" focussize="0,0"/>
              <v:stroke on="f"/>
              <v:imagedata o:title=""/>
              <o:lock v:ext="edit" aspectratio="f"/>
              <v:textbox inset="0mm,0mm,0mm,0mm" style="mso-fit-shape-to-text:t;">
                <w:txbxContent>
                  <w:p w14:paraId="398EDE27">
                    <w:pPr>
                      <w:pStyle w:val="47"/>
                    </w:pPr>
                    <w:r>
                      <w:fldChar w:fldCharType="begin"/>
                    </w:r>
                    <w:r>
                      <w:instrText xml:space="preserve"> PAGE  \* MERGEFORMAT </w:instrText>
                    </w:r>
                    <w:r>
                      <w:fldChar w:fldCharType="separate"/>
                    </w:r>
                    <w:r>
                      <w:t>7</w:t>
                    </w:r>
                    <w:r>
                      <w:fldChar w:fldCharType="end"/>
                    </w:r>
                  </w:p>
                </w:txbxContent>
              </v:textbox>
            </v:rect>
          </w:pict>
        </mc:Fallback>
      </mc:AlternateContent>
    </w:r>
  </w:p>
  <w:p w14:paraId="7B0AF447">
    <w:pPr>
      <w:pStyle w:val="47"/>
    </w:pPr>
  </w:p>
  <w:p w14:paraId="4FB86110">
    <w:pPr>
      <w:pStyle w:val="4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9B536">
    <w:pPr>
      <w:pStyle w:val="47"/>
      <w:jc w:val="center"/>
      <w:rPr>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C6A92BD">
                          <w:pPr>
                            <w:pStyle w:val="47"/>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G106jTAQAAngMAAA4AAABkcnMvZTJvRG9jLnhtbK1TS27bMBDdF+gd&#10;CO5ryUZb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W15dceaEpTc//fxx+vXn&#10;9Ps7e5c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G106jTAQAAngMAAA4AAAAAAAAAAQAgAAAAHwEA&#10;AGRycy9lMm9Eb2MueG1sUEsFBgAAAAAGAAYAWQEAAGQFAAAAAA==&#10;">
              <v:fill on="f" focussize="0,0"/>
              <v:stroke on="f"/>
              <v:imagedata o:title=""/>
              <o:lock v:ext="edit" aspectratio="f"/>
              <v:textbox inset="0mm,0mm,0mm,0mm" style="mso-fit-shape-to-text:t;">
                <w:txbxContent>
                  <w:p w14:paraId="1C6A92BD">
                    <w:pPr>
                      <w:pStyle w:val="47"/>
                    </w:pPr>
                    <w:r>
                      <w:fldChar w:fldCharType="begin"/>
                    </w:r>
                    <w:r>
                      <w:instrText xml:space="preserve"> PAGE  \* MERGEFORMAT </w:instrText>
                    </w:r>
                    <w:r>
                      <w:fldChar w:fldCharType="separate"/>
                    </w:r>
                    <w:r>
                      <w:t>1</w:t>
                    </w:r>
                    <w:r>
                      <w:fldChar w:fldCharType="end"/>
                    </w:r>
                  </w:p>
                </w:txbxContent>
              </v:textbox>
            </v:rect>
          </w:pict>
        </mc:Fallback>
      </mc:AlternateContent>
    </w:r>
  </w:p>
  <w:p w14:paraId="29E807AF">
    <w:pPr>
      <w:pStyle w:val="47"/>
    </w:pPr>
  </w:p>
  <w:p w14:paraId="77D7B255">
    <w:pPr>
      <w:pStyle w:val="4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A8F9A">
    <w:pPr>
      <w:pStyle w:val="47"/>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108DBB">
                          <w:pPr>
                            <w:pStyle w:val="47"/>
                          </w:pPr>
                          <w:r>
                            <w:fldChar w:fldCharType="begin"/>
                          </w:r>
                          <w:r>
                            <w:instrText xml:space="preserve"> PAGE  \* MERGEFORMAT </w:instrText>
                          </w:r>
                          <w:r>
                            <w:fldChar w:fldCharType="separate"/>
                          </w:r>
                          <w:r>
                            <w:t>89</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N8vcJbQAQAAngMAAA4AAAAAAAAAAQAgAAAAHwEAAGRy&#10;cy9lMm9Eb2MueG1sUEsFBgAAAAAGAAYAWQEAAGEFAAAAAA==&#10;">
              <v:fill on="f" focussize="0,0"/>
              <v:stroke on="f"/>
              <v:imagedata o:title=""/>
              <o:lock v:ext="edit" aspectratio="f"/>
              <v:textbox inset="0mm,0mm,0mm,0mm" style="mso-fit-shape-to-text:t;">
                <w:txbxContent>
                  <w:p w14:paraId="05108DBB">
                    <w:pPr>
                      <w:pStyle w:val="47"/>
                    </w:pPr>
                    <w:r>
                      <w:fldChar w:fldCharType="begin"/>
                    </w:r>
                    <w:r>
                      <w:instrText xml:space="preserve"> PAGE  \* MERGEFORMAT </w:instrText>
                    </w:r>
                    <w:r>
                      <w:fldChar w:fldCharType="separate"/>
                    </w:r>
                    <w:r>
                      <w:t>89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68C3">
    <w:pPr>
      <w:pStyle w:val="4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E112F"/>
    <w:multiLevelType w:val="multilevel"/>
    <w:tmpl w:val="9B8E112F"/>
    <w:lvl w:ilvl="0" w:tentative="0">
      <w:start w:val="1"/>
      <w:numFmt w:val="japaneseCounting"/>
      <w:suff w:val="nothing"/>
      <w:lvlText w:val="（%1）"/>
      <w:lvlJc w:val="left"/>
      <w:pPr>
        <w:ind w:left="720" w:hanging="720"/>
      </w:pPr>
      <w:rPr>
        <w:rFonts w:hint="eastAsia" w:ascii="Times New Roman" w:hAnsi="Times New Roman" w:cs="Times New Roman"/>
      </w:rPr>
    </w:lvl>
    <w:lvl w:ilvl="1" w:tentative="0">
      <w:start w:val="1"/>
      <w:numFmt w:val="lowerLetter"/>
      <w:lvlText w:val="%2)"/>
      <w:lvlJc w:val="left"/>
      <w:pPr>
        <w:tabs>
          <w:tab w:val="left" w:pos="840"/>
        </w:tabs>
        <w:ind w:left="840" w:hanging="420"/>
      </w:pPr>
      <w:rPr>
        <w:rFonts w:hint="eastAsia" w:ascii="Times New Roman" w:hAnsi="Times New Roman" w:cs="Times New Roman"/>
      </w:rPr>
    </w:lvl>
    <w:lvl w:ilvl="2" w:tentative="0">
      <w:start w:val="1"/>
      <w:numFmt w:val="lowerRoman"/>
      <w:lvlText w:val="%3."/>
      <w:lvlJc w:val="right"/>
      <w:pPr>
        <w:tabs>
          <w:tab w:val="left" w:pos="1260"/>
        </w:tabs>
        <w:ind w:left="1260" w:hanging="420"/>
      </w:pPr>
      <w:rPr>
        <w:rFonts w:hint="eastAsia" w:ascii="Times New Roman" w:hAnsi="Times New Roman" w:cs="Times New Roman"/>
      </w:rPr>
    </w:lvl>
    <w:lvl w:ilvl="3" w:tentative="0">
      <w:start w:val="1"/>
      <w:numFmt w:val="decimal"/>
      <w:lvlText w:val="%4."/>
      <w:lvlJc w:val="left"/>
      <w:pPr>
        <w:tabs>
          <w:tab w:val="left" w:pos="1680"/>
        </w:tabs>
        <w:ind w:left="1680" w:hanging="420"/>
      </w:pPr>
      <w:rPr>
        <w:rFonts w:hint="eastAsia" w:ascii="Times New Roman" w:hAnsi="Times New Roman" w:cs="Times New Roman"/>
      </w:rPr>
    </w:lvl>
    <w:lvl w:ilvl="4" w:tentative="0">
      <w:start w:val="1"/>
      <w:numFmt w:val="lowerLetter"/>
      <w:lvlText w:val="%5)"/>
      <w:lvlJc w:val="left"/>
      <w:pPr>
        <w:tabs>
          <w:tab w:val="left" w:pos="2100"/>
        </w:tabs>
        <w:ind w:left="2100" w:hanging="420"/>
      </w:pPr>
      <w:rPr>
        <w:rFonts w:hint="eastAsia" w:ascii="Times New Roman" w:hAnsi="Times New Roman" w:cs="Times New Roman"/>
      </w:rPr>
    </w:lvl>
    <w:lvl w:ilvl="5" w:tentative="0">
      <w:start w:val="1"/>
      <w:numFmt w:val="lowerRoman"/>
      <w:lvlText w:val="%6."/>
      <w:lvlJc w:val="right"/>
      <w:pPr>
        <w:tabs>
          <w:tab w:val="left" w:pos="2520"/>
        </w:tabs>
        <w:ind w:left="2520" w:hanging="420"/>
      </w:pPr>
      <w:rPr>
        <w:rFonts w:hint="eastAsia" w:ascii="Times New Roman" w:hAnsi="Times New Roman" w:cs="Times New Roman"/>
      </w:rPr>
    </w:lvl>
    <w:lvl w:ilvl="6" w:tentative="0">
      <w:start w:val="1"/>
      <w:numFmt w:val="decimal"/>
      <w:lvlText w:val="%7."/>
      <w:lvlJc w:val="left"/>
      <w:pPr>
        <w:tabs>
          <w:tab w:val="left" w:pos="2940"/>
        </w:tabs>
        <w:ind w:left="2940" w:hanging="420"/>
      </w:pPr>
      <w:rPr>
        <w:rFonts w:hint="eastAsia" w:ascii="Times New Roman" w:hAnsi="Times New Roman" w:cs="Times New Roman"/>
      </w:rPr>
    </w:lvl>
    <w:lvl w:ilvl="7" w:tentative="0">
      <w:start w:val="1"/>
      <w:numFmt w:val="lowerLetter"/>
      <w:lvlText w:val="%8)"/>
      <w:lvlJc w:val="left"/>
      <w:pPr>
        <w:tabs>
          <w:tab w:val="left" w:pos="3360"/>
        </w:tabs>
        <w:ind w:left="3360" w:hanging="420"/>
      </w:pPr>
      <w:rPr>
        <w:rFonts w:hint="eastAsia" w:ascii="Times New Roman" w:hAnsi="Times New Roman" w:cs="Times New Roman"/>
      </w:rPr>
    </w:lvl>
    <w:lvl w:ilvl="8" w:tentative="0">
      <w:start w:val="1"/>
      <w:numFmt w:val="lowerRoman"/>
      <w:lvlText w:val="%9."/>
      <w:lvlJc w:val="right"/>
      <w:pPr>
        <w:tabs>
          <w:tab w:val="left" w:pos="3780"/>
        </w:tabs>
        <w:ind w:left="3780" w:hanging="420"/>
      </w:pPr>
      <w:rPr>
        <w:rFonts w:hint="eastAsia" w:ascii="Times New Roman" w:hAnsi="Times New Roman" w:cs="Times New Roman"/>
      </w:rPr>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lvlText w:val="%1."/>
      <w:lvlJc w:val="left"/>
      <w:pPr>
        <w:tabs>
          <w:tab w:val="left" w:pos="312"/>
        </w:tabs>
      </w:pPr>
    </w:lvl>
  </w:abstractNum>
  <w:abstractNum w:abstractNumId="3">
    <w:nsid w:val="0C512AB2"/>
    <w:multiLevelType w:val="singleLevel"/>
    <w:tmpl w:val="0C512AB2"/>
    <w:lvl w:ilvl="0" w:tentative="0">
      <w:start w:val="7"/>
      <w:numFmt w:val="decimal"/>
      <w:lvlText w:val="%1."/>
      <w:lvlJc w:val="left"/>
      <w:pPr>
        <w:tabs>
          <w:tab w:val="left" w:pos="312"/>
        </w:tabs>
      </w:pPr>
    </w:lvl>
  </w:abstractNum>
  <w:abstractNum w:abstractNumId="4">
    <w:nsid w:val="75452577"/>
    <w:multiLevelType w:val="multilevel"/>
    <w:tmpl w:val="75452577"/>
    <w:lvl w:ilvl="0" w:tentative="0">
      <w:start w:val="2"/>
      <w:numFmt w:val="chineseCounting"/>
      <w:suff w:val="nothing"/>
      <w:lvlText w:val="（%1）"/>
      <w:lvlJc w:val="left"/>
      <w:pPr>
        <w:ind w:left="0" w:firstLine="0"/>
      </w:pPr>
      <w:rPr>
        <w:rFonts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0"/>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trackRevisions w:val="1"/>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20D65"/>
    <w:rsid w:val="04287A80"/>
    <w:rsid w:val="04C14FBA"/>
    <w:rsid w:val="06CB079D"/>
    <w:rsid w:val="0CB12768"/>
    <w:rsid w:val="0FB2240A"/>
    <w:rsid w:val="13F70B75"/>
    <w:rsid w:val="15EE41AF"/>
    <w:rsid w:val="206349B6"/>
    <w:rsid w:val="214124AF"/>
    <w:rsid w:val="252852D6"/>
    <w:rsid w:val="26C113D1"/>
    <w:rsid w:val="295E5F46"/>
    <w:rsid w:val="2CE27522"/>
    <w:rsid w:val="2EB040CA"/>
    <w:rsid w:val="33DE0A3E"/>
    <w:rsid w:val="375218C8"/>
    <w:rsid w:val="3A91260E"/>
    <w:rsid w:val="3DB5163D"/>
    <w:rsid w:val="42055970"/>
    <w:rsid w:val="4555254A"/>
    <w:rsid w:val="45ED0E3D"/>
    <w:rsid w:val="505930E6"/>
    <w:rsid w:val="56B81600"/>
    <w:rsid w:val="58A9274A"/>
    <w:rsid w:val="5A132347"/>
    <w:rsid w:val="5D6064C1"/>
    <w:rsid w:val="5DB37E5E"/>
    <w:rsid w:val="5E944745"/>
    <w:rsid w:val="5EE6616A"/>
    <w:rsid w:val="62221F6C"/>
    <w:rsid w:val="6379126D"/>
    <w:rsid w:val="63A5502B"/>
    <w:rsid w:val="6922652B"/>
    <w:rsid w:val="6956041B"/>
    <w:rsid w:val="6F430B62"/>
    <w:rsid w:val="6F763E27"/>
    <w:rsid w:val="73600797"/>
    <w:rsid w:val="79655C31"/>
    <w:rsid w:val="7D1F477D"/>
    <w:rsid w:val="7FF25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heading 1"/>
    <w:basedOn w:val="1"/>
    <w:next w:val="1"/>
    <w:link w:val="224"/>
    <w:qFormat/>
    <w:uiPriority w:val="0"/>
    <w:pPr>
      <w:keepNext/>
      <w:keepLines/>
      <w:spacing w:line="578" w:lineRule="auto"/>
      <w:jc w:val="center"/>
      <w:outlineLvl w:val="0"/>
    </w:pPr>
    <w:rPr>
      <w:rFonts w:eastAsia="黑体"/>
      <w:b/>
      <w:bCs/>
      <w:kern w:val="32"/>
      <w:sz w:val="32"/>
      <w:szCs w:val="44"/>
    </w:rPr>
  </w:style>
  <w:style w:type="paragraph" w:styleId="22">
    <w:name w:val="heading 2"/>
    <w:basedOn w:val="1"/>
    <w:next w:val="1"/>
    <w:link w:val="96"/>
    <w:qFormat/>
    <w:uiPriority w:val="0"/>
    <w:pPr>
      <w:keepNext/>
      <w:keepLines/>
      <w:spacing w:line="416" w:lineRule="auto"/>
      <w:outlineLvl w:val="1"/>
    </w:pPr>
    <w:rPr>
      <w:rFonts w:ascii="Cambria" w:hAnsi="Cambria"/>
      <w:b/>
      <w:bCs/>
      <w:sz w:val="32"/>
      <w:szCs w:val="32"/>
    </w:rPr>
  </w:style>
  <w:style w:type="paragraph" w:styleId="23">
    <w:name w:val="heading 3"/>
    <w:basedOn w:val="1"/>
    <w:next w:val="1"/>
    <w:link w:val="97"/>
    <w:qFormat/>
    <w:uiPriority w:val="0"/>
    <w:pPr>
      <w:keepNext/>
      <w:keepLines/>
      <w:spacing w:line="416" w:lineRule="auto"/>
      <w:outlineLvl w:val="2"/>
    </w:pPr>
    <w:rPr>
      <w:b/>
      <w:bCs/>
      <w:sz w:val="32"/>
      <w:szCs w:val="32"/>
    </w:rPr>
  </w:style>
  <w:style w:type="paragraph" w:styleId="24">
    <w:name w:val="heading 4"/>
    <w:basedOn w:val="1"/>
    <w:next w:val="1"/>
    <w:link w:val="98"/>
    <w:qFormat/>
    <w:uiPriority w:val="0"/>
    <w:pPr>
      <w:keepNext/>
      <w:keepLines/>
      <w:spacing w:line="376" w:lineRule="auto"/>
      <w:outlineLvl w:val="3"/>
    </w:pPr>
    <w:rPr>
      <w:rFonts w:ascii="Cambria" w:hAnsi="Cambria"/>
      <w:b/>
      <w:bCs/>
      <w:sz w:val="28"/>
      <w:szCs w:val="28"/>
    </w:rPr>
  </w:style>
  <w:style w:type="paragraph" w:styleId="25">
    <w:name w:val="heading 5"/>
    <w:basedOn w:val="1"/>
    <w:next w:val="1"/>
    <w:link w:val="99"/>
    <w:qFormat/>
    <w:uiPriority w:val="0"/>
    <w:pPr>
      <w:keepNext/>
      <w:keepLines/>
      <w:spacing w:line="372" w:lineRule="auto"/>
      <w:outlineLvl w:val="4"/>
    </w:pPr>
    <w:rPr>
      <w:b/>
      <w:bCs/>
      <w:sz w:val="28"/>
      <w:szCs w:val="28"/>
    </w:rPr>
  </w:style>
  <w:style w:type="paragraph" w:styleId="26">
    <w:name w:val="heading 6"/>
    <w:basedOn w:val="1"/>
    <w:next w:val="1"/>
    <w:link w:val="100"/>
    <w:qFormat/>
    <w:uiPriority w:val="0"/>
    <w:pPr>
      <w:keepNext/>
      <w:keepLines/>
      <w:widowControl/>
      <w:tabs>
        <w:tab w:val="left" w:pos="1440"/>
      </w:tabs>
      <w:spacing w:line="320" w:lineRule="auto"/>
      <w:ind w:left="1152" w:hanging="1152"/>
      <w:jc w:val="center"/>
      <w:outlineLvl w:val="5"/>
    </w:pPr>
    <w:rPr>
      <w:rFonts w:ascii="Cambria" w:hAnsi="Cambria"/>
      <w:b/>
      <w:bCs/>
      <w:sz w:val="24"/>
    </w:rPr>
  </w:style>
  <w:style w:type="paragraph" w:styleId="27">
    <w:name w:val="heading 7"/>
    <w:basedOn w:val="1"/>
    <w:next w:val="1"/>
    <w:link w:val="101"/>
    <w:qFormat/>
    <w:uiPriority w:val="0"/>
    <w:pPr>
      <w:keepNext/>
      <w:keepLines/>
      <w:widowControl/>
      <w:tabs>
        <w:tab w:val="left" w:pos="2520"/>
      </w:tabs>
      <w:spacing w:line="320" w:lineRule="auto"/>
      <w:ind w:left="1296" w:hanging="1296"/>
      <w:jc w:val="center"/>
      <w:outlineLvl w:val="6"/>
    </w:pPr>
    <w:rPr>
      <w:bCs/>
      <w:sz w:val="28"/>
    </w:rPr>
  </w:style>
  <w:style w:type="paragraph" w:styleId="28">
    <w:name w:val="heading 8"/>
    <w:basedOn w:val="1"/>
    <w:next w:val="1"/>
    <w:link w:val="102"/>
    <w:qFormat/>
    <w:uiPriority w:val="0"/>
    <w:pPr>
      <w:keepNext/>
      <w:keepLines/>
      <w:widowControl/>
      <w:tabs>
        <w:tab w:val="left" w:pos="1440"/>
      </w:tabs>
      <w:spacing w:line="320" w:lineRule="auto"/>
      <w:ind w:left="1440" w:hanging="1440"/>
      <w:jc w:val="left"/>
      <w:outlineLvl w:val="7"/>
    </w:pPr>
    <w:rPr>
      <w:rFonts w:ascii="Cambria" w:hAnsi="Cambria"/>
      <w:sz w:val="24"/>
    </w:rPr>
  </w:style>
  <w:style w:type="paragraph" w:styleId="29">
    <w:name w:val="heading 9"/>
    <w:basedOn w:val="1"/>
    <w:next w:val="1"/>
    <w:link w:val="103"/>
    <w:qFormat/>
    <w:uiPriority w:val="0"/>
    <w:pPr>
      <w:keepNext/>
      <w:keepLines/>
      <w:widowControl/>
      <w:tabs>
        <w:tab w:val="left" w:pos="1584"/>
      </w:tabs>
      <w:spacing w:before="240" w:after="64" w:line="320" w:lineRule="auto"/>
      <w:ind w:left="1584" w:hanging="1584"/>
      <w:jc w:val="left"/>
      <w:outlineLvl w:val="8"/>
    </w:pPr>
    <w:rPr>
      <w:rFonts w:ascii="Cambria" w:hAnsi="Cambria"/>
      <w:szCs w:val="21"/>
    </w:rPr>
  </w:style>
  <w:style w:type="character" w:default="1" w:styleId="65">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customStyle="1" w:styleId="3">
    <w:name w:val="正文_1"/>
    <w:basedOn w:val="4"/>
    <w:next w:val="2"/>
    <w:qFormat/>
    <w:uiPriority w:val="0"/>
    <w:pPr>
      <w:widowControl w:val="0"/>
      <w:jc w:val="both"/>
    </w:pPr>
    <w:rPr>
      <w:kern w:val="2"/>
      <w:sz w:val="21"/>
      <w:szCs w:val="24"/>
      <w:lang w:val="en-US" w:eastAsia="zh-CN" w:bidi="ar-SA"/>
    </w:rPr>
  </w:style>
  <w:style w:type="paragraph" w:customStyle="1" w:styleId="4">
    <w:name w:val="正文_2"/>
    <w:basedOn w:val="5"/>
    <w:qFormat/>
    <w:uiPriority w:val="0"/>
    <w:pPr>
      <w:widowControl w:val="0"/>
      <w:jc w:val="both"/>
    </w:pPr>
    <w:rPr>
      <w:kern w:val="2"/>
      <w:sz w:val="21"/>
      <w:szCs w:val="24"/>
      <w:lang w:val="en-US" w:eastAsia="zh-CN" w:bidi="ar-SA"/>
    </w:rPr>
  </w:style>
  <w:style w:type="paragraph" w:customStyle="1" w:styleId="5">
    <w:name w:val="正文_3"/>
    <w:basedOn w:val="6"/>
    <w:next w:val="9"/>
    <w:qFormat/>
    <w:uiPriority w:val="0"/>
    <w:pPr>
      <w:widowControl w:val="0"/>
      <w:jc w:val="both"/>
    </w:pPr>
    <w:rPr>
      <w:kern w:val="2"/>
      <w:sz w:val="21"/>
      <w:szCs w:val="24"/>
      <w:lang w:val="en-US" w:eastAsia="zh-CN" w:bidi="ar-SA"/>
    </w:rPr>
  </w:style>
  <w:style w:type="paragraph" w:customStyle="1" w:styleId="6">
    <w:name w:val="正文_4"/>
    <w:basedOn w:val="7"/>
    <w:qFormat/>
    <w:uiPriority w:val="0"/>
    <w:pPr>
      <w:widowControl w:val="0"/>
      <w:jc w:val="both"/>
    </w:pPr>
    <w:rPr>
      <w:kern w:val="2"/>
      <w:sz w:val="21"/>
      <w:szCs w:val="24"/>
      <w:lang w:val="en-US" w:eastAsia="zh-CN" w:bidi="ar-SA"/>
    </w:rPr>
  </w:style>
  <w:style w:type="paragraph" w:customStyle="1" w:styleId="7">
    <w:name w:val="正文_5"/>
    <w:next w:val="8"/>
    <w:qFormat/>
    <w:uiPriority w:val="0"/>
    <w:pPr>
      <w:widowControl w:val="0"/>
      <w:jc w:val="both"/>
    </w:pPr>
    <w:rPr>
      <w:rFonts w:ascii="宋体" w:hAnsi="宋体" w:eastAsia="宋体" w:cs="宋体"/>
      <w:sz w:val="34"/>
      <w:szCs w:val="34"/>
      <w:lang w:val="en-US" w:eastAsia="zh-CN" w:bidi="ar-SA"/>
    </w:rPr>
  </w:style>
  <w:style w:type="paragraph" w:customStyle="1" w:styleId="8">
    <w:name w:val="正文文本_4"/>
    <w:basedOn w:val="7"/>
    <w:qFormat/>
    <w:uiPriority w:val="0"/>
    <w:pPr>
      <w:spacing w:after="120"/>
    </w:pPr>
    <w:rPr>
      <w:rFonts w:ascii="Times New Roman" w:hAnsi="Times New Roman"/>
      <w:kern w:val="0"/>
      <w:sz w:val="20"/>
      <w:szCs w:val="20"/>
    </w:rPr>
  </w:style>
  <w:style w:type="paragraph" w:customStyle="1" w:styleId="9">
    <w:name w:val="正文首行缩进_0_0_0"/>
    <w:basedOn w:val="10"/>
    <w:qFormat/>
    <w:uiPriority w:val="0"/>
  </w:style>
  <w:style w:type="paragraph" w:customStyle="1" w:styleId="10">
    <w:name w:val="正文文本_0_0_0"/>
    <w:basedOn w:val="11"/>
    <w:qFormat/>
    <w:uiPriority w:val="0"/>
    <w:pPr>
      <w:spacing w:before="100" w:beforeAutospacing="1" w:after="120"/>
    </w:pPr>
    <w:rPr>
      <w:kern w:val="0"/>
      <w:sz w:val="20"/>
      <w:szCs w:val="20"/>
    </w:rPr>
  </w:style>
  <w:style w:type="paragraph" w:customStyle="1" w:styleId="11">
    <w:name w:val="正文_0_0_0_0"/>
    <w:basedOn w:val="12"/>
    <w:next w:val="13"/>
    <w:qFormat/>
    <w:uiPriority w:val="0"/>
    <w:rPr>
      <w:rFonts w:ascii="等线" w:hAnsi="等线" w:eastAsia="等线"/>
    </w:rPr>
  </w:style>
  <w:style w:type="paragraph" w:customStyle="1" w:styleId="12">
    <w:name w:val="正文_0_1"/>
    <w:basedOn w:val="3"/>
    <w:qFormat/>
    <w:uiPriority w:val="0"/>
  </w:style>
  <w:style w:type="paragraph" w:customStyle="1" w:styleId="13">
    <w:name w:val="正文首行缩进_0_1"/>
    <w:basedOn w:val="14"/>
    <w:qFormat/>
    <w:uiPriority w:val="0"/>
    <w:pPr>
      <w:ind w:firstLine="420" w:firstLineChars="100"/>
    </w:pPr>
  </w:style>
  <w:style w:type="paragraph" w:customStyle="1" w:styleId="14">
    <w:name w:val="正文文本_0_0"/>
    <w:basedOn w:val="15"/>
    <w:next w:val="18"/>
    <w:qFormat/>
    <w:uiPriority w:val="0"/>
    <w:pPr>
      <w:spacing w:before="100" w:beforeAutospacing="1" w:after="120"/>
    </w:pPr>
    <w:rPr>
      <w:kern w:val="0"/>
      <w:sz w:val="20"/>
      <w:szCs w:val="20"/>
    </w:rPr>
  </w:style>
  <w:style w:type="paragraph" w:customStyle="1" w:styleId="15">
    <w:name w:val="正文_0_0"/>
    <w:basedOn w:val="16"/>
    <w:next w:val="17"/>
    <w:qFormat/>
    <w:uiPriority w:val="0"/>
    <w:rPr>
      <w:rFonts w:eastAsia="等线"/>
      <w:szCs w:val="21"/>
    </w:rPr>
  </w:style>
  <w:style w:type="paragraph" w:customStyle="1" w:styleId="16">
    <w:name w:val="正文_1_1"/>
    <w:qFormat/>
    <w:uiPriority w:val="0"/>
    <w:pPr>
      <w:widowControl w:val="0"/>
      <w:jc w:val="both"/>
    </w:pPr>
    <w:rPr>
      <w:rFonts w:ascii="等线" w:hAnsi="等线" w:eastAsia="等线" w:cs="Times New Roman"/>
      <w:kern w:val="2"/>
      <w:sz w:val="21"/>
      <w:szCs w:val="22"/>
      <w:lang w:val="en-US" w:eastAsia="zh-CN" w:bidi="ar-SA"/>
    </w:rPr>
  </w:style>
  <w:style w:type="paragraph" w:customStyle="1" w:styleId="17">
    <w:name w:val="正文缩进2_0_0"/>
    <w:basedOn w:val="4"/>
    <w:qFormat/>
    <w:uiPriority w:val="0"/>
    <w:rPr>
      <w:rFonts w:ascii="Calibri" w:hAnsi="Calibri" w:cs="Calibri"/>
      <w:szCs w:val="21"/>
    </w:rPr>
  </w:style>
  <w:style w:type="paragraph" w:styleId="18">
    <w:name w:val="Body Text 2"/>
    <w:basedOn w:val="19"/>
    <w:qFormat/>
    <w:uiPriority w:val="0"/>
  </w:style>
  <w:style w:type="paragraph" w:customStyle="1" w:styleId="19">
    <w:name w:val="正文_0"/>
    <w:basedOn w:val="3"/>
    <w:next w:val="20"/>
    <w:qFormat/>
    <w:uiPriority w:val="0"/>
  </w:style>
  <w:style w:type="paragraph" w:customStyle="1" w:styleId="20">
    <w:name w:val="正文文本_0"/>
    <w:basedOn w:val="15"/>
    <w:qFormat/>
    <w:uiPriority w:val="0"/>
    <w:pPr>
      <w:jc w:val="left"/>
    </w:pPr>
  </w:style>
  <w:style w:type="paragraph" w:styleId="30">
    <w:name w:val="toc 7"/>
    <w:basedOn w:val="1"/>
    <w:next w:val="1"/>
    <w:qFormat/>
    <w:uiPriority w:val="0"/>
    <w:pPr>
      <w:ind w:left="1260"/>
      <w:jc w:val="left"/>
    </w:pPr>
    <w:rPr>
      <w:sz w:val="18"/>
      <w:szCs w:val="18"/>
    </w:rPr>
  </w:style>
  <w:style w:type="paragraph" w:styleId="31">
    <w:name w:val="index 8"/>
    <w:basedOn w:val="1"/>
    <w:next w:val="1"/>
    <w:qFormat/>
    <w:uiPriority w:val="0"/>
    <w:pPr>
      <w:snapToGrid w:val="0"/>
      <w:jc w:val="center"/>
    </w:pPr>
    <w:rPr>
      <w:color w:val="FF0000"/>
      <w:szCs w:val="21"/>
    </w:rPr>
  </w:style>
  <w:style w:type="paragraph" w:styleId="32">
    <w:name w:val="caption"/>
    <w:basedOn w:val="1"/>
    <w:next w:val="1"/>
    <w:qFormat/>
    <w:uiPriority w:val="0"/>
    <w:rPr>
      <w:rFonts w:ascii="Cambria" w:hAnsi="Cambria" w:eastAsia="黑体"/>
      <w:sz w:val="20"/>
      <w:szCs w:val="20"/>
    </w:rPr>
  </w:style>
  <w:style w:type="paragraph" w:styleId="33">
    <w:name w:val="Document Map"/>
    <w:basedOn w:val="1"/>
    <w:link w:val="83"/>
    <w:qFormat/>
    <w:uiPriority w:val="0"/>
    <w:pPr>
      <w:shd w:val="clear" w:color="auto" w:fill="000080"/>
    </w:pPr>
    <w:rPr>
      <w:shd w:val="clear" w:color="auto" w:fill="000080"/>
    </w:rPr>
  </w:style>
  <w:style w:type="paragraph" w:styleId="34">
    <w:name w:val="annotation text"/>
    <w:basedOn w:val="1"/>
    <w:link w:val="84"/>
    <w:qFormat/>
    <w:uiPriority w:val="0"/>
    <w:pPr>
      <w:jc w:val="left"/>
    </w:pPr>
    <w:rPr>
      <w:rFonts w:ascii="宋体"/>
      <w:sz w:val="28"/>
      <w:szCs w:val="20"/>
    </w:rPr>
  </w:style>
  <w:style w:type="paragraph" w:styleId="35">
    <w:name w:val="Body Text 3"/>
    <w:basedOn w:val="1"/>
    <w:qFormat/>
    <w:uiPriority w:val="0"/>
    <w:rPr>
      <w:rFonts w:ascii="宋体"/>
      <w:sz w:val="24"/>
      <w:szCs w:val="20"/>
    </w:rPr>
  </w:style>
  <w:style w:type="paragraph" w:styleId="36">
    <w:name w:val="Body Text"/>
    <w:basedOn w:val="1"/>
    <w:link w:val="85"/>
    <w:qFormat/>
    <w:uiPriority w:val="0"/>
    <w:pPr>
      <w:spacing w:after="120"/>
    </w:pPr>
  </w:style>
  <w:style w:type="paragraph" w:styleId="37">
    <w:name w:val="Body Text Indent"/>
    <w:basedOn w:val="1"/>
    <w:qFormat/>
    <w:uiPriority w:val="0"/>
    <w:pPr>
      <w:spacing w:after="120"/>
      <w:ind w:left="420" w:leftChars="200"/>
    </w:pPr>
  </w:style>
  <w:style w:type="paragraph" w:styleId="38">
    <w:name w:val="Block Text"/>
    <w:basedOn w:val="1"/>
    <w:next w:val="1"/>
    <w:link w:val="86"/>
    <w:qFormat/>
    <w:uiPriority w:val="0"/>
    <w:rPr>
      <w:i/>
      <w:iCs/>
      <w:color w:val="000000"/>
      <w:szCs w:val="22"/>
    </w:rPr>
  </w:style>
  <w:style w:type="paragraph" w:styleId="39">
    <w:name w:val="index 4"/>
    <w:basedOn w:val="1"/>
    <w:next w:val="1"/>
    <w:qFormat/>
    <w:uiPriority w:val="0"/>
    <w:pPr>
      <w:ind w:left="600" w:leftChars="600"/>
    </w:pPr>
  </w:style>
  <w:style w:type="paragraph" w:styleId="40">
    <w:name w:val="toc 5"/>
    <w:basedOn w:val="1"/>
    <w:next w:val="1"/>
    <w:qFormat/>
    <w:uiPriority w:val="0"/>
    <w:pPr>
      <w:ind w:left="840"/>
      <w:jc w:val="left"/>
    </w:pPr>
    <w:rPr>
      <w:sz w:val="18"/>
      <w:szCs w:val="18"/>
    </w:rPr>
  </w:style>
  <w:style w:type="paragraph" w:styleId="41">
    <w:name w:val="toc 3"/>
    <w:basedOn w:val="1"/>
    <w:next w:val="1"/>
    <w:qFormat/>
    <w:uiPriority w:val="0"/>
    <w:pPr>
      <w:ind w:left="420"/>
      <w:jc w:val="left"/>
    </w:pPr>
    <w:rPr>
      <w:i/>
      <w:iCs/>
      <w:sz w:val="20"/>
      <w:szCs w:val="20"/>
    </w:rPr>
  </w:style>
  <w:style w:type="paragraph" w:styleId="42">
    <w:name w:val="Plain Text"/>
    <w:basedOn w:val="1"/>
    <w:link w:val="87"/>
    <w:qFormat/>
    <w:uiPriority w:val="0"/>
    <w:rPr>
      <w:rFonts w:ascii="Cambria" w:hAnsi="Cambria"/>
      <w:b/>
      <w:bCs/>
      <w:kern w:val="28"/>
      <w:sz w:val="32"/>
      <w:szCs w:val="32"/>
    </w:rPr>
  </w:style>
  <w:style w:type="paragraph" w:styleId="43">
    <w:name w:val="toc 8"/>
    <w:basedOn w:val="1"/>
    <w:next w:val="1"/>
    <w:qFormat/>
    <w:uiPriority w:val="0"/>
    <w:pPr>
      <w:ind w:left="1470"/>
      <w:jc w:val="left"/>
    </w:pPr>
    <w:rPr>
      <w:sz w:val="18"/>
      <w:szCs w:val="18"/>
    </w:rPr>
  </w:style>
  <w:style w:type="paragraph" w:styleId="44">
    <w:name w:val="Date"/>
    <w:basedOn w:val="1"/>
    <w:next w:val="1"/>
    <w:link w:val="88"/>
    <w:qFormat/>
    <w:uiPriority w:val="0"/>
    <w:rPr>
      <w:rFonts w:ascii="宋体"/>
      <w:sz w:val="28"/>
    </w:rPr>
  </w:style>
  <w:style w:type="paragraph" w:styleId="45">
    <w:name w:val="Body Text Indent 2"/>
    <w:basedOn w:val="1"/>
    <w:qFormat/>
    <w:uiPriority w:val="0"/>
    <w:pPr>
      <w:spacing w:line="560" w:lineRule="exact"/>
      <w:ind w:firstLine="538" w:firstLineChars="192"/>
    </w:pPr>
    <w:rPr>
      <w:rFonts w:ascii="仿宋_GB2312" w:eastAsia="仿宋_GB2312"/>
      <w:sz w:val="28"/>
    </w:rPr>
  </w:style>
  <w:style w:type="paragraph" w:styleId="46">
    <w:name w:val="Balloon Text"/>
    <w:basedOn w:val="1"/>
    <w:link w:val="89"/>
    <w:qFormat/>
    <w:uiPriority w:val="0"/>
    <w:rPr>
      <w:rFonts w:ascii="宋体"/>
      <w:sz w:val="18"/>
      <w:szCs w:val="18"/>
    </w:rPr>
  </w:style>
  <w:style w:type="paragraph" w:styleId="47">
    <w:name w:val="footer"/>
    <w:basedOn w:val="1"/>
    <w:link w:val="90"/>
    <w:qFormat/>
    <w:uiPriority w:val="0"/>
    <w:pPr>
      <w:tabs>
        <w:tab w:val="center" w:pos="4153"/>
        <w:tab w:val="right" w:pos="8306"/>
      </w:tabs>
      <w:snapToGrid w:val="0"/>
      <w:jc w:val="left"/>
    </w:pPr>
    <w:rPr>
      <w:sz w:val="18"/>
      <w:szCs w:val="18"/>
    </w:rPr>
  </w:style>
  <w:style w:type="paragraph" w:styleId="48">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49">
    <w:name w:val="toc 1"/>
    <w:basedOn w:val="1"/>
    <w:next w:val="1"/>
    <w:qFormat/>
    <w:uiPriority w:val="0"/>
    <w:pPr>
      <w:spacing w:before="120" w:after="120"/>
      <w:jc w:val="left"/>
    </w:pPr>
    <w:rPr>
      <w:b/>
      <w:bCs/>
      <w:caps/>
      <w:sz w:val="20"/>
      <w:szCs w:val="20"/>
    </w:rPr>
  </w:style>
  <w:style w:type="paragraph" w:styleId="50">
    <w:name w:val="toc 4"/>
    <w:basedOn w:val="1"/>
    <w:next w:val="1"/>
    <w:qFormat/>
    <w:uiPriority w:val="0"/>
    <w:pPr>
      <w:ind w:left="630"/>
      <w:jc w:val="left"/>
    </w:pPr>
    <w:rPr>
      <w:sz w:val="18"/>
      <w:szCs w:val="18"/>
    </w:rPr>
  </w:style>
  <w:style w:type="paragraph" w:styleId="51">
    <w:name w:val="Subtitle"/>
    <w:basedOn w:val="1"/>
    <w:next w:val="1"/>
    <w:link w:val="92"/>
    <w:qFormat/>
    <w:uiPriority w:val="0"/>
    <w:pPr>
      <w:spacing w:before="240" w:after="60" w:line="312" w:lineRule="auto"/>
      <w:jc w:val="center"/>
      <w:outlineLvl w:val="1"/>
    </w:pPr>
    <w:rPr>
      <w:rFonts w:ascii="Cambria" w:hAnsi="Cambria"/>
      <w:b/>
      <w:bCs/>
      <w:kern w:val="28"/>
      <w:sz w:val="32"/>
      <w:szCs w:val="32"/>
    </w:rPr>
  </w:style>
  <w:style w:type="paragraph" w:styleId="52">
    <w:name w:val="footnote text"/>
    <w:basedOn w:val="1"/>
    <w:qFormat/>
    <w:uiPriority w:val="0"/>
    <w:pPr>
      <w:snapToGrid w:val="0"/>
      <w:jc w:val="left"/>
    </w:pPr>
    <w:rPr>
      <w:sz w:val="18"/>
    </w:rPr>
  </w:style>
  <w:style w:type="paragraph" w:styleId="53">
    <w:name w:val="toc 6"/>
    <w:basedOn w:val="1"/>
    <w:next w:val="1"/>
    <w:qFormat/>
    <w:uiPriority w:val="0"/>
    <w:pPr>
      <w:ind w:left="1050"/>
      <w:jc w:val="left"/>
    </w:pPr>
    <w:rPr>
      <w:sz w:val="18"/>
      <w:szCs w:val="18"/>
    </w:rPr>
  </w:style>
  <w:style w:type="paragraph" w:styleId="54">
    <w:name w:val="Body Text Indent 3"/>
    <w:basedOn w:val="1"/>
    <w:qFormat/>
    <w:uiPriority w:val="0"/>
    <w:pPr>
      <w:spacing w:after="120"/>
      <w:ind w:left="420" w:leftChars="200"/>
    </w:pPr>
    <w:rPr>
      <w:sz w:val="16"/>
      <w:szCs w:val="16"/>
    </w:rPr>
  </w:style>
  <w:style w:type="paragraph" w:styleId="55">
    <w:name w:val="toc 2"/>
    <w:basedOn w:val="1"/>
    <w:next w:val="1"/>
    <w:qFormat/>
    <w:uiPriority w:val="0"/>
    <w:pPr>
      <w:ind w:left="210"/>
      <w:jc w:val="left"/>
    </w:pPr>
    <w:rPr>
      <w:smallCaps/>
      <w:sz w:val="20"/>
      <w:szCs w:val="20"/>
    </w:rPr>
  </w:style>
  <w:style w:type="paragraph" w:styleId="56">
    <w:name w:val="toc 9"/>
    <w:basedOn w:val="1"/>
    <w:next w:val="1"/>
    <w:qFormat/>
    <w:uiPriority w:val="0"/>
    <w:pPr>
      <w:ind w:left="1680"/>
      <w:jc w:val="left"/>
    </w:pPr>
    <w:rPr>
      <w:sz w:val="18"/>
      <w:szCs w:val="18"/>
    </w:rPr>
  </w:style>
  <w:style w:type="paragraph" w:styleId="5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rPr>
  </w:style>
  <w:style w:type="paragraph" w:styleId="58">
    <w:name w:val="Normal (Web)"/>
    <w:basedOn w:val="1"/>
    <w:qFormat/>
    <w:uiPriority w:val="0"/>
    <w:pPr>
      <w:widowControl/>
      <w:spacing w:before="100" w:beforeAutospacing="1" w:after="100" w:afterAutospacing="1" w:line="283" w:lineRule="atLeast"/>
      <w:jc w:val="left"/>
    </w:pPr>
    <w:rPr>
      <w:rFonts w:ascii="宋体" w:hAnsi="宋体"/>
      <w:color w:val="000000"/>
      <w:kern w:val="0"/>
      <w:sz w:val="19"/>
      <w:szCs w:val="20"/>
    </w:rPr>
  </w:style>
  <w:style w:type="paragraph" w:styleId="59">
    <w:name w:val="index 1"/>
    <w:basedOn w:val="1"/>
    <w:next w:val="1"/>
    <w:qFormat/>
    <w:uiPriority w:val="0"/>
    <w:pPr>
      <w:spacing w:line="220" w:lineRule="exact"/>
      <w:jc w:val="center"/>
    </w:pPr>
    <w:rPr>
      <w:rFonts w:ascii="仿宋_GB2312" w:eastAsia="仿宋_GB2312"/>
      <w:szCs w:val="21"/>
    </w:rPr>
  </w:style>
  <w:style w:type="paragraph" w:styleId="60">
    <w:name w:val="Title"/>
    <w:basedOn w:val="1"/>
    <w:next w:val="1"/>
    <w:link w:val="93"/>
    <w:qFormat/>
    <w:uiPriority w:val="0"/>
    <w:pPr>
      <w:adjustRightInd w:val="0"/>
      <w:spacing w:before="240" w:after="60" w:line="420" w:lineRule="atLeast"/>
      <w:jc w:val="center"/>
      <w:textAlignment w:val="baseline"/>
      <w:outlineLvl w:val="0"/>
    </w:pPr>
    <w:rPr>
      <w:rFonts w:ascii="Cambria" w:hAnsi="Cambria"/>
      <w:b/>
      <w:bCs/>
      <w:sz w:val="32"/>
      <w:szCs w:val="32"/>
    </w:rPr>
  </w:style>
  <w:style w:type="paragraph" w:styleId="61">
    <w:name w:val="annotation subject"/>
    <w:basedOn w:val="34"/>
    <w:next w:val="34"/>
    <w:link w:val="94"/>
    <w:qFormat/>
    <w:uiPriority w:val="0"/>
    <w:rPr>
      <w:b/>
      <w:bCs/>
      <w:szCs w:val="22"/>
    </w:rPr>
  </w:style>
  <w:style w:type="paragraph" w:styleId="62">
    <w:name w:val="Body Text First Indent"/>
    <w:basedOn w:val="36"/>
    <w:qFormat/>
    <w:uiPriority w:val="0"/>
    <w:pPr>
      <w:ind w:firstLine="420" w:firstLineChars="100"/>
    </w:p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basedOn w:val="65"/>
    <w:qFormat/>
    <w:uiPriority w:val="0"/>
    <w:rPr>
      <w:rFonts w:ascii="Tahoma" w:hAnsi="Tahoma" w:eastAsia="宋体"/>
      <w:b/>
      <w:bCs/>
      <w:kern w:val="2"/>
      <w:sz w:val="24"/>
      <w:szCs w:val="24"/>
      <w:lang w:val="en-US" w:eastAsia="zh-CN" w:bidi="ar-SA"/>
    </w:rPr>
  </w:style>
  <w:style w:type="character" w:styleId="67">
    <w:name w:val="page number"/>
    <w:basedOn w:val="65"/>
    <w:qFormat/>
    <w:uiPriority w:val="0"/>
  </w:style>
  <w:style w:type="character" w:styleId="68">
    <w:name w:val="FollowedHyperlink"/>
    <w:qFormat/>
    <w:uiPriority w:val="0"/>
    <w:rPr>
      <w:rFonts w:ascii="Tahoma" w:hAnsi="Tahoma"/>
      <w:color w:val="800080"/>
      <w:sz w:val="24"/>
      <w:szCs w:val="20"/>
      <w:u w:val="single"/>
    </w:rPr>
  </w:style>
  <w:style w:type="character" w:styleId="69">
    <w:name w:val="Emphasis"/>
    <w:qFormat/>
    <w:uiPriority w:val="0"/>
    <w:rPr>
      <w:i/>
      <w:iCs/>
    </w:rPr>
  </w:style>
  <w:style w:type="character" w:styleId="70">
    <w:name w:val="Hyperlink"/>
    <w:qFormat/>
    <w:uiPriority w:val="0"/>
    <w:rPr>
      <w:rFonts w:ascii="Tahoma" w:hAnsi="Tahoma"/>
      <w:color w:val="0000FF"/>
      <w:sz w:val="24"/>
      <w:szCs w:val="20"/>
      <w:u w:val="single"/>
    </w:rPr>
  </w:style>
  <w:style w:type="character" w:styleId="71">
    <w:name w:val="annotation reference"/>
    <w:qFormat/>
    <w:uiPriority w:val="0"/>
    <w:rPr>
      <w:rFonts w:ascii="Tahoma" w:hAnsi="Tahoma"/>
      <w:sz w:val="21"/>
      <w:szCs w:val="21"/>
    </w:rPr>
  </w:style>
  <w:style w:type="character" w:styleId="72">
    <w:name w:val="footnote reference"/>
    <w:basedOn w:val="65"/>
    <w:qFormat/>
    <w:uiPriority w:val="0"/>
    <w:rPr>
      <w:vertAlign w:val="superscript"/>
    </w:rPr>
  </w:style>
  <w:style w:type="paragraph" w:customStyle="1" w:styleId="73">
    <w:name w:val="样式1"/>
    <w:basedOn w:val="1"/>
    <w:qFormat/>
    <w:uiPriority w:val="0"/>
    <w:pPr>
      <w:spacing w:line="560" w:lineRule="exact"/>
    </w:pPr>
    <w:rPr>
      <w:rFonts w:hint="eastAsia" w:ascii="仿宋_GB2312" w:hAnsi="仿宋_GB2312" w:eastAsia="仿宋_GB2312" w:cs="仿宋_GB2312"/>
      <w:sz w:val="32"/>
      <w:szCs w:val="32"/>
    </w:rPr>
  </w:style>
  <w:style w:type="character" w:customStyle="1" w:styleId="74">
    <w:name w:val="标题 1 Char Char"/>
    <w:qFormat/>
    <w:uiPriority w:val="0"/>
    <w:rPr>
      <w:rFonts w:eastAsia="黑体"/>
      <w:b/>
      <w:bCs/>
      <w:kern w:val="32"/>
      <w:sz w:val="32"/>
      <w:szCs w:val="44"/>
      <w:lang w:val="en-US" w:eastAsia="zh-CN" w:bidi="ar-SA"/>
    </w:rPr>
  </w:style>
  <w:style w:type="character" w:customStyle="1" w:styleId="75">
    <w:name w:val="标题 2 Char Char"/>
    <w:qFormat/>
    <w:uiPriority w:val="0"/>
    <w:rPr>
      <w:rFonts w:ascii="Cambria" w:hAnsi="Cambria" w:eastAsia="宋体" w:cs="Times New Roman"/>
      <w:b/>
      <w:bCs/>
      <w:kern w:val="2"/>
      <w:sz w:val="32"/>
      <w:szCs w:val="32"/>
    </w:rPr>
  </w:style>
  <w:style w:type="character" w:customStyle="1" w:styleId="76">
    <w:name w:val="标题 3 Char Char"/>
    <w:qFormat/>
    <w:uiPriority w:val="0"/>
    <w:rPr>
      <w:b/>
      <w:bCs/>
      <w:kern w:val="2"/>
      <w:sz w:val="32"/>
      <w:szCs w:val="32"/>
    </w:rPr>
  </w:style>
  <w:style w:type="character" w:customStyle="1" w:styleId="77">
    <w:name w:val="标题 4 Char"/>
    <w:qFormat/>
    <w:uiPriority w:val="0"/>
    <w:rPr>
      <w:rFonts w:ascii="Cambria" w:hAnsi="Cambria" w:eastAsia="宋体" w:cs="Times New Roman"/>
      <w:b/>
      <w:bCs/>
      <w:kern w:val="2"/>
      <w:sz w:val="28"/>
      <w:szCs w:val="28"/>
    </w:rPr>
  </w:style>
  <w:style w:type="character" w:customStyle="1" w:styleId="78">
    <w:name w:val="标题 5 Char"/>
    <w:qFormat/>
    <w:uiPriority w:val="0"/>
    <w:rPr>
      <w:rFonts w:ascii="Calibri" w:hAnsi="Calibri" w:eastAsia="宋体" w:cs="Times New Roman"/>
      <w:b/>
      <w:bCs/>
      <w:kern w:val="2"/>
      <w:sz w:val="28"/>
      <w:szCs w:val="28"/>
    </w:rPr>
  </w:style>
  <w:style w:type="character" w:customStyle="1" w:styleId="79">
    <w:name w:val="标题 6 Char Char"/>
    <w:qFormat/>
    <w:uiPriority w:val="0"/>
    <w:rPr>
      <w:rFonts w:ascii="Cambria" w:hAnsi="Cambria" w:eastAsia="宋体" w:cs="Times New Roman"/>
      <w:b/>
      <w:bCs/>
      <w:kern w:val="2"/>
      <w:sz w:val="24"/>
      <w:szCs w:val="24"/>
    </w:rPr>
  </w:style>
  <w:style w:type="character" w:customStyle="1" w:styleId="80">
    <w:name w:val="标题 7 Char Char"/>
    <w:qFormat/>
    <w:uiPriority w:val="0"/>
    <w:rPr>
      <w:rFonts w:eastAsia="宋体"/>
      <w:bCs/>
      <w:kern w:val="2"/>
      <w:sz w:val="28"/>
      <w:szCs w:val="24"/>
      <w:lang w:val="en-US" w:eastAsia="zh-CN" w:bidi="ar-SA"/>
    </w:rPr>
  </w:style>
  <w:style w:type="character" w:customStyle="1" w:styleId="81">
    <w:name w:val="标题 8 Char"/>
    <w:qFormat/>
    <w:uiPriority w:val="0"/>
    <w:rPr>
      <w:rFonts w:ascii="Cambria" w:hAnsi="Cambria" w:eastAsia="宋体" w:cs="Times New Roman"/>
      <w:kern w:val="2"/>
      <w:sz w:val="24"/>
      <w:szCs w:val="24"/>
    </w:rPr>
  </w:style>
  <w:style w:type="character" w:customStyle="1" w:styleId="82">
    <w:name w:val="标题 9 Char Char"/>
    <w:qFormat/>
    <w:uiPriority w:val="0"/>
    <w:rPr>
      <w:rFonts w:ascii="Cambria" w:hAnsi="Cambria" w:eastAsia="宋体" w:cs="Times New Roman"/>
      <w:kern w:val="2"/>
      <w:sz w:val="21"/>
      <w:szCs w:val="21"/>
    </w:rPr>
  </w:style>
  <w:style w:type="character" w:customStyle="1" w:styleId="83">
    <w:name w:val="文档结构图 Char"/>
    <w:link w:val="33"/>
    <w:qFormat/>
    <w:uiPriority w:val="0"/>
    <w:rPr>
      <w:rFonts w:ascii="Times New Roman" w:hAnsi="Times New Roman" w:eastAsia="宋体" w:cs="Times New Roman"/>
      <w:szCs w:val="24"/>
      <w:shd w:val="clear" w:color="auto" w:fill="000080"/>
    </w:rPr>
  </w:style>
  <w:style w:type="character" w:customStyle="1" w:styleId="84">
    <w:name w:val="批注文字 Char"/>
    <w:link w:val="34"/>
    <w:qFormat/>
    <w:uiPriority w:val="0"/>
    <w:rPr>
      <w:rFonts w:ascii="Calibri" w:hAnsi="Calibri" w:eastAsia="宋体" w:cs="Times New Roman"/>
      <w:kern w:val="2"/>
      <w:sz w:val="21"/>
      <w:szCs w:val="22"/>
    </w:rPr>
  </w:style>
  <w:style w:type="character" w:customStyle="1" w:styleId="85">
    <w:name w:val="正文文本 Char"/>
    <w:link w:val="36"/>
    <w:qFormat/>
    <w:uiPriority w:val="0"/>
    <w:rPr>
      <w:rFonts w:ascii="Times New Roman" w:hAnsi="Times New Roman" w:eastAsia="宋体" w:cs="Times New Roman"/>
    </w:rPr>
  </w:style>
  <w:style w:type="character" w:customStyle="1" w:styleId="86">
    <w:name w:val="文本块 Char"/>
    <w:link w:val="38"/>
    <w:qFormat/>
    <w:uiPriority w:val="0"/>
    <w:rPr>
      <w:i/>
      <w:iCs/>
      <w:color w:val="000000"/>
      <w:kern w:val="2"/>
      <w:sz w:val="21"/>
      <w:szCs w:val="22"/>
      <w:lang w:bidi="ar-SA"/>
    </w:rPr>
  </w:style>
  <w:style w:type="character" w:customStyle="1" w:styleId="87">
    <w:name w:val="纯文本 Char"/>
    <w:link w:val="42"/>
    <w:qFormat/>
    <w:uiPriority w:val="0"/>
    <w:rPr>
      <w:rFonts w:ascii="Cambria" w:hAnsi="Cambria"/>
      <w:b/>
      <w:bCs/>
      <w:kern w:val="28"/>
      <w:sz w:val="32"/>
      <w:szCs w:val="32"/>
    </w:rPr>
  </w:style>
  <w:style w:type="character" w:customStyle="1" w:styleId="88">
    <w:name w:val="日期 Char"/>
    <w:link w:val="44"/>
    <w:qFormat/>
    <w:uiPriority w:val="0"/>
    <w:rPr>
      <w:rFonts w:ascii="宋体" w:hAnsi="Times New Roman" w:eastAsia="宋体" w:cs="Times New Roman"/>
      <w:sz w:val="28"/>
    </w:rPr>
  </w:style>
  <w:style w:type="character" w:customStyle="1" w:styleId="89">
    <w:name w:val="批注框文本 Char"/>
    <w:link w:val="46"/>
    <w:qFormat/>
    <w:uiPriority w:val="0"/>
    <w:rPr>
      <w:rFonts w:ascii="宋体" w:hAnsi="Times New Roman" w:eastAsia="宋体" w:cs="Times New Roman"/>
      <w:sz w:val="18"/>
      <w:szCs w:val="18"/>
    </w:rPr>
  </w:style>
  <w:style w:type="character" w:customStyle="1" w:styleId="90">
    <w:name w:val="页脚 Char"/>
    <w:link w:val="47"/>
    <w:qFormat/>
    <w:uiPriority w:val="0"/>
    <w:rPr>
      <w:rFonts w:ascii="Calibri" w:hAnsi="Calibri" w:eastAsia="宋体" w:cs="Times New Roman"/>
      <w:kern w:val="2"/>
      <w:sz w:val="18"/>
      <w:szCs w:val="18"/>
    </w:rPr>
  </w:style>
  <w:style w:type="character" w:customStyle="1" w:styleId="91">
    <w:name w:val="页眉 Char"/>
    <w:link w:val="48"/>
    <w:qFormat/>
    <w:uiPriority w:val="0"/>
    <w:rPr>
      <w:rFonts w:ascii="Calibri" w:hAnsi="Calibri" w:eastAsia="宋体" w:cs="Times New Roman"/>
      <w:kern w:val="2"/>
      <w:sz w:val="18"/>
      <w:szCs w:val="18"/>
    </w:rPr>
  </w:style>
  <w:style w:type="character" w:customStyle="1" w:styleId="92">
    <w:name w:val="副标题 Char"/>
    <w:link w:val="51"/>
    <w:qFormat/>
    <w:uiPriority w:val="0"/>
    <w:rPr>
      <w:rFonts w:ascii="Cambria" w:hAnsi="Cambria" w:eastAsia="宋体" w:cs="Times New Roman"/>
      <w:b/>
      <w:bCs/>
      <w:kern w:val="28"/>
      <w:sz w:val="32"/>
      <w:szCs w:val="32"/>
    </w:rPr>
  </w:style>
  <w:style w:type="character" w:customStyle="1" w:styleId="93">
    <w:name w:val="标题 Char"/>
    <w:link w:val="60"/>
    <w:qFormat/>
    <w:uiPriority w:val="0"/>
    <w:rPr>
      <w:rFonts w:ascii="Cambria" w:hAnsi="Cambria" w:eastAsia="宋体" w:cs="Times New Roman"/>
      <w:b/>
      <w:bCs/>
      <w:kern w:val="2"/>
      <w:sz w:val="32"/>
      <w:szCs w:val="32"/>
    </w:rPr>
  </w:style>
  <w:style w:type="character" w:customStyle="1" w:styleId="94">
    <w:name w:val="批注主题 Char"/>
    <w:link w:val="61"/>
    <w:qFormat/>
    <w:uiPriority w:val="0"/>
    <w:rPr>
      <w:rFonts w:ascii="宋体" w:hAnsi="Times New Roman" w:eastAsia="宋体" w:cs="Times New Roman"/>
      <w:b/>
      <w:bCs/>
      <w:sz w:val="28"/>
    </w:rPr>
  </w:style>
  <w:style w:type="character" w:customStyle="1" w:styleId="95">
    <w:name w:val="标题 1 Char"/>
    <w:qFormat/>
    <w:uiPriority w:val="0"/>
    <w:rPr>
      <w:rFonts w:ascii="Calibri" w:hAnsi="Calibri" w:eastAsia="宋体" w:cs="Times New Roman"/>
      <w:b/>
      <w:bCs/>
      <w:kern w:val="44"/>
      <w:sz w:val="44"/>
      <w:szCs w:val="44"/>
    </w:rPr>
  </w:style>
  <w:style w:type="character" w:customStyle="1" w:styleId="96">
    <w:name w:val="标题 2 Char"/>
    <w:link w:val="22"/>
    <w:qFormat/>
    <w:uiPriority w:val="0"/>
    <w:rPr>
      <w:rFonts w:ascii="Cambria" w:hAnsi="Cambria" w:eastAsia="宋体" w:cs="Times New Roman"/>
      <w:b/>
      <w:bCs/>
      <w:kern w:val="2"/>
      <w:sz w:val="32"/>
      <w:szCs w:val="32"/>
    </w:rPr>
  </w:style>
  <w:style w:type="character" w:customStyle="1" w:styleId="97">
    <w:name w:val="标题 3 Char"/>
    <w:link w:val="23"/>
    <w:qFormat/>
    <w:uiPriority w:val="0"/>
    <w:rPr>
      <w:rFonts w:ascii="Calibri" w:hAnsi="Calibri" w:eastAsia="宋体" w:cs="Times New Roman"/>
      <w:b/>
      <w:bCs/>
      <w:kern w:val="2"/>
      <w:sz w:val="32"/>
      <w:szCs w:val="32"/>
    </w:rPr>
  </w:style>
  <w:style w:type="character" w:customStyle="1" w:styleId="98">
    <w:name w:val="标题 4 Char1"/>
    <w:link w:val="24"/>
    <w:qFormat/>
    <w:uiPriority w:val="0"/>
    <w:rPr>
      <w:rFonts w:ascii="Cambria" w:hAnsi="Cambria" w:eastAsia="宋体" w:cs="Times New Roman"/>
      <w:b/>
      <w:bCs/>
      <w:kern w:val="2"/>
      <w:sz w:val="28"/>
      <w:szCs w:val="28"/>
    </w:rPr>
  </w:style>
  <w:style w:type="character" w:customStyle="1" w:styleId="99">
    <w:name w:val="标题 5 Char1"/>
    <w:link w:val="25"/>
    <w:qFormat/>
    <w:uiPriority w:val="0"/>
    <w:rPr>
      <w:b/>
      <w:bCs/>
      <w:kern w:val="2"/>
      <w:sz w:val="28"/>
      <w:szCs w:val="28"/>
    </w:rPr>
  </w:style>
  <w:style w:type="character" w:customStyle="1" w:styleId="100">
    <w:name w:val="标题 6 Char"/>
    <w:link w:val="26"/>
    <w:qFormat/>
    <w:uiPriority w:val="0"/>
    <w:rPr>
      <w:rFonts w:ascii="Cambria" w:hAnsi="Cambria" w:eastAsia="宋体" w:cs="Times New Roman"/>
      <w:b/>
      <w:bCs/>
      <w:kern w:val="2"/>
      <w:sz w:val="24"/>
      <w:szCs w:val="24"/>
    </w:rPr>
  </w:style>
  <w:style w:type="character" w:customStyle="1" w:styleId="101">
    <w:name w:val="标题 7 Char"/>
    <w:link w:val="27"/>
    <w:qFormat/>
    <w:uiPriority w:val="0"/>
    <w:rPr>
      <w:rFonts w:ascii="Calibri" w:hAnsi="Calibri" w:eastAsia="宋体" w:cs="Times New Roman"/>
      <w:b/>
      <w:bCs/>
      <w:kern w:val="2"/>
      <w:sz w:val="24"/>
      <w:szCs w:val="24"/>
    </w:rPr>
  </w:style>
  <w:style w:type="character" w:customStyle="1" w:styleId="102">
    <w:name w:val="标题 8 Char1"/>
    <w:link w:val="28"/>
    <w:qFormat/>
    <w:uiPriority w:val="0"/>
    <w:rPr>
      <w:rFonts w:ascii="Cambria" w:hAnsi="Cambria" w:eastAsia="宋体" w:cs="Times New Roman"/>
      <w:kern w:val="2"/>
      <w:sz w:val="24"/>
      <w:szCs w:val="24"/>
    </w:rPr>
  </w:style>
  <w:style w:type="character" w:customStyle="1" w:styleId="103">
    <w:name w:val="标题 9 Char"/>
    <w:link w:val="29"/>
    <w:qFormat/>
    <w:uiPriority w:val="0"/>
    <w:rPr>
      <w:rFonts w:ascii="Cambria" w:hAnsi="Cambria" w:eastAsia="宋体" w:cs="Times New Roman"/>
      <w:kern w:val="2"/>
      <w:sz w:val="21"/>
      <w:szCs w:val="21"/>
    </w:rPr>
  </w:style>
  <w:style w:type="character" w:customStyle="1" w:styleId="104">
    <w:name w:val="Char Char12"/>
    <w:qFormat/>
    <w:uiPriority w:val="0"/>
    <w:rPr>
      <w:b/>
      <w:bCs/>
      <w:sz w:val="24"/>
      <w:szCs w:val="24"/>
    </w:rPr>
  </w:style>
  <w:style w:type="character" w:customStyle="1" w:styleId="105">
    <w:name w:val="日期 Char Char Char"/>
    <w:qFormat/>
    <w:uiPriority w:val="0"/>
    <w:rPr>
      <w:rFonts w:ascii="宋体" w:eastAsia="宋体"/>
      <w:kern w:val="2"/>
      <w:sz w:val="28"/>
      <w:szCs w:val="24"/>
      <w:lang w:val="en-US" w:eastAsia="zh-CN" w:bidi="ar-SA"/>
    </w:rPr>
  </w:style>
  <w:style w:type="character" w:customStyle="1" w:styleId="106">
    <w:name w:val="Char Char10"/>
    <w:qFormat/>
    <w:uiPriority w:val="0"/>
    <w:rPr>
      <w:rFonts w:ascii="Arial" w:hAnsi="Arial" w:eastAsia="黑体"/>
      <w:sz w:val="21"/>
      <w:szCs w:val="21"/>
    </w:rPr>
  </w:style>
  <w:style w:type="character" w:customStyle="1" w:styleId="107">
    <w:name w:val="批注框文本 Char Char"/>
    <w:qFormat/>
    <w:uiPriority w:val="0"/>
    <w:rPr>
      <w:rFonts w:ascii="宋体" w:hAnsi="Times New Roman"/>
      <w:sz w:val="18"/>
      <w:szCs w:val="18"/>
    </w:rPr>
  </w:style>
  <w:style w:type="character" w:customStyle="1" w:styleId="108">
    <w:name w:val="引用 Char Char"/>
    <w:qFormat/>
    <w:uiPriority w:val="0"/>
    <w:rPr>
      <w:i/>
      <w:iCs/>
      <w:color w:val="000000"/>
      <w:kern w:val="2"/>
      <w:sz w:val="21"/>
      <w:szCs w:val="22"/>
    </w:rPr>
  </w:style>
  <w:style w:type="character" w:customStyle="1" w:styleId="109">
    <w:name w:val="page number_e946454d-80ea-4ffb-a842-2985144a5eaa"/>
    <w:qFormat/>
    <w:uiPriority w:val="0"/>
    <w:rPr>
      <w:rFonts w:cs="Times New Roman"/>
    </w:rPr>
  </w:style>
  <w:style w:type="character" w:customStyle="1" w:styleId="110">
    <w:name w:val="Char Char18"/>
    <w:qFormat/>
    <w:uiPriority w:val="0"/>
    <w:rPr>
      <w:b/>
      <w:bCs/>
      <w:kern w:val="44"/>
      <w:sz w:val="44"/>
      <w:szCs w:val="44"/>
    </w:rPr>
  </w:style>
  <w:style w:type="character" w:customStyle="1" w:styleId="111">
    <w:name w:val="批注主题 Char Char"/>
    <w:link w:val="112"/>
    <w:qFormat/>
    <w:uiPriority w:val="0"/>
    <w:rPr>
      <w:rFonts w:ascii="宋体"/>
      <w:b/>
      <w:bCs/>
      <w:sz w:val="28"/>
      <w:lang w:bidi="ar-SA"/>
    </w:rPr>
  </w:style>
  <w:style w:type="paragraph" w:customStyle="1" w:styleId="112">
    <w:name w:val="annotation subject_7e508925-db0b-42b8-bb3c-14b05a6698cc"/>
    <w:basedOn w:val="34"/>
    <w:next w:val="34"/>
    <w:link w:val="111"/>
    <w:qFormat/>
    <w:uiPriority w:val="0"/>
    <w:rPr>
      <w:b/>
      <w:bCs/>
    </w:rPr>
  </w:style>
  <w:style w:type="character" w:customStyle="1" w:styleId="113">
    <w:name w:val="引用 Char"/>
    <w:link w:val="114"/>
    <w:qFormat/>
    <w:uiPriority w:val="0"/>
    <w:rPr>
      <w:rFonts w:ascii="Calibri" w:hAnsi="Calibri" w:eastAsia="宋体" w:cs="Times New Roman"/>
      <w:i/>
      <w:iCs/>
      <w:color w:val="000000"/>
      <w:kern w:val="2"/>
      <w:sz w:val="21"/>
      <w:szCs w:val="22"/>
    </w:rPr>
  </w:style>
  <w:style w:type="paragraph" w:customStyle="1" w:styleId="114">
    <w:name w:val="引用1"/>
    <w:basedOn w:val="1"/>
    <w:next w:val="1"/>
    <w:link w:val="113"/>
    <w:qFormat/>
    <w:uiPriority w:val="0"/>
    <w:rPr>
      <w:i/>
      <w:iCs/>
      <w:color w:val="000000"/>
      <w:szCs w:val="22"/>
    </w:rPr>
  </w:style>
  <w:style w:type="character" w:customStyle="1" w:styleId="115">
    <w:name w:val="Char Char4"/>
    <w:qFormat/>
    <w:uiPriority w:val="0"/>
    <w:rPr>
      <w:kern w:val="2"/>
      <w:sz w:val="21"/>
      <w:szCs w:val="24"/>
    </w:rPr>
  </w:style>
  <w:style w:type="character" w:customStyle="1" w:styleId="116">
    <w:name w:val="Char Char17"/>
    <w:qFormat/>
    <w:uiPriority w:val="0"/>
    <w:rPr>
      <w:rFonts w:ascii="Arial" w:hAnsi="Arial" w:eastAsia="黑体"/>
      <w:b/>
      <w:bCs/>
      <w:kern w:val="2"/>
      <w:sz w:val="32"/>
      <w:szCs w:val="32"/>
      <w:lang w:val="en-US" w:eastAsia="zh-CN" w:bidi="ar-SA"/>
    </w:rPr>
  </w:style>
  <w:style w:type="character" w:customStyle="1" w:styleId="117">
    <w:name w:val="页脚 Char Char"/>
    <w:qFormat/>
    <w:uiPriority w:val="0"/>
    <w:rPr>
      <w:kern w:val="2"/>
      <w:sz w:val="18"/>
      <w:szCs w:val="18"/>
    </w:rPr>
  </w:style>
  <w:style w:type="character" w:customStyle="1" w:styleId="118">
    <w:name w:val="Char Char16"/>
    <w:qFormat/>
    <w:uiPriority w:val="0"/>
    <w:rPr>
      <w:b/>
      <w:bCs/>
      <w:kern w:val="2"/>
      <w:sz w:val="32"/>
      <w:szCs w:val="32"/>
    </w:rPr>
  </w:style>
  <w:style w:type="character" w:customStyle="1" w:styleId="119">
    <w:name w:val="_Style 99"/>
    <w:qFormat/>
    <w:uiPriority w:val="0"/>
    <w:rPr>
      <w:b/>
      <w:bCs/>
      <w:smallCaps/>
      <w:color w:val="C0504D"/>
      <w:spacing w:val="5"/>
      <w:u w:val="single"/>
    </w:rPr>
  </w:style>
  <w:style w:type="character" w:customStyle="1" w:styleId="120">
    <w:name w:val="正文文本 Char1"/>
    <w:qFormat/>
    <w:uiPriority w:val="0"/>
    <w:rPr>
      <w:kern w:val="2"/>
      <w:sz w:val="21"/>
      <w:szCs w:val="22"/>
    </w:rPr>
  </w:style>
  <w:style w:type="character" w:customStyle="1" w:styleId="121">
    <w:name w:val="Intense Emphasis_9b6a953e-94ad-4165-a52c-a9d5aa337207"/>
    <w:qFormat/>
    <w:uiPriority w:val="0"/>
    <w:rPr>
      <w:b/>
      <w:bCs/>
      <w:i/>
      <w:iCs/>
      <w:color w:val="4F81BD"/>
    </w:rPr>
  </w:style>
  <w:style w:type="character" w:customStyle="1" w:styleId="122">
    <w:name w:val="Char Char3"/>
    <w:qFormat/>
    <w:uiPriority w:val="0"/>
    <w:rPr>
      <w:kern w:val="2"/>
      <w:sz w:val="18"/>
      <w:szCs w:val="18"/>
    </w:rPr>
  </w:style>
  <w:style w:type="character" w:customStyle="1" w:styleId="123">
    <w:name w:val="annotation reference_5a4dc107-051c-4fe4-be63-1ed1b402bb75"/>
    <w:qFormat/>
    <w:uiPriority w:val="0"/>
    <w:rPr>
      <w:rFonts w:cs="Times New Roman"/>
      <w:sz w:val="21"/>
      <w:szCs w:val="21"/>
    </w:rPr>
  </w:style>
  <w:style w:type="character" w:customStyle="1" w:styleId="124">
    <w:name w:val="_Style 104"/>
    <w:qFormat/>
    <w:uiPriority w:val="0"/>
    <w:rPr>
      <w:b/>
      <w:bCs/>
      <w:i/>
      <w:iCs/>
      <w:color w:val="4F81BD"/>
    </w:rPr>
  </w:style>
  <w:style w:type="character" w:customStyle="1" w:styleId="125">
    <w:name w:val="15"/>
    <w:qFormat/>
    <w:uiPriority w:val="0"/>
    <w:rPr>
      <w:rFonts w:hint="default" w:ascii="Times New Roman" w:hAnsi="Times New Roman" w:cs="Times New Roman"/>
      <w:color w:val="0000FF"/>
      <w:sz w:val="20"/>
      <w:szCs w:val="20"/>
      <w:u w:val="single"/>
    </w:rPr>
  </w:style>
  <w:style w:type="character" w:customStyle="1" w:styleId="126">
    <w:name w:val="Char Char15"/>
    <w:qFormat/>
    <w:uiPriority w:val="0"/>
    <w:rPr>
      <w:rFonts w:ascii="Arial" w:hAnsi="Arial" w:eastAsia="黑体"/>
      <w:b/>
      <w:bCs/>
      <w:kern w:val="2"/>
      <w:sz w:val="28"/>
      <w:szCs w:val="28"/>
    </w:rPr>
  </w:style>
  <w:style w:type="character" w:customStyle="1" w:styleId="127">
    <w:name w:val="_Style 107"/>
    <w:qFormat/>
    <w:uiPriority w:val="0"/>
    <w:rPr>
      <w:smallCaps/>
      <w:color w:val="C0504D"/>
      <w:u w:val="single"/>
    </w:rPr>
  </w:style>
  <w:style w:type="character" w:customStyle="1" w:styleId="128">
    <w:name w:val="文档结构图 Char1"/>
    <w:qFormat/>
    <w:uiPriority w:val="0"/>
    <w:rPr>
      <w:rFonts w:ascii="宋体"/>
      <w:kern w:val="2"/>
      <w:sz w:val="18"/>
      <w:szCs w:val="18"/>
    </w:rPr>
  </w:style>
  <w:style w:type="character" w:customStyle="1" w:styleId="129">
    <w:name w:val="Char Char14"/>
    <w:qFormat/>
    <w:uiPriority w:val="0"/>
    <w:rPr>
      <w:rFonts w:ascii="Calibri" w:hAnsi="Calibri"/>
      <w:b/>
      <w:bCs/>
      <w:kern w:val="2"/>
      <w:sz w:val="28"/>
      <w:szCs w:val="28"/>
    </w:rPr>
  </w:style>
  <w:style w:type="character" w:customStyle="1" w:styleId="130">
    <w:name w:val="副标题 Char1"/>
    <w:qFormat/>
    <w:uiPriority w:val="0"/>
    <w:rPr>
      <w:rFonts w:ascii="Cambria" w:hAnsi="Cambria" w:cs="Times New Roman"/>
      <w:b/>
      <w:bCs/>
      <w:kern w:val="28"/>
      <w:sz w:val="32"/>
      <w:szCs w:val="32"/>
    </w:rPr>
  </w:style>
  <w:style w:type="character" w:customStyle="1" w:styleId="131">
    <w:name w:val="正文文本 Char Char"/>
    <w:qFormat/>
    <w:uiPriority w:val="0"/>
    <w:rPr>
      <w:rFonts w:ascii="Times New Roman" w:hAnsi="Times New Roman"/>
    </w:rPr>
  </w:style>
  <w:style w:type="character" w:customStyle="1" w:styleId="132">
    <w:name w:val="标题4 Char Char"/>
    <w:link w:val="133"/>
    <w:qFormat/>
    <w:uiPriority w:val="0"/>
    <w:rPr>
      <w:rFonts w:ascii="Arial" w:hAnsi="Arial"/>
      <w:b/>
      <w:bCs/>
      <w:sz w:val="24"/>
      <w:szCs w:val="32"/>
    </w:rPr>
  </w:style>
  <w:style w:type="paragraph" w:customStyle="1" w:styleId="133">
    <w:name w:val="标题4"/>
    <w:basedOn w:val="22"/>
    <w:next w:val="39"/>
    <w:link w:val="132"/>
    <w:qFormat/>
    <w:uiPriority w:val="0"/>
    <w:pPr>
      <w:spacing w:line="413" w:lineRule="auto"/>
    </w:pPr>
    <w:rPr>
      <w:rFonts w:ascii="Arial" w:hAnsi="Arial"/>
      <w:sz w:val="24"/>
    </w:rPr>
  </w:style>
  <w:style w:type="character" w:customStyle="1" w:styleId="134">
    <w:name w:val="明显引用 Char1"/>
    <w:qFormat/>
    <w:uiPriority w:val="0"/>
    <w:rPr>
      <w:rFonts w:ascii="Tahoma" w:hAnsi="Tahoma"/>
      <w:b/>
      <w:bCs/>
      <w:i/>
      <w:iCs/>
      <w:color w:val="4F81BD"/>
      <w:kern w:val="2"/>
      <w:sz w:val="21"/>
      <w:szCs w:val="24"/>
    </w:rPr>
  </w:style>
  <w:style w:type="character" w:customStyle="1" w:styleId="135">
    <w:name w:val="Subtle Emphasis_281fbafb-f423-49f4-942f-98640485b1c9"/>
    <w:qFormat/>
    <w:uiPriority w:val="0"/>
    <w:rPr>
      <w:i/>
      <w:iCs/>
      <w:color w:val="808080"/>
    </w:rPr>
  </w:style>
  <w:style w:type="character" w:customStyle="1" w:styleId="136">
    <w:name w:val="Char Char11"/>
    <w:qFormat/>
    <w:uiPriority w:val="0"/>
    <w:rPr>
      <w:rFonts w:ascii="Arial" w:hAnsi="Arial" w:eastAsia="黑体"/>
      <w:sz w:val="24"/>
      <w:szCs w:val="24"/>
    </w:rPr>
  </w:style>
  <w:style w:type="character" w:customStyle="1" w:styleId="137">
    <w:name w:val="Char Char8"/>
    <w:qFormat/>
    <w:uiPriority w:val="0"/>
    <w:rPr>
      <w:rFonts w:ascii="Arial" w:hAnsi="Arial"/>
      <w:b/>
      <w:sz w:val="32"/>
    </w:rPr>
  </w:style>
  <w:style w:type="character" w:customStyle="1" w:styleId="138">
    <w:name w:val="Char Char5"/>
    <w:qFormat/>
    <w:uiPriority w:val="0"/>
    <w:rPr>
      <w:kern w:val="2"/>
      <w:sz w:val="18"/>
      <w:szCs w:val="18"/>
    </w:rPr>
  </w:style>
  <w:style w:type="character" w:customStyle="1" w:styleId="139">
    <w:name w:val="font161"/>
    <w:qFormat/>
    <w:uiPriority w:val="0"/>
    <w:rPr>
      <w:rFonts w:ascii="Tahoma" w:hAnsi="Tahoma"/>
      <w:b/>
      <w:bCs/>
      <w:sz w:val="32"/>
      <w:szCs w:val="32"/>
    </w:rPr>
  </w:style>
  <w:style w:type="character" w:customStyle="1" w:styleId="140">
    <w:name w:val="文档结构图 Char Char Char"/>
    <w:qFormat/>
    <w:uiPriority w:val="0"/>
    <w:rPr>
      <w:rFonts w:eastAsia="宋体"/>
      <w:kern w:val="2"/>
      <w:sz w:val="21"/>
      <w:szCs w:val="24"/>
      <w:shd w:val="clear" w:color="auto" w:fill="000080"/>
      <w:lang w:val="en-US" w:eastAsia="zh-CN" w:bidi="ar-SA"/>
    </w:rPr>
  </w:style>
  <w:style w:type="character" w:customStyle="1" w:styleId="141">
    <w:name w:val="明显引用 Char"/>
    <w:link w:val="142"/>
    <w:qFormat/>
    <w:uiPriority w:val="0"/>
    <w:rPr>
      <w:rFonts w:ascii="Calibri" w:hAnsi="Calibri" w:eastAsia="宋体" w:cs="Times New Roman"/>
      <w:b/>
      <w:bCs/>
      <w:i/>
      <w:iCs/>
      <w:color w:val="4F81BD"/>
      <w:kern w:val="2"/>
      <w:sz w:val="21"/>
      <w:szCs w:val="22"/>
    </w:rPr>
  </w:style>
  <w:style w:type="paragraph" w:customStyle="1" w:styleId="142">
    <w:name w:val="明显引用1"/>
    <w:basedOn w:val="1"/>
    <w:next w:val="1"/>
    <w:link w:val="141"/>
    <w:qFormat/>
    <w:uiPriority w:val="0"/>
    <w:pPr>
      <w:pBdr>
        <w:bottom w:val="single" w:color="4F81BD" w:sz="4" w:space="4"/>
      </w:pBdr>
      <w:spacing w:before="200" w:after="280"/>
      <w:ind w:left="936" w:right="936"/>
    </w:pPr>
    <w:rPr>
      <w:b/>
      <w:bCs/>
      <w:i/>
      <w:iCs/>
      <w:color w:val="4F81BD"/>
      <w:szCs w:val="22"/>
    </w:rPr>
  </w:style>
  <w:style w:type="character" w:customStyle="1" w:styleId="143">
    <w:name w:val="标题5 Char Char"/>
    <w:link w:val="144"/>
    <w:qFormat/>
    <w:uiPriority w:val="0"/>
    <w:rPr>
      <w:rFonts w:ascii="Arial" w:hAnsi="Arial"/>
      <w:b/>
      <w:bCs/>
      <w:sz w:val="24"/>
      <w:szCs w:val="32"/>
    </w:rPr>
  </w:style>
  <w:style w:type="paragraph" w:customStyle="1" w:styleId="144">
    <w:name w:val="标题5"/>
    <w:basedOn w:val="23"/>
    <w:link w:val="143"/>
    <w:qFormat/>
    <w:uiPriority w:val="0"/>
    <w:pPr>
      <w:spacing w:line="413" w:lineRule="auto"/>
    </w:pPr>
    <w:rPr>
      <w:rFonts w:ascii="Arial" w:hAnsi="Arial"/>
      <w:sz w:val="24"/>
    </w:rPr>
  </w:style>
  <w:style w:type="character" w:customStyle="1" w:styleId="145">
    <w:name w:val="批注框文本 Char1"/>
    <w:qFormat/>
    <w:uiPriority w:val="0"/>
    <w:rPr>
      <w:kern w:val="2"/>
      <w:sz w:val="18"/>
      <w:szCs w:val="18"/>
    </w:rPr>
  </w:style>
  <w:style w:type="character" w:customStyle="1" w:styleId="146">
    <w:name w:val="textcontents"/>
    <w:qFormat/>
    <w:uiPriority w:val="0"/>
    <w:rPr>
      <w:rFonts w:cs="Times New Roman"/>
    </w:rPr>
  </w:style>
  <w:style w:type="character" w:customStyle="1" w:styleId="147">
    <w:name w:val="Char Char2"/>
    <w:qFormat/>
    <w:uiPriority w:val="0"/>
    <w:rPr>
      <w:kern w:val="2"/>
      <w:sz w:val="18"/>
      <w:szCs w:val="18"/>
    </w:rPr>
  </w:style>
  <w:style w:type="character" w:customStyle="1" w:styleId="148">
    <w:name w:val="_Style 128"/>
    <w:qFormat/>
    <w:uiPriority w:val="0"/>
    <w:rPr>
      <w:b/>
      <w:bCs/>
      <w:smallCaps/>
      <w:spacing w:val="5"/>
    </w:rPr>
  </w:style>
  <w:style w:type="character" w:customStyle="1" w:styleId="149">
    <w:name w:val="文档结构图 Char Char"/>
    <w:link w:val="150"/>
    <w:qFormat/>
    <w:uiPriority w:val="0"/>
    <w:rPr>
      <w:szCs w:val="24"/>
      <w:shd w:val="clear" w:color="auto" w:fill="000080"/>
      <w:lang w:bidi="ar-SA"/>
    </w:rPr>
  </w:style>
  <w:style w:type="paragraph" w:customStyle="1" w:styleId="150">
    <w:name w:val="Document Map_6b444792-030a-4881-a419-4c7b433314c9"/>
    <w:basedOn w:val="1"/>
    <w:link w:val="149"/>
    <w:qFormat/>
    <w:uiPriority w:val="0"/>
    <w:pPr>
      <w:shd w:val="clear" w:color="auto" w:fill="000080"/>
    </w:pPr>
    <w:rPr>
      <w:shd w:val="clear" w:color="auto" w:fill="000080"/>
    </w:rPr>
  </w:style>
  <w:style w:type="character" w:customStyle="1" w:styleId="151">
    <w:name w:val="批注主题 Char1"/>
    <w:qFormat/>
    <w:uiPriority w:val="0"/>
    <w:rPr>
      <w:b/>
      <w:bCs/>
      <w:kern w:val="2"/>
      <w:sz w:val="21"/>
      <w:szCs w:val="22"/>
    </w:rPr>
  </w:style>
  <w:style w:type="character" w:customStyle="1" w:styleId="152">
    <w:name w:val="Intense Reference_df8ffef5-cdad-4a3f-bc71-e17625f68e0a"/>
    <w:qFormat/>
    <w:uiPriority w:val="0"/>
    <w:rPr>
      <w:b/>
      <w:bCs/>
      <w:smallCaps/>
      <w:color w:val="C0504D"/>
      <w:spacing w:val="5"/>
      <w:u w:val="single"/>
    </w:rPr>
  </w:style>
  <w:style w:type="character" w:customStyle="1" w:styleId="153">
    <w:name w:val="副标题 Char Char"/>
    <w:qFormat/>
    <w:uiPriority w:val="0"/>
    <w:rPr>
      <w:rFonts w:ascii="Cambria" w:hAnsi="Cambria" w:cs="Times New Roman"/>
      <w:b/>
      <w:bCs/>
      <w:kern w:val="28"/>
      <w:sz w:val="32"/>
      <w:szCs w:val="32"/>
    </w:rPr>
  </w:style>
  <w:style w:type="character" w:customStyle="1" w:styleId="154">
    <w:name w:val="引用 Char Char Char"/>
    <w:qFormat/>
    <w:uiPriority w:val="0"/>
    <w:rPr>
      <w:i/>
      <w:iCs/>
      <w:color w:val="000000"/>
      <w:kern w:val="2"/>
      <w:sz w:val="21"/>
      <w:szCs w:val="22"/>
      <w:lang w:bidi="ar-SA"/>
    </w:rPr>
  </w:style>
  <w:style w:type="character" w:customStyle="1" w:styleId="155">
    <w:name w:val="明显引用 Char Char Char"/>
    <w:link w:val="156"/>
    <w:qFormat/>
    <w:uiPriority w:val="0"/>
    <w:rPr>
      <w:b/>
      <w:bCs/>
      <w:i/>
      <w:iCs/>
      <w:color w:val="4F81BD"/>
      <w:kern w:val="2"/>
      <w:sz w:val="21"/>
      <w:szCs w:val="22"/>
      <w:lang w:bidi="ar-SA"/>
    </w:rPr>
  </w:style>
  <w:style w:type="paragraph" w:customStyle="1" w:styleId="156">
    <w:name w:val="Intense Quote1"/>
    <w:basedOn w:val="1"/>
    <w:next w:val="1"/>
    <w:link w:val="155"/>
    <w:qFormat/>
    <w:uiPriority w:val="0"/>
    <w:pPr>
      <w:pBdr>
        <w:bottom w:val="single" w:color="4F81BD" w:sz="4" w:space="4"/>
      </w:pBdr>
      <w:spacing w:before="200" w:after="280"/>
      <w:ind w:left="936" w:right="936"/>
    </w:pPr>
    <w:rPr>
      <w:b/>
      <w:bCs/>
      <w:i/>
      <w:iCs/>
      <w:color w:val="4F81BD"/>
      <w:szCs w:val="22"/>
    </w:rPr>
  </w:style>
  <w:style w:type="character" w:customStyle="1" w:styleId="157">
    <w:name w:val="日期 Char Char"/>
    <w:link w:val="158"/>
    <w:qFormat/>
    <w:uiPriority w:val="0"/>
    <w:rPr>
      <w:rFonts w:ascii="宋体"/>
      <w:sz w:val="28"/>
      <w:lang w:bidi="ar-SA"/>
    </w:rPr>
  </w:style>
  <w:style w:type="paragraph" w:customStyle="1" w:styleId="158">
    <w:name w:val="Date_55e32ba2-7256-4520-8e76-b8fa485944a7"/>
    <w:basedOn w:val="1"/>
    <w:next w:val="1"/>
    <w:link w:val="157"/>
    <w:qFormat/>
    <w:uiPriority w:val="0"/>
    <w:pPr>
      <w:ind w:left="100" w:leftChars="2500"/>
    </w:pPr>
    <w:rPr>
      <w:rFonts w:ascii="宋体"/>
      <w:sz w:val="28"/>
    </w:rPr>
  </w:style>
  <w:style w:type="character" w:customStyle="1" w:styleId="159">
    <w:name w:val="Subtle Reference_5b284f4e-b882-4009-95a2-8a07ab19ec1b"/>
    <w:qFormat/>
    <w:uiPriority w:val="0"/>
    <w:rPr>
      <w:smallCaps/>
      <w:color w:val="C0504D"/>
      <w:u w:val="single"/>
    </w:rPr>
  </w:style>
  <w:style w:type="character" w:customStyle="1" w:styleId="160">
    <w:name w:val="日期 Char1"/>
    <w:qFormat/>
    <w:uiPriority w:val="0"/>
    <w:rPr>
      <w:kern w:val="2"/>
      <w:sz w:val="21"/>
      <w:szCs w:val="22"/>
    </w:rPr>
  </w:style>
  <w:style w:type="character" w:customStyle="1" w:styleId="161">
    <w:name w:val="批注文字 Char Char"/>
    <w:qFormat/>
    <w:uiPriority w:val="0"/>
    <w:rPr>
      <w:rFonts w:ascii="宋体" w:hAnsi="Times New Roman" w:eastAsia="宋体" w:cs="Times New Roman"/>
      <w:sz w:val="28"/>
      <w:szCs w:val="20"/>
    </w:rPr>
  </w:style>
  <w:style w:type="character" w:customStyle="1" w:styleId="162">
    <w:name w:val="明显引用 Char Char"/>
    <w:qFormat/>
    <w:uiPriority w:val="0"/>
    <w:rPr>
      <w:b/>
      <w:bCs/>
      <w:i/>
      <w:iCs/>
      <w:color w:val="4F81BD"/>
      <w:kern w:val="2"/>
      <w:sz w:val="21"/>
      <w:szCs w:val="22"/>
    </w:rPr>
  </w:style>
  <w:style w:type="character" w:customStyle="1" w:styleId="163">
    <w:name w:val="引用 Char1"/>
    <w:qFormat/>
    <w:uiPriority w:val="0"/>
    <w:rPr>
      <w:rFonts w:ascii="Tahoma" w:hAnsi="Tahoma"/>
      <w:i/>
      <w:iCs/>
      <w:color w:val="000000"/>
      <w:kern w:val="2"/>
      <w:sz w:val="21"/>
      <w:szCs w:val="24"/>
    </w:rPr>
  </w:style>
  <w:style w:type="character" w:customStyle="1" w:styleId="164">
    <w:name w:val="Char Char13"/>
    <w:qFormat/>
    <w:uiPriority w:val="0"/>
    <w:rPr>
      <w:rFonts w:ascii="Arial" w:hAnsi="Arial" w:eastAsia="黑体"/>
      <w:b/>
      <w:bCs/>
      <w:sz w:val="24"/>
      <w:szCs w:val="24"/>
    </w:rPr>
  </w:style>
  <w:style w:type="character" w:customStyle="1" w:styleId="165">
    <w:name w:val="Book Title_318ef6dd-f89d-401c-afd3-678c2dd769a2"/>
    <w:qFormat/>
    <w:uiPriority w:val="0"/>
    <w:rPr>
      <w:b/>
      <w:bCs/>
      <w:smallCaps/>
      <w:spacing w:val="5"/>
    </w:rPr>
  </w:style>
  <w:style w:type="character" w:customStyle="1" w:styleId="166">
    <w:name w:val="批注主题 Char Char Char"/>
    <w:qFormat/>
    <w:uiPriority w:val="0"/>
    <w:rPr>
      <w:rFonts w:ascii="宋体" w:eastAsia="宋体"/>
      <w:b/>
      <w:bCs/>
      <w:kern w:val="2"/>
      <w:sz w:val="28"/>
      <w:szCs w:val="22"/>
      <w:lang w:val="en-US" w:eastAsia="zh-CN" w:bidi="ar-SA"/>
    </w:rPr>
  </w:style>
  <w:style w:type="character" w:customStyle="1" w:styleId="167">
    <w:name w:val="页眉 Char Char"/>
    <w:qFormat/>
    <w:uiPriority w:val="0"/>
    <w:rPr>
      <w:kern w:val="2"/>
      <w:sz w:val="18"/>
      <w:szCs w:val="18"/>
    </w:rPr>
  </w:style>
  <w:style w:type="character" w:customStyle="1" w:styleId="168">
    <w:name w:val="_Style 148"/>
    <w:qFormat/>
    <w:uiPriority w:val="0"/>
    <w:rPr>
      <w:i/>
      <w:iCs/>
      <w:color w:val="808080"/>
    </w:rPr>
  </w:style>
  <w:style w:type="character" w:customStyle="1" w:styleId="169">
    <w:name w:val="标题 Char Char"/>
    <w:qFormat/>
    <w:uiPriority w:val="0"/>
    <w:rPr>
      <w:rFonts w:ascii="Cambria" w:hAnsi="Cambria" w:cs="Times New Roman"/>
      <w:b/>
      <w:bCs/>
      <w:kern w:val="2"/>
      <w:sz w:val="32"/>
      <w:szCs w:val="32"/>
    </w:rPr>
  </w:style>
  <w:style w:type="character" w:customStyle="1" w:styleId="170">
    <w:name w:val="Char Char9"/>
    <w:qFormat/>
    <w:uiPriority w:val="0"/>
    <w:rPr>
      <w:rFonts w:ascii="Tahoma" w:hAnsi="Tahoma" w:eastAsia="宋体"/>
      <w:kern w:val="2"/>
      <w:sz w:val="21"/>
      <w:szCs w:val="24"/>
      <w:lang w:val="en-US" w:eastAsia="zh-CN" w:bidi="ar-SA"/>
    </w:rPr>
  </w:style>
  <w:style w:type="paragraph" w:customStyle="1" w:styleId="17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72">
    <w:name w:val="Body text|1"/>
    <w:basedOn w:val="1"/>
    <w:qFormat/>
    <w:uiPriority w:val="0"/>
    <w:pPr>
      <w:spacing w:line="422" w:lineRule="auto"/>
      <w:ind w:firstLine="400"/>
    </w:pPr>
    <w:rPr>
      <w:rFonts w:ascii="宋体" w:hAnsi="宋体" w:cs="宋体"/>
      <w:sz w:val="30"/>
      <w:szCs w:val="30"/>
      <w:lang w:val="zh-TW" w:eastAsia="zh-TW" w:bidi="zh-TW"/>
    </w:rPr>
  </w:style>
  <w:style w:type="paragraph" w:customStyle="1" w:styleId="173">
    <w:name w:val="Char Char Char Char Char1 Char"/>
    <w:basedOn w:val="1"/>
    <w:qFormat/>
    <w:uiPriority w:val="0"/>
  </w:style>
  <w:style w:type="paragraph" w:customStyle="1" w:styleId="174">
    <w:name w:val="Char"/>
    <w:basedOn w:val="1"/>
    <w:qFormat/>
    <w:uiPriority w:val="0"/>
    <w:rPr>
      <w:rFonts w:ascii="Tahoma" w:hAnsi="Tahoma"/>
      <w:sz w:val="24"/>
      <w:szCs w:val="20"/>
    </w:rPr>
  </w:style>
  <w:style w:type="paragraph" w:customStyle="1" w:styleId="17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Normal Indent_1"/>
    <w:basedOn w:val="177"/>
    <w:qFormat/>
    <w:uiPriority w:val="0"/>
    <w:pPr>
      <w:ind w:firstLine="420" w:firstLineChars="200"/>
    </w:pPr>
  </w:style>
  <w:style w:type="paragraph" w:customStyle="1" w:styleId="177">
    <w:name w:val="Normal_1"/>
    <w:next w:val="178"/>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8">
    <w:name w:val="Body Text_0"/>
    <w:basedOn w:val="177"/>
    <w:qFormat/>
    <w:uiPriority w:val="0"/>
    <w:pPr>
      <w:jc w:val="left"/>
    </w:pPr>
  </w:style>
  <w:style w:type="paragraph" w:customStyle="1" w:styleId="179">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0">
    <w:name w:val="p17"/>
    <w:basedOn w:val="1"/>
    <w:qFormat/>
    <w:uiPriority w:val="0"/>
    <w:pPr>
      <w:widowControl/>
      <w:ind w:left="630"/>
    </w:pPr>
    <w:rPr>
      <w:rFonts w:ascii="Calibri" w:hAnsi="Calibri" w:cs="宋体"/>
      <w:kern w:val="0"/>
      <w:szCs w:val="21"/>
    </w:rPr>
  </w:style>
  <w:style w:type="paragraph" w:customStyle="1" w:styleId="181">
    <w:name w:val="Char Char Char Char"/>
    <w:basedOn w:val="33"/>
    <w:qFormat/>
    <w:uiPriority w:val="0"/>
    <w:rPr>
      <w:rFonts w:ascii="Tahoma" w:hAnsi="Tahoma"/>
      <w:sz w:val="24"/>
    </w:rPr>
  </w:style>
  <w:style w:type="paragraph" w:customStyle="1" w:styleId="18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3">
    <w:name w:val="表格文字"/>
    <w:basedOn w:val="1"/>
    <w:qFormat/>
    <w:uiPriority w:val="0"/>
    <w:pPr>
      <w:adjustRightInd w:val="0"/>
      <w:spacing w:line="420" w:lineRule="atLeast"/>
      <w:jc w:val="left"/>
      <w:textAlignment w:val="baseline"/>
    </w:pPr>
    <w:rPr>
      <w:kern w:val="0"/>
      <w:szCs w:val="20"/>
    </w:rPr>
  </w:style>
  <w:style w:type="paragraph" w:customStyle="1" w:styleId="184">
    <w:name w:val="Body Text First Indent_60952c1d-a048-4edd-8625-5a66a697d8ec"/>
    <w:basedOn w:val="178"/>
    <w:qFormat/>
    <w:uiPriority w:val="0"/>
    <w:pPr>
      <w:ind w:firstLine="420" w:firstLineChars="100"/>
    </w:pPr>
    <w:rPr>
      <w:rFonts w:ascii="Times New Roman" w:hAnsi="Times New Roman"/>
    </w:rPr>
  </w:style>
  <w:style w:type="paragraph" w:customStyle="1" w:styleId="185">
    <w:name w:val="p18"/>
    <w:basedOn w:val="1"/>
    <w:qFormat/>
    <w:uiPriority w:val="0"/>
    <w:pPr>
      <w:widowControl/>
      <w:ind w:left="1050"/>
    </w:pPr>
    <w:rPr>
      <w:rFonts w:ascii="Calibri" w:hAnsi="Calibri" w:cs="宋体"/>
      <w:kern w:val="0"/>
      <w:szCs w:val="21"/>
    </w:rPr>
  </w:style>
  <w:style w:type="paragraph" w:customStyle="1" w:styleId="186">
    <w:name w:val="Revision_0d44be6e-e179-424c-bbe7-d183e00aa93c"/>
    <w:qFormat/>
    <w:uiPriority w:val="0"/>
    <w:rPr>
      <w:rFonts w:ascii="Times New Roman" w:hAnsi="Times New Roman" w:eastAsia="宋体" w:cs="Times New Roman"/>
      <w:kern w:val="2"/>
      <w:sz w:val="21"/>
      <w:szCs w:val="24"/>
      <w:lang w:val="en-US" w:eastAsia="zh-CN" w:bidi="ar-SA"/>
    </w:rPr>
  </w:style>
  <w:style w:type="paragraph" w:customStyle="1" w:styleId="187">
    <w:name w:val="Char Char1 Char Char Char"/>
    <w:basedOn w:val="1"/>
    <w:qFormat/>
    <w:uiPriority w:val="0"/>
    <w:rPr>
      <w:kern w:val="0"/>
      <w:sz w:val="20"/>
      <w:szCs w:val="20"/>
    </w:rPr>
  </w:style>
  <w:style w:type="paragraph" w:customStyle="1" w:styleId="18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9">
    <w:name w:val="样式 标题 3 + (中文) 黑体 小四 非加粗 段前: 7.8 磅 段后: 0 磅 行距: 固定值 20 磅"/>
    <w:basedOn w:val="23"/>
    <w:qFormat/>
    <w:uiPriority w:val="0"/>
    <w:pPr>
      <w:spacing w:line="400" w:lineRule="exact"/>
    </w:pPr>
    <w:rPr>
      <w:rFonts w:eastAsia="黑体" w:cs="宋体"/>
      <w:b w:val="0"/>
      <w:bCs w:val="0"/>
      <w:sz w:val="24"/>
      <w:szCs w:val="20"/>
    </w:rPr>
  </w:style>
  <w:style w:type="paragraph" w:customStyle="1" w:styleId="190">
    <w:name w:val="Body Text 2_b1d85303-f0ae-4c3a-a248-78c4c82ace13"/>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191">
    <w:name w:val="index 4_5fa7a709-fcd4-4983-9b4c-e52d4eeeab4c"/>
    <w:basedOn w:val="1"/>
    <w:next w:val="1"/>
    <w:qFormat/>
    <w:uiPriority w:val="0"/>
    <w:pPr>
      <w:ind w:left="600" w:leftChars="600"/>
    </w:pPr>
  </w:style>
  <w:style w:type="paragraph" w:customStyle="1" w:styleId="192">
    <w:name w:val="样式 标题 2 + Times New Roman 四号 非加粗 段前: 5 磅 段后: 0 磅 行距: 固定值 20..."/>
    <w:basedOn w:val="22"/>
    <w:qFormat/>
    <w:uiPriority w:val="0"/>
    <w:pPr>
      <w:spacing w:before="100" w:line="400" w:lineRule="exact"/>
    </w:pPr>
    <w:rPr>
      <w:rFonts w:ascii="Times New Roman" w:hAnsi="Times New Roman" w:cs="宋体"/>
      <w:b w:val="0"/>
      <w:bCs w:val="0"/>
      <w:sz w:val="28"/>
      <w:szCs w:val="20"/>
    </w:rPr>
  </w:style>
  <w:style w:type="paragraph" w:customStyle="1" w:styleId="193">
    <w:name w:val="Char11"/>
    <w:basedOn w:val="1"/>
    <w:qFormat/>
    <w:uiPriority w:val="0"/>
    <w:pPr>
      <w:adjustRightInd w:val="0"/>
      <w:snapToGrid w:val="0"/>
      <w:spacing w:line="360" w:lineRule="auto"/>
      <w:ind w:firstLine="200"/>
      <w:jc w:val="left"/>
    </w:pPr>
  </w:style>
  <w:style w:type="paragraph" w:customStyle="1" w:styleId="194">
    <w:name w:val="Normal Indent_0"/>
    <w:basedOn w:val="177"/>
    <w:qFormat/>
    <w:uiPriority w:val="99"/>
    <w:pPr>
      <w:ind w:firstLine="420" w:firstLineChars="200"/>
    </w:pPr>
  </w:style>
  <w:style w:type="paragraph" w:customStyle="1" w:styleId="195">
    <w:name w:val="List Paragraph1"/>
    <w:basedOn w:val="1"/>
    <w:qFormat/>
    <w:uiPriority w:val="0"/>
    <w:pPr>
      <w:ind w:firstLine="420" w:firstLineChars="200"/>
    </w:pPr>
    <w:rPr>
      <w:rFonts w:ascii="Calibri" w:hAnsi="Calibri"/>
      <w:szCs w:val="22"/>
    </w:rPr>
  </w:style>
  <w:style w:type="paragraph" w:customStyle="1" w:styleId="19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7">
    <w:name w:val="表格"/>
    <w:basedOn w:val="1"/>
    <w:qFormat/>
    <w:uiPriority w:val="0"/>
    <w:pPr>
      <w:jc w:val="center"/>
      <w:textAlignment w:val="center"/>
    </w:pPr>
    <w:rPr>
      <w:rFonts w:ascii="华文细黑" w:hAnsi="华文细黑"/>
      <w:kern w:val="0"/>
      <w:szCs w:val="20"/>
    </w:rPr>
  </w:style>
  <w:style w:type="paragraph" w:customStyle="1" w:styleId="198">
    <w:name w:val="Times New Roman"/>
    <w:basedOn w:val="24"/>
    <w:qFormat/>
    <w:uiPriority w:val="0"/>
    <w:pPr>
      <w:spacing w:line="400" w:lineRule="exact"/>
    </w:pPr>
    <w:rPr>
      <w:rFonts w:ascii="Times New Roman" w:hAnsi="Times New Roman"/>
      <w:b w:val="0"/>
      <w:szCs w:val="24"/>
    </w:rPr>
  </w:style>
  <w:style w:type="paragraph" w:customStyle="1" w:styleId="199">
    <w:name w:val="Char4"/>
    <w:basedOn w:val="1"/>
    <w:qFormat/>
    <w:uiPriority w:val="0"/>
  </w:style>
  <w:style w:type="paragraph" w:customStyle="1" w:styleId="200">
    <w:name w:val="style4"/>
    <w:basedOn w:val="1"/>
    <w:next w:val="171"/>
    <w:qFormat/>
    <w:uiPriority w:val="0"/>
    <w:pPr>
      <w:widowControl/>
      <w:spacing w:before="280" w:after="280"/>
    </w:pPr>
    <w:rPr>
      <w:sz w:val="18"/>
    </w:rPr>
  </w:style>
  <w:style w:type="paragraph" w:customStyle="1" w:styleId="201">
    <w:name w:val="默认段落字体 Para Char Char Char Char Char Char Char"/>
    <w:basedOn w:val="1"/>
    <w:qFormat/>
    <w:uiPriority w:val="0"/>
    <w:rPr>
      <w:rFonts w:ascii="Tahoma" w:hAnsi="Tahoma" w:cs="Tahoma"/>
      <w:sz w:val="24"/>
    </w:rPr>
  </w:style>
  <w:style w:type="paragraph" w:customStyle="1" w:styleId="202">
    <w:name w:val="Normal_0_0_0"/>
    <w:next w:val="203"/>
    <w:qFormat/>
    <w:uiPriority w:val="0"/>
    <w:rPr>
      <w:rFonts w:ascii="黑体" w:hAnsi="黑体" w:eastAsia="黑体" w:cs="Times New Roman"/>
      <w:b/>
      <w:sz w:val="32"/>
      <w:szCs w:val="24"/>
      <w:lang w:val="en-US" w:eastAsia="zh-CN" w:bidi="ar-SA"/>
    </w:rPr>
  </w:style>
  <w:style w:type="paragraph" w:customStyle="1" w:styleId="203">
    <w:name w:val="Body Text_0_0"/>
    <w:basedOn w:val="202"/>
    <w:qFormat/>
    <w:uiPriority w:val="0"/>
  </w:style>
  <w:style w:type="paragraph" w:customStyle="1" w:styleId="204">
    <w:name w:val="p16"/>
    <w:basedOn w:val="1"/>
    <w:qFormat/>
    <w:uiPriority w:val="0"/>
    <w:pPr>
      <w:widowControl/>
      <w:ind w:left="840"/>
    </w:pPr>
    <w:rPr>
      <w:rFonts w:ascii="Calibri" w:hAnsi="Calibri" w:cs="宋体"/>
      <w:kern w:val="0"/>
      <w:szCs w:val="21"/>
    </w:rPr>
  </w:style>
  <w:style w:type="paragraph" w:customStyle="1" w:styleId="205">
    <w:name w:val="列出段落1"/>
    <w:basedOn w:val="1"/>
    <w:qFormat/>
    <w:uiPriority w:val="0"/>
    <w:pPr>
      <w:ind w:firstLine="420" w:firstLineChars="200"/>
    </w:pPr>
    <w:rPr>
      <w:szCs w:val="21"/>
    </w:rPr>
  </w:style>
  <w:style w:type="paragraph" w:customStyle="1" w:styleId="20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07">
    <w:name w:val="_Style 187"/>
    <w:qFormat/>
    <w:uiPriority w:val="0"/>
    <w:rPr>
      <w:rFonts w:ascii="Times New Roman" w:hAnsi="Times New Roman" w:eastAsia="宋体" w:cs="Times New Roman"/>
      <w:kern w:val="2"/>
      <w:sz w:val="21"/>
      <w:szCs w:val="24"/>
      <w:lang w:val="en-US" w:eastAsia="zh-CN" w:bidi="ar-SA"/>
    </w:rPr>
  </w:style>
  <w:style w:type="paragraph" w:customStyle="1" w:styleId="208">
    <w:name w:val="TOC Heading_80b4b059-6043-4ced-84c8-633785e85d71"/>
    <w:basedOn w:val="21"/>
    <w:next w:val="1"/>
    <w:qFormat/>
    <w:uiPriority w:val="0"/>
    <w:pPr>
      <w:spacing w:line="576" w:lineRule="auto"/>
      <w:outlineLvl w:val="9"/>
    </w:pPr>
    <w:rPr>
      <w:rFonts w:ascii="Calibri" w:hAnsi="Calibri"/>
    </w:rPr>
  </w:style>
  <w:style w:type="paragraph" w:customStyle="1" w:styleId="209">
    <w:name w:val="Normal Indent_65480e5d-1c1f-4019-a4de-a01c5d72a604"/>
    <w:basedOn w:val="1"/>
    <w:qFormat/>
    <w:uiPriority w:val="0"/>
    <w:pPr>
      <w:adjustRightInd w:val="0"/>
      <w:spacing w:line="360" w:lineRule="atLeast"/>
      <w:ind w:firstLine="482"/>
      <w:textAlignment w:val="baseline"/>
    </w:pPr>
    <w:rPr>
      <w:kern w:val="0"/>
      <w:sz w:val="24"/>
      <w:szCs w:val="20"/>
    </w:rPr>
  </w:style>
  <w:style w:type="paragraph" w:customStyle="1" w:styleId="210">
    <w:name w:val="Normal (Web)_6e908654-2cd6-42e5-884f-9ccabab4ff38"/>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211">
    <w:name w:val="Normal_91f5ccd1-4d50-4aa6-98dd-86d0aea467e7"/>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12">
    <w:name w:val="1"/>
    <w:basedOn w:val="1"/>
    <w:next w:val="1"/>
    <w:qFormat/>
    <w:uiPriority w:val="0"/>
  </w:style>
  <w:style w:type="paragraph" w:customStyle="1" w:styleId="213">
    <w:name w:val="_Style 193"/>
    <w:basedOn w:val="21"/>
    <w:next w:val="1"/>
    <w:qFormat/>
    <w:uiPriority w:val="0"/>
    <w:pPr>
      <w:spacing w:line="576" w:lineRule="auto"/>
      <w:outlineLvl w:val="9"/>
    </w:pPr>
    <w:rPr>
      <w:rFonts w:ascii="Calibri" w:hAnsi="Calibri"/>
    </w:rPr>
  </w:style>
  <w:style w:type="paragraph" w:customStyle="1" w:styleId="214">
    <w:name w:val="Body Text_c5f9c18c-6d16-4ff3-8f0d-bd372331eab4"/>
    <w:basedOn w:val="215"/>
    <w:qFormat/>
    <w:uiPriority w:val="0"/>
    <w:pPr>
      <w:jc w:val="left"/>
    </w:pPr>
  </w:style>
  <w:style w:type="paragraph" w:customStyle="1" w:styleId="215">
    <w:name w:val="Normal_0"/>
    <w:next w:val="2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6">
    <w:name w:val="Normal_0_0"/>
    <w:next w:val="2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7">
    <w:name w:val="Body Text First Indent"/>
    <w:basedOn w:val="178"/>
    <w:qFormat/>
    <w:uiPriority w:val="0"/>
    <w:pPr>
      <w:ind w:firstLine="420" w:firstLineChars="100"/>
    </w:pPr>
    <w:rPr>
      <w:rFonts w:ascii="Times New Roman" w:hAnsi="Times New Roman"/>
    </w:rPr>
  </w:style>
  <w:style w:type="paragraph" w:customStyle="1" w:styleId="218">
    <w:name w:val="列出段落2"/>
    <w:basedOn w:val="1"/>
    <w:qFormat/>
    <w:uiPriority w:val="0"/>
    <w:pPr>
      <w:ind w:firstLine="420" w:firstLineChars="200"/>
    </w:pPr>
    <w:rPr>
      <w:rFonts w:ascii="Calibri" w:hAnsi="Calibri"/>
      <w:szCs w:val="22"/>
    </w:rPr>
  </w:style>
  <w:style w:type="paragraph" w:customStyle="1" w:styleId="219">
    <w:name w:val="Char1"/>
    <w:basedOn w:val="1"/>
    <w:qFormat/>
    <w:uiPriority w:val="0"/>
  </w:style>
  <w:style w:type="paragraph" w:customStyle="1" w:styleId="22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2">
    <w:name w:val="样式 标题 1 + 黑体 三号 非加粗 居中 段前: 6 磅 段后: 6 磅 行距: 固定值 20 磅"/>
    <w:basedOn w:val="21"/>
    <w:qFormat/>
    <w:uiPriority w:val="0"/>
    <w:pPr>
      <w:spacing w:before="120" w:after="120" w:line="400" w:lineRule="exact"/>
    </w:pPr>
    <w:rPr>
      <w:rFonts w:ascii="黑体" w:hAnsi="黑体" w:cs="宋体"/>
      <w:b w:val="0"/>
      <w:bCs w:val="0"/>
      <w:szCs w:val="20"/>
    </w:rPr>
  </w:style>
  <w:style w:type="paragraph" w:customStyle="1" w:styleId="223">
    <w:name w:val="p0"/>
    <w:basedOn w:val="1"/>
    <w:qFormat/>
    <w:uiPriority w:val="0"/>
    <w:pPr>
      <w:widowControl/>
    </w:pPr>
    <w:rPr>
      <w:kern w:val="0"/>
      <w:szCs w:val="21"/>
    </w:rPr>
  </w:style>
  <w:style w:type="character" w:customStyle="1" w:styleId="224">
    <w:name w:val="标题 1 Char1"/>
    <w:link w:val="21"/>
    <w:qFormat/>
    <w:uiPriority w:val="0"/>
    <w:rPr>
      <w:rFonts w:eastAsia="黑体"/>
      <w:b/>
      <w:bCs/>
      <w:kern w:val="32"/>
      <w:sz w:val="32"/>
      <w:szCs w:val="44"/>
      <w:lang w:val="en-US" w:eastAsia="zh-CN" w:bidi="ar-SA"/>
    </w:rPr>
  </w:style>
  <w:style w:type="paragraph" w:customStyle="1" w:styleId="225">
    <w:name w:val="Table Text"/>
    <w:basedOn w:val="1"/>
    <w:qFormat/>
    <w:uiPriority w:val="0"/>
    <w:rPr>
      <w:rFonts w:ascii="宋体" w:hAnsi="宋体" w:cs="宋体"/>
      <w:sz w:val="24"/>
      <w:lang w:eastAsia="en-US"/>
    </w:rPr>
  </w:style>
  <w:style w:type="table" w:customStyle="1" w:styleId="226">
    <w:name w:val="Table Normal"/>
    <w:qFormat/>
    <w:uiPriority w:val="0"/>
    <w:tblPr>
      <w:tblCellMar>
        <w:top w:w="0" w:type="dxa"/>
        <w:left w:w="0" w:type="dxa"/>
        <w:bottom w:w="0" w:type="dxa"/>
        <w:right w:w="0" w:type="dxa"/>
      </w:tblCellMar>
    </w:tblPr>
  </w:style>
  <w:style w:type="character" w:customStyle="1" w:styleId="227">
    <w:name w:val="Char Char38"/>
    <w:qFormat/>
    <w:uiPriority w:val="0"/>
    <w:rPr>
      <w:kern w:val="2"/>
      <w:sz w:val="21"/>
      <w:szCs w:val="24"/>
    </w:rPr>
  </w:style>
  <w:style w:type="character" w:customStyle="1" w:styleId="228">
    <w:name w:val="Char Char41"/>
    <w:qFormat/>
    <w:uiPriority w:val="0"/>
    <w:rPr>
      <w:kern w:val="2"/>
      <w:sz w:val="21"/>
      <w:szCs w:val="24"/>
      <w:shd w:val="clear" w:color="auto" w:fill="000080"/>
    </w:rPr>
  </w:style>
  <w:style w:type="character" w:customStyle="1" w:styleId="229">
    <w:name w:val="font11"/>
    <w:basedOn w:val="65"/>
    <w:qFormat/>
    <w:uiPriority w:val="0"/>
    <w:rPr>
      <w:rFonts w:hint="eastAsia" w:ascii="宋体" w:hAnsi="宋体" w:eastAsia="宋体" w:cs="宋体"/>
      <w:color w:val="FF0000"/>
      <w:sz w:val="20"/>
      <w:szCs w:val="20"/>
      <w:u w:val="none"/>
    </w:rPr>
  </w:style>
  <w:style w:type="character" w:customStyle="1" w:styleId="230">
    <w:name w:val="font21"/>
    <w:basedOn w:val="6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6308f-bae3-46c1-ba73-5cf4c6b151cb}">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123</Pages>
  <Words>5199</Words>
  <Characters>5553</Characters>
  <Lines>0</Lines>
  <Paragraphs>3278</Paragraphs>
  <TotalTime>61</TotalTime>
  <ScaleCrop>false</ScaleCrop>
  <LinksUpToDate>false</LinksUpToDate>
  <CharactersWithSpaces>5657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2013-07-07T16:04:00Z</dcterms:created>
  <dc:creator>nice</dc:creator>
  <cp:lastModifiedBy>黄</cp:lastModifiedBy>
  <cp:lastPrinted>2025-06-24T02:50:09Z</cp:lastPrinted>
  <dcterms:modified xsi:type="dcterms:W3CDTF">2025-06-24T03:09:52Z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4A0DD4DC2B9A4AE79F30B835D69F9E91_13</vt:lpwstr>
  </property>
  <property fmtid="{D5CDD505-2E9C-101B-9397-08002B2CF9AE}" pid="4" name="KSOTemplateDocerSaveRecord">
    <vt:lpwstr>eyJoZGlkIjoiNjYzODNjMGI2OGMwMmM2YzkyODdiNmY1OTY5ZGEzZmEiLCJ1c2VySWQiOiIxOTI4MzE0MDUifQ==</vt:lpwstr>
  </property>
</Properties>
</file>