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ED510">
      <w:pPr>
        <w:pStyle w:val="2"/>
        <w:jc w:val="center"/>
        <w:rPr>
          <w:rFonts w:hint="default" w:eastAsia="仿宋_GB2312"/>
          <w:b/>
          <w:bCs/>
          <w:sz w:val="32"/>
          <w:szCs w:val="32"/>
          <w:lang w:val="en-US"/>
        </w:rPr>
      </w:pPr>
      <w:r>
        <w:rPr>
          <w:rFonts w:hint="eastAsia"/>
          <w:b/>
          <w:sz w:val="32"/>
          <w:szCs w:val="32"/>
          <w:lang w:val="en-US" w:eastAsia="zh-CN"/>
        </w:rPr>
        <w:t>住院医师规范化培训综合管理系统参数及评分表</w:t>
      </w:r>
    </w:p>
    <w:p w14:paraId="4CE4BE49">
      <w:pPr>
        <w:pStyle w:val="2"/>
        <w:jc w:val="center"/>
        <w:rPr>
          <w:rFonts w:eastAsia="仿宋_GB2312"/>
          <w:b/>
          <w:bCs/>
          <w:sz w:val="32"/>
        </w:rPr>
      </w:pPr>
    </w:p>
    <w:p w14:paraId="168FDAF1">
      <w:pPr>
        <w:numPr>
          <w:ilvl w:val="0"/>
          <w:numId w:val="1"/>
        </w:numPr>
        <w:adjustRightInd w:val="0"/>
        <w:spacing w:line="360" w:lineRule="auto"/>
        <w:ind w:left="900" w:leftChars="0" w:hanging="720" w:firstLineChars="0"/>
        <w:jc w:val="left"/>
        <w:textAlignment w:val="baseline"/>
        <w:rPr>
          <w:rFonts w:hint="eastAsia" w:ascii="宋体" w:hAnsi="宋体" w:eastAsia="宋体" w:cs="宋体"/>
          <w:b/>
          <w:bCs/>
          <w:sz w:val="24"/>
        </w:rPr>
      </w:pPr>
      <w:r>
        <w:rPr>
          <w:rFonts w:hint="eastAsia" w:ascii="宋体" w:hAnsi="宋体" w:eastAsia="宋体" w:cs="宋体"/>
          <w:b/>
          <w:bCs/>
          <w:sz w:val="24"/>
        </w:rPr>
        <w:t>项目背景/或总体要求</w:t>
      </w:r>
    </w:p>
    <w:p w14:paraId="457FCD4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1" w:after="0" w:afterAutospacing="1" w:line="360" w:lineRule="auto"/>
        <w:ind w:left="-363" w:leftChars="0" w:firstLine="283" w:firstLineChars="0"/>
        <w:textAlignment w:val="auto"/>
        <w:rPr>
          <w:rFonts w:hint="eastAsia" w:ascii="宋体" w:hAnsi="宋体" w:cs="宋体"/>
          <w:sz w:val="24"/>
          <w:szCs w:val="24"/>
          <w:lang w:val="en-US" w:eastAsia="zh-CN"/>
        </w:rPr>
      </w:pPr>
      <w:bookmarkStart w:id="0" w:name="_Toc441065661"/>
      <w:bookmarkStart w:id="1" w:name="_Toc31343"/>
      <w:bookmarkStart w:id="2" w:name="_Toc521065583"/>
      <w:r>
        <w:rPr>
          <w:rFonts w:hint="eastAsia" w:ascii="宋体" w:hAnsi="宋体" w:cs="宋体"/>
          <w:sz w:val="24"/>
          <w:szCs w:val="24"/>
        </w:rPr>
        <w:t>为满足住院医师各种考试需要，实现住院医师各类考试的考务管理、在线考试和考试结果登记等功能，分析住院医师对本专业基本理论、基本知识、基本技能的掌握程度和临床能力，检验各培训基地的管理工作、教学质量等情况为主要目的。医院拟采购住院医师规范化培训考试系统。</w:t>
      </w:r>
      <w:r>
        <w:rPr>
          <w:rFonts w:hint="eastAsia" w:ascii="宋体" w:hAnsi="宋体" w:cs="宋体"/>
          <w:sz w:val="24"/>
          <w:szCs w:val="24"/>
        </w:rPr>
        <w:br w:type="textWrapping"/>
      </w:r>
      <w:r>
        <w:rPr>
          <w:rFonts w:hint="eastAsia" w:ascii="宋体" w:hAnsi="宋体" w:cs="宋体"/>
          <w:sz w:val="24"/>
          <w:szCs w:val="24"/>
          <w:lang w:val="en-US" w:eastAsia="zh-CN"/>
        </w:rPr>
        <w:tab/>
      </w:r>
      <w:r>
        <w:rPr>
          <w:rFonts w:hint="eastAsia" w:ascii="宋体" w:hAnsi="宋体" w:cs="宋体"/>
          <w:sz w:val="24"/>
          <w:szCs w:val="24"/>
          <w:lang w:val="en-US" w:eastAsia="zh-CN"/>
        </w:rPr>
        <w:t>为满足在住院医师规范化培训中，提高住院医师规范化培训质量、推广有效的临床教学评估手段提供依据。主要是从与住院医师工作相处密切的上级医师、同级医师、护士及患者等不同角度对住院医师的工作行为表现进行评估，且与住院医师工作相处密切的对科室、专业基地、培训基地等，可以让</w:t>
      </w:r>
      <w:r>
        <w:rPr>
          <w:rFonts w:hint="eastAsia" w:ascii="宋体" w:hAnsi="宋体" w:cs="宋体"/>
          <w:sz w:val="24"/>
          <w:szCs w:val="24"/>
          <w:lang w:val="en-US" w:eastAsia="zh-Hans"/>
        </w:rPr>
        <w:t>管理者能够清晰的知道</w:t>
      </w:r>
      <w:r>
        <w:rPr>
          <w:rFonts w:hint="eastAsia" w:ascii="宋体" w:hAnsi="宋体" w:cs="宋体"/>
          <w:sz w:val="24"/>
          <w:szCs w:val="24"/>
          <w:lang w:val="en-US" w:eastAsia="zh-CN"/>
        </w:rPr>
        <w:t>培训质量进行评估。并通过分析和反馈，促使其改进提高的一种评价方式。以360度评估为主的综合评估体系对提高和保障住培质量有重要意义。根据中国医师协会《住院医师规范化培训360度评估指南(2022年版)》文件明确指出：评价人数较多时，应充分利用信息化的评估方式。</w:t>
      </w:r>
      <w:r>
        <w:rPr>
          <w:rFonts w:hint="eastAsia" w:ascii="宋体" w:hAnsi="宋体" w:cs="宋体"/>
          <w:sz w:val="24"/>
          <w:szCs w:val="24"/>
        </w:rPr>
        <w:t>医院拟采购住院医师规范化培训</w:t>
      </w:r>
      <w:r>
        <w:rPr>
          <w:rFonts w:hint="eastAsia" w:ascii="宋体" w:hAnsi="宋体" w:cs="宋体"/>
          <w:sz w:val="24"/>
          <w:szCs w:val="24"/>
          <w:lang w:val="en-US" w:eastAsia="zh-CN"/>
        </w:rPr>
        <w:t>360评估</w:t>
      </w:r>
      <w:r>
        <w:rPr>
          <w:rFonts w:hint="eastAsia" w:ascii="宋体" w:hAnsi="宋体" w:cs="宋体"/>
          <w:sz w:val="24"/>
          <w:szCs w:val="24"/>
        </w:rPr>
        <w:t>系统。医院拟采购住院医师规范化培训</w:t>
      </w:r>
      <w:r>
        <w:rPr>
          <w:rFonts w:hint="eastAsia" w:ascii="宋体" w:hAnsi="宋体" w:cs="宋体"/>
          <w:sz w:val="24"/>
          <w:szCs w:val="24"/>
          <w:lang w:val="en-US" w:eastAsia="zh-CN"/>
        </w:rPr>
        <w:t>360评估</w:t>
      </w:r>
      <w:r>
        <w:rPr>
          <w:rFonts w:hint="eastAsia" w:ascii="宋体" w:hAnsi="宋体" w:cs="宋体"/>
          <w:sz w:val="24"/>
          <w:szCs w:val="24"/>
        </w:rPr>
        <w:t>系统。</w:t>
      </w:r>
      <w:r>
        <w:rPr>
          <w:rFonts w:hint="eastAsia" w:ascii="宋体" w:hAnsi="宋体" w:cs="宋体"/>
          <w:sz w:val="24"/>
          <w:szCs w:val="24"/>
        </w:rPr>
        <w:br w:type="textWrapping"/>
      </w:r>
      <w:r>
        <w:rPr>
          <w:rFonts w:hint="eastAsia" w:ascii="宋体" w:hAnsi="宋体" w:cs="宋体"/>
          <w:sz w:val="24"/>
          <w:szCs w:val="24"/>
          <w:lang w:val="en-US" w:eastAsia="zh-CN"/>
        </w:rPr>
        <w:tab/>
      </w:r>
      <w:r>
        <w:rPr>
          <w:rFonts w:hint="eastAsia" w:ascii="宋体" w:hAnsi="宋体" w:cs="宋体"/>
          <w:sz w:val="24"/>
          <w:szCs w:val="24"/>
          <w:lang w:val="en-US" w:eastAsia="zh-CN"/>
        </w:rPr>
        <w:t>为贯彻落实《中共中央办公厅关于解决形式主义突出问题为基层减负的通知》《国务既办公厅关于深化医教协同进一步推进医学教育改革与发展的意见》和7部门《关于建立住院医师规范化培训制度的指导意见》等文件精神，进一步加强住院医师规范化培训《以下简称“住培”信息化建设，提高住培管理效率，减轻医务人员负担。</w:t>
      </w:r>
      <w:r>
        <w:rPr>
          <w:rFonts w:hint="eastAsia" w:ascii="宋体" w:hAnsi="宋体" w:cs="宋体"/>
          <w:sz w:val="24"/>
          <w:szCs w:val="24"/>
        </w:rPr>
        <w:t>医院拟采购住院医师规范化培训</w:t>
      </w:r>
      <w:r>
        <w:rPr>
          <w:rFonts w:hint="eastAsia" w:ascii="宋体" w:hAnsi="宋体" w:cs="宋体"/>
          <w:sz w:val="24"/>
          <w:szCs w:val="24"/>
          <w:lang w:val="en-US" w:eastAsia="zh-CN"/>
        </w:rPr>
        <w:t>临床教学管理</w:t>
      </w:r>
      <w:r>
        <w:rPr>
          <w:rFonts w:hint="eastAsia" w:ascii="宋体" w:hAnsi="宋体" w:cs="宋体"/>
          <w:sz w:val="24"/>
          <w:szCs w:val="24"/>
        </w:rPr>
        <w:t>系统。</w:t>
      </w:r>
    </w:p>
    <w:p w14:paraId="7DA59C13">
      <w:pPr>
        <w:adjustRightInd w:val="0"/>
        <w:spacing w:line="360" w:lineRule="auto"/>
        <w:ind w:left="180" w:firstLine="418"/>
        <w:jc w:val="left"/>
        <w:textAlignment w:val="baseline"/>
        <w:rPr>
          <w:rFonts w:ascii="??" w:hAnsi="??"/>
          <w:b/>
          <w:bCs/>
          <w:sz w:val="24"/>
        </w:rPr>
      </w:pPr>
      <w:r>
        <w:rPr>
          <w:rFonts w:hint="eastAsia" w:ascii="??" w:hAnsi="??"/>
          <w:b/>
          <w:bCs/>
          <w:sz w:val="24"/>
        </w:rPr>
        <w:t>招标项目一览表</w:t>
      </w:r>
      <w:bookmarkEnd w:id="0"/>
      <w:r>
        <w:rPr>
          <w:rFonts w:hint="eastAsia" w:ascii="??" w:hAnsi="??"/>
          <w:b/>
          <w:bCs/>
          <w:sz w:val="24"/>
        </w:rPr>
        <w:t>：</w:t>
      </w:r>
      <w:bookmarkEnd w:id="1"/>
      <w:bookmarkEnd w:id="2"/>
    </w:p>
    <w:tbl>
      <w:tblPr>
        <w:tblStyle w:val="9"/>
        <w:tblW w:w="889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616"/>
        <w:gridCol w:w="6400"/>
        <w:gridCol w:w="881"/>
      </w:tblGrid>
      <w:tr w14:paraId="57D329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773" w:hRule="atLeast"/>
        </w:trPr>
        <w:tc>
          <w:tcPr>
            <w:tcW w:w="1616" w:type="dxa"/>
            <w:tcMar>
              <w:top w:w="0" w:type="dxa"/>
              <w:left w:w="108" w:type="dxa"/>
              <w:bottom w:w="0" w:type="dxa"/>
              <w:right w:w="108" w:type="dxa"/>
            </w:tcMar>
            <w:vAlign w:val="center"/>
          </w:tcPr>
          <w:p w14:paraId="59CF1E30">
            <w:pPr>
              <w:widowControl/>
              <w:spacing w:line="420" w:lineRule="exact"/>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项目名称</w:t>
            </w:r>
          </w:p>
        </w:tc>
        <w:tc>
          <w:tcPr>
            <w:tcW w:w="6400" w:type="dxa"/>
            <w:tcMar>
              <w:top w:w="0" w:type="dxa"/>
              <w:left w:w="108" w:type="dxa"/>
              <w:bottom w:w="0" w:type="dxa"/>
              <w:right w:w="108" w:type="dxa"/>
            </w:tcMar>
            <w:vAlign w:val="center"/>
          </w:tcPr>
          <w:p w14:paraId="51489E0E">
            <w:pPr>
              <w:widowControl/>
              <w:spacing w:line="420" w:lineRule="exact"/>
              <w:jc w:val="center"/>
              <w:rPr>
                <w:rFonts w:hint="eastAsia" w:ascii="宋体" w:hAnsi="宋体" w:eastAsia="宋体" w:cs="宋体"/>
                <w:b/>
                <w:sz w:val="24"/>
                <w:szCs w:val="24"/>
              </w:rPr>
            </w:pPr>
            <w:r>
              <w:rPr>
                <w:rFonts w:hint="eastAsia" w:ascii="宋体" w:hAnsi="宋体" w:eastAsia="宋体" w:cs="宋体"/>
                <w:b/>
                <w:sz w:val="24"/>
                <w:szCs w:val="24"/>
              </w:rPr>
              <w:t>系统描述</w:t>
            </w:r>
          </w:p>
        </w:tc>
        <w:tc>
          <w:tcPr>
            <w:tcW w:w="881" w:type="dxa"/>
            <w:tcMar>
              <w:top w:w="0" w:type="dxa"/>
              <w:left w:w="108" w:type="dxa"/>
              <w:bottom w:w="0" w:type="dxa"/>
              <w:right w:w="108" w:type="dxa"/>
            </w:tcMar>
            <w:vAlign w:val="center"/>
          </w:tcPr>
          <w:p w14:paraId="08980649">
            <w:pPr>
              <w:widowControl/>
              <w:spacing w:line="420" w:lineRule="exact"/>
              <w:jc w:val="center"/>
              <w:rPr>
                <w:rFonts w:hint="eastAsia" w:ascii="宋体" w:hAnsi="宋体" w:eastAsia="宋体" w:cs="宋体"/>
                <w:b/>
                <w:sz w:val="24"/>
                <w:szCs w:val="24"/>
              </w:rPr>
            </w:pPr>
            <w:r>
              <w:rPr>
                <w:rFonts w:hint="eastAsia" w:ascii="宋体" w:hAnsi="宋体" w:eastAsia="宋体" w:cs="宋体"/>
                <w:b/>
                <w:sz w:val="24"/>
                <w:szCs w:val="24"/>
              </w:rPr>
              <w:t>数量</w:t>
            </w:r>
          </w:p>
        </w:tc>
      </w:tr>
      <w:tr w14:paraId="46CB72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773" w:hRule="atLeast"/>
        </w:trPr>
        <w:tc>
          <w:tcPr>
            <w:tcW w:w="1616" w:type="dxa"/>
            <w:tcMar>
              <w:top w:w="0" w:type="dxa"/>
              <w:left w:w="108" w:type="dxa"/>
              <w:bottom w:w="0" w:type="dxa"/>
              <w:right w:w="108" w:type="dxa"/>
            </w:tcMar>
            <w:vAlign w:val="center"/>
          </w:tcPr>
          <w:p w14:paraId="008C1DFD">
            <w:pPr>
              <w:widowControl/>
              <w:jc w:val="left"/>
              <w:rPr>
                <w:rFonts w:hint="eastAsia" w:ascii="宋体" w:hAnsi="宋体" w:eastAsia="宋体" w:cs="宋体"/>
                <w:sz w:val="24"/>
                <w:szCs w:val="24"/>
              </w:rPr>
            </w:pPr>
            <w:r>
              <w:rPr>
                <w:rFonts w:hint="eastAsia" w:ascii="宋体" w:hAnsi="宋体" w:eastAsia="宋体" w:cs="宋体"/>
                <w:sz w:val="24"/>
                <w:szCs w:val="24"/>
              </w:rPr>
              <w:t>医学考试系统</w:t>
            </w:r>
          </w:p>
        </w:tc>
        <w:tc>
          <w:tcPr>
            <w:tcW w:w="6400" w:type="dxa"/>
            <w:tcMar>
              <w:top w:w="0" w:type="dxa"/>
              <w:left w:w="108" w:type="dxa"/>
              <w:bottom w:w="0" w:type="dxa"/>
              <w:right w:w="108" w:type="dxa"/>
            </w:tcMar>
            <w:vAlign w:val="center"/>
          </w:tcPr>
          <w:p w14:paraId="27E7FACA">
            <w:pPr>
              <w:widowControl/>
              <w:spacing w:line="420" w:lineRule="exact"/>
              <w:contextualSpacing/>
              <w:rPr>
                <w:rFonts w:hint="eastAsia" w:ascii="宋体" w:hAnsi="宋体" w:eastAsia="宋体" w:cs="宋体"/>
                <w:sz w:val="24"/>
                <w:szCs w:val="24"/>
              </w:rPr>
            </w:pPr>
            <w:r>
              <w:rPr>
                <w:rFonts w:hint="eastAsia" w:ascii="宋体" w:hAnsi="宋体" w:eastAsia="宋体" w:cs="宋体"/>
                <w:sz w:val="24"/>
                <w:szCs w:val="24"/>
              </w:rPr>
              <w:t>考试系统（PC端、移动端）</w:t>
            </w:r>
          </w:p>
          <w:p w14:paraId="14417A35">
            <w:pPr>
              <w:widowControl/>
              <w:spacing w:line="420" w:lineRule="exact"/>
              <w:rPr>
                <w:rFonts w:hint="eastAsia" w:ascii="宋体" w:hAnsi="宋体" w:eastAsia="宋体" w:cs="宋体"/>
                <w:sz w:val="24"/>
                <w:szCs w:val="24"/>
                <w:lang w:val="en-US" w:eastAsia="zh-CN"/>
              </w:rPr>
            </w:pPr>
            <w:r>
              <w:rPr>
                <w:rFonts w:hint="eastAsia" w:ascii="宋体" w:hAnsi="宋体" w:eastAsia="宋体" w:cs="宋体"/>
                <w:sz w:val="24"/>
                <w:szCs w:val="24"/>
              </w:rPr>
              <w:t>题库包括：住培考核题库、</w:t>
            </w:r>
            <w:r>
              <w:rPr>
                <w:rFonts w:hint="eastAsia" w:ascii="宋体" w:hAnsi="宋体" w:eastAsia="宋体" w:cs="宋体"/>
                <w:sz w:val="24"/>
                <w:szCs w:val="24"/>
                <w:lang w:val="en-US" w:eastAsia="zh-CN"/>
              </w:rPr>
              <w:t>执医</w:t>
            </w:r>
            <w:r>
              <w:rPr>
                <w:rFonts w:hint="eastAsia" w:ascii="宋体" w:hAnsi="宋体" w:eastAsia="宋体" w:cs="宋体"/>
                <w:sz w:val="24"/>
                <w:szCs w:val="24"/>
              </w:rPr>
              <w:t>题库</w:t>
            </w:r>
          </w:p>
        </w:tc>
        <w:tc>
          <w:tcPr>
            <w:tcW w:w="881" w:type="dxa"/>
            <w:tcMar>
              <w:top w:w="0" w:type="dxa"/>
              <w:left w:w="108" w:type="dxa"/>
              <w:bottom w:w="0" w:type="dxa"/>
              <w:right w:w="108" w:type="dxa"/>
            </w:tcMar>
            <w:vAlign w:val="center"/>
          </w:tcPr>
          <w:p w14:paraId="3BAA80DD">
            <w:pPr>
              <w:widowControl/>
              <w:spacing w:line="420" w:lineRule="exact"/>
              <w:jc w:val="center"/>
              <w:rPr>
                <w:rFonts w:hint="eastAsia" w:ascii="宋体" w:hAnsi="宋体" w:eastAsia="宋体" w:cs="宋体"/>
                <w:sz w:val="24"/>
                <w:szCs w:val="24"/>
              </w:rPr>
            </w:pPr>
            <w:r>
              <w:rPr>
                <w:rFonts w:hint="eastAsia" w:ascii="宋体" w:hAnsi="宋体" w:eastAsia="宋体" w:cs="宋体"/>
                <w:sz w:val="24"/>
                <w:szCs w:val="24"/>
              </w:rPr>
              <w:t>1套</w:t>
            </w:r>
          </w:p>
        </w:tc>
      </w:tr>
      <w:tr w14:paraId="218E19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773" w:hRule="atLeast"/>
        </w:trPr>
        <w:tc>
          <w:tcPr>
            <w:tcW w:w="1616" w:type="dxa"/>
            <w:tcMar>
              <w:top w:w="0" w:type="dxa"/>
              <w:left w:w="108" w:type="dxa"/>
              <w:bottom w:w="0" w:type="dxa"/>
              <w:right w:w="108" w:type="dxa"/>
            </w:tcMar>
            <w:vAlign w:val="center"/>
          </w:tcPr>
          <w:p w14:paraId="076D3834">
            <w:pPr>
              <w:widowControl/>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360评估系统</w:t>
            </w:r>
          </w:p>
        </w:tc>
        <w:tc>
          <w:tcPr>
            <w:tcW w:w="6400" w:type="dxa"/>
            <w:tcMar>
              <w:top w:w="0" w:type="dxa"/>
              <w:left w:w="108" w:type="dxa"/>
              <w:bottom w:w="0" w:type="dxa"/>
              <w:right w:w="108" w:type="dxa"/>
            </w:tcMar>
            <w:vAlign w:val="center"/>
          </w:tcPr>
          <w:p w14:paraId="49D4EB28">
            <w:pPr>
              <w:widowControl/>
              <w:spacing w:line="420" w:lineRule="exact"/>
              <w:rPr>
                <w:rFonts w:hint="eastAsia" w:ascii="宋体" w:hAnsi="宋体" w:eastAsia="宋体" w:cs="宋体"/>
                <w:sz w:val="24"/>
                <w:szCs w:val="24"/>
              </w:rPr>
            </w:pPr>
            <w:r>
              <w:rPr>
                <w:rFonts w:hint="eastAsia" w:ascii="宋体" w:hAnsi="宋体" w:eastAsia="宋体" w:cs="宋体"/>
                <w:sz w:val="24"/>
                <w:szCs w:val="24"/>
                <w:lang w:val="en-US" w:eastAsia="zh-CN"/>
              </w:rPr>
              <w:t>360度评估系统（PC端、移动端）</w:t>
            </w:r>
          </w:p>
        </w:tc>
        <w:tc>
          <w:tcPr>
            <w:tcW w:w="881" w:type="dxa"/>
            <w:tcMar>
              <w:top w:w="0" w:type="dxa"/>
              <w:left w:w="108" w:type="dxa"/>
              <w:bottom w:w="0" w:type="dxa"/>
              <w:right w:w="108" w:type="dxa"/>
            </w:tcMar>
            <w:vAlign w:val="center"/>
          </w:tcPr>
          <w:p w14:paraId="6CEEE44F">
            <w:pPr>
              <w:widowControl/>
              <w:spacing w:line="4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1套</w:t>
            </w:r>
          </w:p>
        </w:tc>
      </w:tr>
      <w:tr w14:paraId="42E8CF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773" w:hRule="atLeast"/>
        </w:trPr>
        <w:tc>
          <w:tcPr>
            <w:tcW w:w="1616" w:type="dxa"/>
            <w:tcMar>
              <w:top w:w="0" w:type="dxa"/>
              <w:left w:w="108" w:type="dxa"/>
              <w:bottom w:w="0" w:type="dxa"/>
              <w:right w:w="108" w:type="dxa"/>
            </w:tcMar>
            <w:vAlign w:val="center"/>
          </w:tcPr>
          <w:p w14:paraId="0C6B017E">
            <w:pPr>
              <w:widowControl/>
              <w:jc w:val="center"/>
              <w:rPr>
                <w:rFonts w:hint="eastAsia" w:ascii="宋体" w:hAnsi="宋体" w:eastAsia="宋体" w:cs="宋体"/>
                <w:sz w:val="24"/>
                <w:szCs w:val="24"/>
              </w:rPr>
            </w:pPr>
            <w:r>
              <w:rPr>
                <w:rFonts w:hint="eastAsia" w:ascii="宋体" w:hAnsi="宋体" w:eastAsia="宋体" w:cs="宋体"/>
                <w:sz w:val="24"/>
                <w:szCs w:val="24"/>
                <w:lang w:val="en-US" w:eastAsia="zh-CN"/>
              </w:rPr>
              <w:t>住院医师规范化培训教学管理系统</w:t>
            </w:r>
          </w:p>
        </w:tc>
        <w:tc>
          <w:tcPr>
            <w:tcW w:w="6400" w:type="dxa"/>
            <w:tcMar>
              <w:top w:w="0" w:type="dxa"/>
              <w:left w:w="108" w:type="dxa"/>
              <w:bottom w:w="0" w:type="dxa"/>
              <w:right w:w="108" w:type="dxa"/>
            </w:tcMar>
            <w:vAlign w:val="center"/>
          </w:tcPr>
          <w:p w14:paraId="5B0E389A">
            <w:pPr>
              <w:widowControl/>
              <w:spacing w:line="42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临床教学管理系统（PC端、移动端）</w:t>
            </w:r>
          </w:p>
        </w:tc>
        <w:tc>
          <w:tcPr>
            <w:tcW w:w="881" w:type="dxa"/>
            <w:tcMar>
              <w:top w:w="0" w:type="dxa"/>
              <w:left w:w="108" w:type="dxa"/>
              <w:bottom w:w="0" w:type="dxa"/>
              <w:right w:w="108" w:type="dxa"/>
            </w:tcMar>
            <w:vAlign w:val="center"/>
          </w:tcPr>
          <w:p w14:paraId="03198AE6">
            <w:pPr>
              <w:widowControl/>
              <w:spacing w:line="42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1套</w:t>
            </w:r>
          </w:p>
        </w:tc>
      </w:tr>
    </w:tbl>
    <w:p w14:paraId="78175621"/>
    <w:p w14:paraId="16332967">
      <w:pPr>
        <w:pStyle w:val="7"/>
        <w:numPr>
          <w:ilvl w:val="0"/>
          <w:numId w:val="1"/>
        </w:numPr>
        <w:ind w:left="0" w:leftChars="0" w:firstLineChars="0"/>
        <w:rPr>
          <w:rFonts w:ascii="宋体" w:hAnsi="宋体"/>
          <w:b/>
          <w:bCs/>
          <w:sz w:val="24"/>
        </w:rPr>
      </w:pPr>
      <w:r>
        <w:rPr>
          <w:rFonts w:hint="eastAsia" w:ascii="宋体" w:hAnsi="宋体"/>
          <w:b/>
          <w:bCs/>
          <w:sz w:val="24"/>
        </w:rPr>
        <w:t>技术要求（技术指标、参数）</w:t>
      </w:r>
    </w:p>
    <w:p w14:paraId="2AB49896">
      <w:pPr>
        <w:pStyle w:val="3"/>
        <w:bidi w:val="0"/>
        <w:rPr>
          <w:rFonts w:hint="eastAsia" w:ascii="宋体" w:hAnsi="宋体" w:eastAsia="宋体" w:cs="宋体"/>
          <w:sz w:val="28"/>
          <w:szCs w:val="28"/>
        </w:rPr>
      </w:pPr>
      <w:r>
        <w:rPr>
          <w:rFonts w:hint="eastAsia" w:ascii="宋体" w:hAnsi="宋体" w:eastAsia="宋体" w:cs="宋体"/>
          <w:sz w:val="28"/>
          <w:szCs w:val="28"/>
          <w:lang w:val="en-US" w:eastAsia="zh-CN"/>
        </w:rPr>
        <w:t>1、医学考试系统</w:t>
      </w:r>
    </w:p>
    <w:tbl>
      <w:tblPr>
        <w:tblStyle w:val="9"/>
        <w:tblW w:w="835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274"/>
        <w:gridCol w:w="6097"/>
      </w:tblGrid>
      <w:tr w14:paraId="2340C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14:paraId="028CE95D">
            <w:pP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b/>
                <w:color w:val="auto"/>
                <w:sz w:val="21"/>
                <w:szCs w:val="21"/>
              </w:rPr>
              <w:t>分类</w:t>
            </w:r>
          </w:p>
        </w:tc>
        <w:tc>
          <w:tcPr>
            <w:tcW w:w="1274" w:type="dxa"/>
            <w:shd w:val="clear" w:color="auto" w:fill="auto"/>
          </w:tcPr>
          <w:p w14:paraId="32F8861E">
            <w:pPr>
              <w:spacing w:line="276" w:lineRule="auto"/>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功能模块</w:t>
            </w:r>
          </w:p>
        </w:tc>
        <w:tc>
          <w:tcPr>
            <w:tcW w:w="6097" w:type="dxa"/>
            <w:shd w:val="clear" w:color="auto" w:fill="auto"/>
          </w:tcPr>
          <w:p w14:paraId="75B83C1A">
            <w:pPr>
              <w:spacing w:line="276" w:lineRule="auto"/>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功能描述</w:t>
            </w:r>
          </w:p>
        </w:tc>
      </w:tr>
      <w:tr w14:paraId="3B540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restart"/>
            <w:shd w:val="clear" w:color="auto" w:fill="auto"/>
            <w:vAlign w:val="center"/>
          </w:tcPr>
          <w:p w14:paraId="5FFDB54C">
            <w:pPr>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系统</w:t>
            </w:r>
          </w:p>
        </w:tc>
        <w:tc>
          <w:tcPr>
            <w:tcW w:w="1274" w:type="dxa"/>
            <w:shd w:val="clear" w:color="auto" w:fill="auto"/>
            <w:vAlign w:val="center"/>
          </w:tcPr>
          <w:p w14:paraId="398699EF">
            <w:pPr>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整体介绍</w:t>
            </w:r>
          </w:p>
        </w:tc>
        <w:tc>
          <w:tcPr>
            <w:tcW w:w="6097" w:type="dxa"/>
            <w:shd w:val="clear" w:color="auto" w:fill="auto"/>
          </w:tcPr>
          <w:p w14:paraId="44789661">
            <w:pPr>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系统包含：题库、考试系统两大系统，其中考试系统同时包含教师PC Web端、考生PC端（Web端、客户端）、考生移动端。</w:t>
            </w:r>
          </w:p>
        </w:tc>
      </w:tr>
      <w:tr w14:paraId="71B26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shd w:val="clear" w:color="auto" w:fill="auto"/>
            <w:vAlign w:val="center"/>
          </w:tcPr>
          <w:p w14:paraId="59E1961A">
            <w:pPr>
              <w:spacing w:line="276" w:lineRule="auto"/>
              <w:rPr>
                <w:rFonts w:hint="eastAsia" w:asciiTheme="minorEastAsia" w:hAnsiTheme="minorEastAsia" w:eastAsiaTheme="minorEastAsia" w:cstheme="minorEastAsia"/>
                <w:color w:val="auto"/>
                <w:sz w:val="21"/>
                <w:szCs w:val="21"/>
              </w:rPr>
            </w:pPr>
          </w:p>
        </w:tc>
        <w:tc>
          <w:tcPr>
            <w:tcW w:w="1274" w:type="dxa"/>
            <w:shd w:val="clear" w:color="auto" w:fill="auto"/>
            <w:vAlign w:val="center"/>
          </w:tcPr>
          <w:p w14:paraId="721FEDE2">
            <w:pPr>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系统特点</w:t>
            </w:r>
          </w:p>
        </w:tc>
        <w:tc>
          <w:tcPr>
            <w:tcW w:w="6097" w:type="dxa"/>
            <w:shd w:val="clear" w:color="auto" w:fill="auto"/>
          </w:tcPr>
          <w:p w14:paraId="3969E052">
            <w:pPr>
              <w:pStyle w:val="13"/>
              <w:numPr>
                <w:ilvl w:val="0"/>
                <w:numId w:val="2"/>
              </w:numPr>
              <w:spacing w:line="276" w:lineRule="auto"/>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服务模式：基于B/S框架结构，提供云服务模式。</w:t>
            </w:r>
          </w:p>
          <w:p w14:paraId="4027BD4A">
            <w:pPr>
              <w:pStyle w:val="13"/>
              <w:numPr>
                <w:ilvl w:val="0"/>
                <w:numId w:val="2"/>
              </w:numPr>
              <w:spacing w:line="276" w:lineRule="auto"/>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系统性能：峰值并发处理能力1000个并发数以上，响应时间不超过5秒。支持10万人的同时联网运行。</w:t>
            </w:r>
          </w:p>
          <w:p w14:paraId="277D12F4">
            <w:pPr>
              <w:pStyle w:val="13"/>
              <w:numPr>
                <w:ilvl w:val="0"/>
                <w:numId w:val="2"/>
              </w:numPr>
              <w:spacing w:line="276" w:lineRule="auto"/>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开发技术：医学考试系统V5.0采用行业中比较流行的主流技术微服务架构。管理前端采用行业中比较流行的主流技术MEAN架构。考生前端采用行业中比较流行的主流技术AR（Angular、React）架构，终端用户采用B/S结构的操作模式和app使用模式。</w:t>
            </w:r>
          </w:p>
        </w:tc>
      </w:tr>
      <w:tr w14:paraId="6BCF5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restart"/>
            <w:shd w:val="clear" w:color="auto" w:fill="auto"/>
            <w:vAlign w:val="center"/>
          </w:tcPr>
          <w:p w14:paraId="1E2BFBEA">
            <w:pPr>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题库</w:t>
            </w:r>
          </w:p>
        </w:tc>
        <w:tc>
          <w:tcPr>
            <w:tcW w:w="1274" w:type="dxa"/>
            <w:shd w:val="clear" w:color="auto" w:fill="auto"/>
            <w:vAlign w:val="center"/>
          </w:tcPr>
          <w:p w14:paraId="04464303">
            <w:pPr>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题库分类及数量</w:t>
            </w:r>
          </w:p>
        </w:tc>
        <w:tc>
          <w:tcPr>
            <w:tcW w:w="6097" w:type="dxa"/>
            <w:shd w:val="clear" w:color="auto" w:fill="auto"/>
          </w:tcPr>
          <w:p w14:paraId="7C870D84">
            <w:pPr>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题库包括</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住培考核、执业医师，总题量不少于</w:t>
            </w:r>
            <w:r>
              <w:rPr>
                <w:rFonts w:hint="eastAsia" w:asciiTheme="minorEastAsia" w:hAnsiTheme="minorEastAsia" w:eastAsiaTheme="minorEastAsia" w:cstheme="minorEastAsia"/>
                <w:sz w:val="21"/>
                <w:szCs w:val="21"/>
                <w:lang w:val="en-US" w:eastAsia="zh-CN"/>
              </w:rPr>
              <w:t>100</w:t>
            </w:r>
            <w:r>
              <w:rPr>
                <w:rFonts w:hint="eastAsia" w:asciiTheme="minorEastAsia" w:hAnsiTheme="minorEastAsia" w:eastAsiaTheme="minorEastAsia" w:cstheme="minorEastAsia"/>
                <w:sz w:val="21"/>
                <w:szCs w:val="21"/>
              </w:rPr>
              <w:t>万道。</w:t>
            </w:r>
          </w:p>
        </w:tc>
      </w:tr>
      <w:tr w14:paraId="676B6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shd w:val="clear" w:color="auto" w:fill="auto"/>
            <w:vAlign w:val="center"/>
          </w:tcPr>
          <w:p w14:paraId="637AAFCB">
            <w:pPr>
              <w:spacing w:line="276" w:lineRule="auto"/>
              <w:rPr>
                <w:rFonts w:hint="eastAsia" w:asciiTheme="minorEastAsia" w:hAnsiTheme="minorEastAsia" w:eastAsiaTheme="minorEastAsia" w:cstheme="minorEastAsia"/>
                <w:color w:val="auto"/>
                <w:sz w:val="21"/>
                <w:szCs w:val="21"/>
              </w:rPr>
            </w:pPr>
          </w:p>
        </w:tc>
        <w:tc>
          <w:tcPr>
            <w:tcW w:w="1274" w:type="dxa"/>
            <w:shd w:val="clear" w:color="auto" w:fill="auto"/>
            <w:vAlign w:val="center"/>
          </w:tcPr>
          <w:p w14:paraId="2855F84E">
            <w:pPr>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题库特点</w:t>
            </w:r>
          </w:p>
        </w:tc>
        <w:tc>
          <w:tcPr>
            <w:tcW w:w="6097" w:type="dxa"/>
            <w:shd w:val="clear" w:color="auto" w:fill="auto"/>
          </w:tcPr>
          <w:p w14:paraId="5C0AAD83">
            <w:pPr>
              <w:pStyle w:val="13"/>
              <w:numPr>
                <w:ilvl w:val="0"/>
                <w:numId w:val="3"/>
              </w:numPr>
              <w:spacing w:after="277"/>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题库涵盖范围广：住培考核题库中包含国家目前设置有34个专业及亚专业。执业医师题库覆盖临床、口腔、公卫、中医、中西医结合5个方向。</w:t>
            </w:r>
          </w:p>
          <w:p w14:paraId="0491EBC2">
            <w:pPr>
              <w:pStyle w:val="13"/>
              <w:numPr>
                <w:ilvl w:val="0"/>
                <w:numId w:val="3"/>
              </w:numPr>
              <w:spacing w:after="277"/>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题库专业权威：</w:t>
            </w:r>
            <w:r>
              <w:rPr>
                <w:rFonts w:hint="eastAsia" w:asciiTheme="minorEastAsia" w:hAnsiTheme="minorEastAsia" w:eastAsiaTheme="minorEastAsia" w:cstheme="minorEastAsia"/>
                <w:b/>
                <w:color w:val="auto"/>
                <w:sz w:val="21"/>
                <w:szCs w:val="21"/>
              </w:rPr>
              <w:t>住培考核：</w:t>
            </w:r>
            <w:r>
              <w:rPr>
                <w:rFonts w:hint="eastAsia" w:asciiTheme="minorEastAsia" w:hAnsiTheme="minorEastAsia" w:eastAsiaTheme="minorEastAsia" w:cstheme="minorEastAsia"/>
                <w:color w:val="auto"/>
                <w:sz w:val="21"/>
                <w:szCs w:val="21"/>
              </w:rPr>
              <w:t>中国医师协会毕业后教育29个专业委员会指导。紧贴国家住院医师规范化培训考试政策，并及时更新题库，始终保证更新最快，试题最权威。</w:t>
            </w:r>
            <w:r>
              <w:rPr>
                <w:rFonts w:hint="eastAsia" w:asciiTheme="minorEastAsia" w:hAnsiTheme="minorEastAsia" w:eastAsiaTheme="minorEastAsia" w:cstheme="minorEastAsia"/>
                <w:b/>
                <w:color w:val="auto"/>
                <w:sz w:val="21"/>
                <w:szCs w:val="21"/>
              </w:rPr>
              <w:t>执业医师：</w:t>
            </w:r>
            <w:r>
              <w:rPr>
                <w:rFonts w:hint="eastAsia" w:asciiTheme="minorEastAsia" w:hAnsiTheme="minorEastAsia" w:eastAsiaTheme="minorEastAsia" w:cstheme="minorEastAsia"/>
                <w:color w:val="auto"/>
                <w:sz w:val="21"/>
                <w:szCs w:val="21"/>
              </w:rPr>
              <w:t>历年执业医师考试仿真试题及模拟试卷，紧扣执业医师考试大纲，覆盖执业医师考点。</w:t>
            </w:r>
          </w:p>
          <w:p w14:paraId="08428983">
            <w:pPr>
              <w:pStyle w:val="13"/>
              <w:numPr>
                <w:ilvl w:val="0"/>
                <w:numId w:val="3"/>
              </w:numPr>
              <w:spacing w:after="277"/>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color w:val="auto"/>
                <w:kern w:val="0"/>
                <w:sz w:val="21"/>
                <w:szCs w:val="21"/>
              </w:rPr>
              <w:t>题库更新快：题型分类全，可满足执医、规培等阶段、各类型考试要求。题库会及时更新，始终保证更新最快，试题权威。</w:t>
            </w:r>
          </w:p>
        </w:tc>
      </w:tr>
      <w:tr w14:paraId="61AA9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shd w:val="clear" w:color="auto" w:fill="auto"/>
            <w:vAlign w:val="center"/>
          </w:tcPr>
          <w:p w14:paraId="1D0963DB">
            <w:pPr>
              <w:spacing w:line="276" w:lineRule="auto"/>
              <w:rPr>
                <w:rFonts w:hint="eastAsia" w:asciiTheme="minorEastAsia" w:hAnsiTheme="minorEastAsia" w:eastAsiaTheme="minorEastAsia" w:cstheme="minorEastAsia"/>
                <w:color w:val="auto"/>
                <w:sz w:val="21"/>
                <w:szCs w:val="21"/>
              </w:rPr>
            </w:pPr>
          </w:p>
        </w:tc>
        <w:tc>
          <w:tcPr>
            <w:tcW w:w="1274" w:type="dxa"/>
            <w:shd w:val="clear" w:color="auto" w:fill="auto"/>
            <w:vAlign w:val="center"/>
          </w:tcPr>
          <w:p w14:paraId="33880A8D">
            <w:pPr>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试题特点</w:t>
            </w:r>
          </w:p>
        </w:tc>
        <w:tc>
          <w:tcPr>
            <w:tcW w:w="6097" w:type="dxa"/>
            <w:shd w:val="clear" w:color="auto" w:fill="auto"/>
          </w:tcPr>
          <w:p w14:paraId="0C359E93">
            <w:pPr>
              <w:pStyle w:val="13"/>
              <w:numPr>
                <w:ilvl w:val="0"/>
                <w:numId w:val="4"/>
              </w:numPr>
              <w:spacing w:line="276" w:lineRule="auto"/>
              <w:jc w:val="both"/>
              <w:rPr>
                <w:rFonts w:hint="eastAsia"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rPr>
              <w:t>所有试题需标注难度</w:t>
            </w:r>
            <w:r>
              <w:rPr>
                <w:rFonts w:hint="eastAsia" w:asciiTheme="minorEastAsia" w:hAnsiTheme="minorEastAsia" w:eastAsiaTheme="minorEastAsia" w:cstheme="minorEastAsia"/>
                <w:color w:val="auto"/>
                <w:sz w:val="21"/>
                <w:szCs w:val="21"/>
                <w:lang w:val="en-US" w:eastAsia="zh-CN"/>
              </w:rPr>
              <w:t>.</w:t>
            </w:r>
          </w:p>
          <w:p w14:paraId="1BDC0E4A">
            <w:pPr>
              <w:pStyle w:val="13"/>
              <w:numPr>
                <w:ilvl w:val="0"/>
                <w:numId w:val="4"/>
              </w:numPr>
              <w:spacing w:line="276" w:lineRule="auto"/>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题型全面：支持A1(单项最佳选择题)，A2(病例摘要型最佳选择题)，A3/A4(病例组型最佳选择题)，B型题(标准配伍题)，X型题(</w:t>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HYPERLINK "https://www.baidu.com/s?wd=%E5%A4%9A%E9%A1%B9%E9%80%89%E6%8B%A9%E9%A2%98&amp;tn=44039180_cpr&amp;fenlei=mv6quAkxTZn0IZRqIHckPjm4nH00T1YkujbYn1TsmWf3uW63Pyw90ZwV5Hcvrjm3rH6sPfKWUMw85HfYnjn4nH6sgvPsT6KdThsqpZwYTjCEQLGCpyw9Uz4Bmy-bIi4WUvYETgN-TLwGUv3EPH6YnH0LPWR3njfdrHT3nWfd" \t "_blank"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color w:val="auto"/>
                <w:sz w:val="21"/>
                <w:szCs w:val="21"/>
              </w:rPr>
              <w:t>多项选择题</w:t>
            </w:r>
            <w:r>
              <w:rPr>
                <w:rFonts w:hint="eastAsia" w:asciiTheme="minorEastAsia" w:hAnsiTheme="minorEastAsia" w:eastAsiaTheme="minorEastAsia" w:cstheme="minorEastAsia"/>
                <w:color w:val="auto"/>
                <w:sz w:val="21"/>
                <w:szCs w:val="21"/>
              </w:rPr>
              <w:fldChar w:fldCharType="end"/>
            </w:r>
            <w:r>
              <w:rPr>
                <w:rFonts w:hint="eastAsia" w:asciiTheme="minorEastAsia" w:hAnsiTheme="minorEastAsia" w:eastAsiaTheme="minorEastAsia" w:cstheme="minorEastAsia"/>
                <w:color w:val="auto"/>
                <w:sz w:val="21"/>
                <w:szCs w:val="21"/>
              </w:rPr>
              <w:t>)，C型题(综合分析选择题)，案例分析题，填空题，判断题，简答题，名词解释题。</w:t>
            </w:r>
          </w:p>
        </w:tc>
      </w:tr>
      <w:tr w14:paraId="47BD6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restart"/>
            <w:shd w:val="clear" w:color="auto" w:fill="auto"/>
            <w:vAlign w:val="center"/>
          </w:tcPr>
          <w:p w14:paraId="1DEEB2DD">
            <w:pPr>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PC web端（用户管理系统）-组织/系统管理员</w:t>
            </w:r>
          </w:p>
        </w:tc>
        <w:tc>
          <w:tcPr>
            <w:tcW w:w="1274" w:type="dxa"/>
            <w:shd w:val="clear" w:color="auto" w:fill="auto"/>
            <w:vAlign w:val="center"/>
          </w:tcPr>
          <w:p w14:paraId="047568F1">
            <w:pPr>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基础设置-部门管理</w:t>
            </w:r>
          </w:p>
        </w:tc>
        <w:tc>
          <w:tcPr>
            <w:tcW w:w="6097" w:type="dxa"/>
            <w:shd w:val="clear" w:color="auto" w:fill="auto"/>
          </w:tcPr>
          <w:p w14:paraId="671A0BE4">
            <w:pPr>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根据机构组织架构及部门创建对应部门，支持部门的导入。对部门进行增、删、改、查的管理，支持部门以“护理部”、“科室”分类。</w:t>
            </w:r>
          </w:p>
        </w:tc>
      </w:tr>
      <w:tr w14:paraId="1E827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shd w:val="clear" w:color="auto" w:fill="auto"/>
            <w:vAlign w:val="center"/>
          </w:tcPr>
          <w:p w14:paraId="660FF4EA">
            <w:pPr>
              <w:spacing w:line="276" w:lineRule="auto"/>
              <w:rPr>
                <w:rFonts w:hint="eastAsia" w:asciiTheme="minorEastAsia" w:hAnsiTheme="minorEastAsia" w:eastAsiaTheme="minorEastAsia" w:cstheme="minorEastAsia"/>
                <w:color w:val="auto"/>
                <w:sz w:val="21"/>
                <w:szCs w:val="21"/>
              </w:rPr>
            </w:pPr>
          </w:p>
        </w:tc>
        <w:tc>
          <w:tcPr>
            <w:tcW w:w="1274" w:type="dxa"/>
            <w:shd w:val="clear" w:color="auto" w:fill="auto"/>
            <w:vAlign w:val="center"/>
          </w:tcPr>
          <w:p w14:paraId="73C2BA63">
            <w:pPr>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基础设置-专业管理</w:t>
            </w:r>
          </w:p>
        </w:tc>
        <w:tc>
          <w:tcPr>
            <w:tcW w:w="6097" w:type="dxa"/>
            <w:shd w:val="clear" w:color="auto" w:fill="auto"/>
          </w:tcPr>
          <w:p w14:paraId="44D11503">
            <w:pPr>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除住培西医、中医国家标准专业外，还支持实习专业、研究生专业等自定义，包含专业的添加、删除、修改和查询。</w:t>
            </w:r>
          </w:p>
        </w:tc>
      </w:tr>
      <w:tr w14:paraId="34806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shd w:val="clear" w:color="auto" w:fill="auto"/>
            <w:vAlign w:val="center"/>
          </w:tcPr>
          <w:p w14:paraId="68A7F1A3">
            <w:pPr>
              <w:spacing w:line="276" w:lineRule="auto"/>
              <w:rPr>
                <w:rFonts w:hint="eastAsia" w:asciiTheme="minorEastAsia" w:hAnsiTheme="minorEastAsia" w:eastAsiaTheme="minorEastAsia" w:cstheme="minorEastAsia"/>
                <w:color w:val="auto"/>
                <w:sz w:val="21"/>
                <w:szCs w:val="21"/>
              </w:rPr>
            </w:pPr>
          </w:p>
        </w:tc>
        <w:tc>
          <w:tcPr>
            <w:tcW w:w="1274" w:type="dxa"/>
            <w:shd w:val="clear" w:color="auto" w:fill="auto"/>
            <w:vAlign w:val="center"/>
          </w:tcPr>
          <w:p w14:paraId="400D3418">
            <w:pPr>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用户管理</w:t>
            </w:r>
          </w:p>
        </w:tc>
        <w:tc>
          <w:tcPr>
            <w:tcW w:w="6097" w:type="dxa"/>
            <w:shd w:val="clear" w:color="auto" w:fill="auto"/>
          </w:tcPr>
          <w:p w14:paraId="6630990C">
            <w:pPr>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将机构内所有用户导入考试系统，对客户分配对应角色，可控制用户的功能权限及数据权限。支持用户的增、删、改、查。可用Excel表格批量导入用户。可重置用户密码，修改用户信息。</w:t>
            </w:r>
          </w:p>
        </w:tc>
      </w:tr>
      <w:tr w14:paraId="7D846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shd w:val="clear" w:color="auto" w:fill="auto"/>
            <w:vAlign w:val="center"/>
          </w:tcPr>
          <w:p w14:paraId="405FF05F">
            <w:pPr>
              <w:spacing w:line="276" w:lineRule="auto"/>
              <w:rPr>
                <w:rFonts w:hint="eastAsia" w:asciiTheme="minorEastAsia" w:hAnsiTheme="minorEastAsia" w:eastAsiaTheme="minorEastAsia" w:cstheme="minorEastAsia"/>
                <w:color w:val="auto"/>
                <w:sz w:val="21"/>
                <w:szCs w:val="21"/>
              </w:rPr>
            </w:pPr>
          </w:p>
        </w:tc>
        <w:tc>
          <w:tcPr>
            <w:tcW w:w="1274" w:type="dxa"/>
            <w:shd w:val="clear" w:color="auto" w:fill="auto"/>
            <w:vAlign w:val="center"/>
          </w:tcPr>
          <w:p w14:paraId="6B307F93">
            <w:pPr>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产品管理-考试系统管理</w:t>
            </w:r>
          </w:p>
        </w:tc>
        <w:tc>
          <w:tcPr>
            <w:tcW w:w="6097" w:type="dxa"/>
            <w:shd w:val="clear" w:color="auto" w:fill="auto"/>
          </w:tcPr>
          <w:p w14:paraId="11A5BBCD">
            <w:pPr>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包含用户管理和考试验证码管理。此处的用户管理仅支持用户查询和重置密码、以及解除锁定（解除用户正在考试状态的锁定）。考试验证码管理：支持考试验证码的修改、查询，以及设置解锁次数。控制考生在客户端中作弊的解锁次数，设置考生端作弊后解除锁定时的考试验证码。</w:t>
            </w:r>
          </w:p>
        </w:tc>
      </w:tr>
      <w:tr w14:paraId="61805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shd w:val="clear" w:color="auto" w:fill="auto"/>
            <w:vAlign w:val="center"/>
          </w:tcPr>
          <w:p w14:paraId="2D5D9FF1">
            <w:pPr>
              <w:spacing w:line="276" w:lineRule="auto"/>
              <w:rPr>
                <w:rFonts w:hint="eastAsia" w:asciiTheme="minorEastAsia" w:hAnsiTheme="minorEastAsia" w:eastAsiaTheme="minorEastAsia" w:cstheme="minorEastAsia"/>
                <w:color w:val="auto"/>
                <w:sz w:val="21"/>
                <w:szCs w:val="21"/>
              </w:rPr>
            </w:pPr>
          </w:p>
        </w:tc>
        <w:tc>
          <w:tcPr>
            <w:tcW w:w="1274" w:type="dxa"/>
            <w:shd w:val="clear" w:color="auto" w:fill="auto"/>
            <w:vAlign w:val="center"/>
          </w:tcPr>
          <w:p w14:paraId="33E20276">
            <w:pPr>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角色与权限</w:t>
            </w:r>
          </w:p>
        </w:tc>
        <w:tc>
          <w:tcPr>
            <w:tcW w:w="6097" w:type="dxa"/>
            <w:shd w:val="clear" w:color="auto" w:fill="auto"/>
          </w:tcPr>
          <w:p w14:paraId="2D2BD300">
            <w:pPr>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角色权限升级，支持自定义角色，自定义权限，包含部门权限和数据权限。系统默认支持系统管理员、考试管理员、科室管理员、专业基地管理员、组卷教师、考生等角色分类。</w:t>
            </w:r>
          </w:p>
        </w:tc>
      </w:tr>
      <w:tr w14:paraId="6FEAD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restart"/>
            <w:shd w:val="clear" w:color="auto" w:fill="auto"/>
            <w:vAlign w:val="center"/>
          </w:tcPr>
          <w:p w14:paraId="725C0888">
            <w:pPr>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PC web端-教师端</w:t>
            </w:r>
          </w:p>
        </w:tc>
        <w:tc>
          <w:tcPr>
            <w:tcW w:w="1274" w:type="dxa"/>
            <w:shd w:val="clear" w:color="auto" w:fill="auto"/>
            <w:vAlign w:val="center"/>
          </w:tcPr>
          <w:p w14:paraId="3F68B9E1">
            <w:pPr>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题库管理</w:t>
            </w:r>
          </w:p>
        </w:tc>
        <w:tc>
          <w:tcPr>
            <w:tcW w:w="6097" w:type="dxa"/>
            <w:shd w:val="clear" w:color="auto" w:fill="auto"/>
          </w:tcPr>
          <w:p w14:paraId="6D6EBB8C">
            <w:pPr>
              <w:pStyle w:val="14"/>
              <w:numPr>
                <w:ilvl w:val="0"/>
                <w:numId w:val="5"/>
              </w:numPr>
              <w:spacing w:line="276" w:lineRule="auto"/>
              <w:rPr>
                <w:rFonts w:hint="eastAsia" w:asciiTheme="minorEastAsia" w:hAnsiTheme="minorEastAsia" w:eastAsiaTheme="minorEastAsia" w:cstheme="minorEastAsia"/>
                <w:b w:val="0"/>
                <w:color w:val="auto"/>
                <w:sz w:val="21"/>
                <w:szCs w:val="21"/>
              </w:rPr>
            </w:pPr>
            <w:r>
              <w:rPr>
                <w:rFonts w:hint="eastAsia" w:asciiTheme="minorEastAsia" w:hAnsiTheme="minorEastAsia" w:eastAsiaTheme="minorEastAsia" w:cstheme="minorEastAsia"/>
                <w:b w:val="0"/>
                <w:color w:val="auto"/>
                <w:sz w:val="21"/>
                <w:szCs w:val="21"/>
              </w:rPr>
              <w:t>自建题库支持自定义分类、自定义标签；</w:t>
            </w:r>
          </w:p>
          <w:p w14:paraId="543394BC">
            <w:pPr>
              <w:pStyle w:val="14"/>
              <w:numPr>
                <w:ilvl w:val="0"/>
                <w:numId w:val="5"/>
              </w:numPr>
              <w:spacing w:line="276" w:lineRule="auto"/>
              <w:rPr>
                <w:rFonts w:hint="eastAsia" w:asciiTheme="minorEastAsia" w:hAnsiTheme="minorEastAsia" w:eastAsiaTheme="minorEastAsia" w:cstheme="minorEastAsia"/>
                <w:b w:val="0"/>
                <w:color w:val="auto"/>
                <w:sz w:val="21"/>
                <w:szCs w:val="21"/>
              </w:rPr>
            </w:pPr>
            <w:r>
              <w:rPr>
                <w:rFonts w:hint="eastAsia" w:asciiTheme="minorEastAsia" w:hAnsiTheme="minorEastAsia" w:eastAsiaTheme="minorEastAsia" w:cstheme="minorEastAsia"/>
                <w:b w:val="0"/>
                <w:color w:val="auto"/>
                <w:sz w:val="21"/>
                <w:szCs w:val="21"/>
              </w:rPr>
              <w:t>自建题库支持：文件导入、单个录入、批量录入。</w:t>
            </w:r>
          </w:p>
          <w:p w14:paraId="7C76E533">
            <w:pPr>
              <w:pStyle w:val="14"/>
              <w:numPr>
                <w:ilvl w:val="0"/>
                <w:numId w:val="5"/>
              </w:numPr>
              <w:spacing w:line="276" w:lineRule="auto"/>
              <w:rPr>
                <w:rFonts w:hint="eastAsia" w:asciiTheme="minorEastAsia" w:hAnsiTheme="minorEastAsia" w:eastAsiaTheme="minorEastAsia" w:cstheme="minorEastAsia"/>
                <w:b w:val="0"/>
                <w:color w:val="auto"/>
                <w:sz w:val="21"/>
                <w:szCs w:val="21"/>
              </w:rPr>
            </w:pPr>
            <w:r>
              <w:rPr>
                <w:rFonts w:hint="eastAsia" w:asciiTheme="minorEastAsia" w:hAnsiTheme="minorEastAsia" w:eastAsiaTheme="minorEastAsia" w:cstheme="minorEastAsia"/>
                <w:b w:val="0"/>
                <w:color w:val="auto"/>
                <w:sz w:val="21"/>
                <w:szCs w:val="21"/>
              </w:rPr>
              <w:t>题型全面：支持A1(单项最佳选择题)，A2(病例摘要型最佳选择题)，A3/A4(病例组型最佳选择题)，B型题(标准配伍题)，X型题(多项选择题)，C型题(综合分析选择题)，案例分析题，填空题，判断题，简答题，名词解释题，不定项选择题。</w:t>
            </w:r>
          </w:p>
          <w:p w14:paraId="76DC3541">
            <w:pPr>
              <w:pStyle w:val="14"/>
              <w:numPr>
                <w:ilvl w:val="0"/>
                <w:numId w:val="5"/>
              </w:numPr>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color w:val="auto"/>
                <w:sz w:val="21"/>
                <w:szCs w:val="21"/>
              </w:rPr>
              <w:t>定期更新试题的正确率（根据实际的考试答题情况计算）。</w:t>
            </w:r>
          </w:p>
        </w:tc>
      </w:tr>
      <w:tr w14:paraId="3A947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shd w:val="clear" w:color="auto" w:fill="auto"/>
            <w:vAlign w:val="center"/>
          </w:tcPr>
          <w:p w14:paraId="3F288637">
            <w:pPr>
              <w:spacing w:line="276" w:lineRule="auto"/>
              <w:rPr>
                <w:rFonts w:hint="eastAsia" w:asciiTheme="minorEastAsia" w:hAnsiTheme="minorEastAsia" w:eastAsiaTheme="minorEastAsia" w:cstheme="minorEastAsia"/>
                <w:color w:val="auto"/>
                <w:sz w:val="21"/>
                <w:szCs w:val="21"/>
              </w:rPr>
            </w:pPr>
          </w:p>
        </w:tc>
        <w:tc>
          <w:tcPr>
            <w:tcW w:w="1274" w:type="dxa"/>
            <w:shd w:val="clear" w:color="auto" w:fill="auto"/>
            <w:vAlign w:val="center"/>
          </w:tcPr>
          <w:p w14:paraId="04AE1053">
            <w:pPr>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试卷库</w:t>
            </w:r>
          </w:p>
        </w:tc>
        <w:tc>
          <w:tcPr>
            <w:tcW w:w="6097" w:type="dxa"/>
            <w:shd w:val="clear" w:color="auto" w:fill="auto"/>
          </w:tcPr>
          <w:p w14:paraId="56627B09">
            <w:pPr>
              <w:pStyle w:val="14"/>
              <w:numPr>
                <w:ilvl w:val="0"/>
                <w:numId w:val="6"/>
              </w:numPr>
              <w:spacing w:line="276" w:lineRule="auto"/>
              <w:jc w:val="left"/>
              <w:rPr>
                <w:rFonts w:hint="eastAsia" w:asciiTheme="minorEastAsia" w:hAnsiTheme="minorEastAsia" w:eastAsiaTheme="minorEastAsia" w:cstheme="minorEastAsia"/>
                <w:b w:val="0"/>
                <w:color w:val="auto"/>
                <w:sz w:val="21"/>
                <w:szCs w:val="21"/>
              </w:rPr>
            </w:pPr>
            <w:r>
              <w:rPr>
                <w:rFonts w:hint="eastAsia" w:asciiTheme="minorEastAsia" w:hAnsiTheme="minorEastAsia" w:eastAsiaTheme="minorEastAsia" w:cstheme="minorEastAsia"/>
                <w:b w:val="0"/>
                <w:color w:val="auto"/>
                <w:sz w:val="21"/>
                <w:szCs w:val="21"/>
              </w:rPr>
              <w:t>支持多种组卷方式：手动组卷、自动组卷、随机组卷、智能组卷、以卷组卷。手动组卷，可根据查询条件查出对应试题，手动添加指定试题，进行组卷。自动组卷，按题型组卷，选择试题分类可跨题库，跨学科、跨专业组卷，操作简单灵活；抽题逻辑缜密。随机组卷功能，教师端设定好抽题规则，并创建考试后，学员端每次进入考试的试卷都不一样。</w:t>
            </w:r>
          </w:p>
          <w:p w14:paraId="7F0B23BE">
            <w:pPr>
              <w:pStyle w:val="14"/>
              <w:numPr>
                <w:ilvl w:val="0"/>
                <w:numId w:val="6"/>
              </w:numPr>
              <w:spacing w:line="276" w:lineRule="auto"/>
              <w:jc w:val="left"/>
              <w:rPr>
                <w:rFonts w:hint="eastAsia" w:asciiTheme="minorEastAsia" w:hAnsiTheme="minorEastAsia" w:eastAsiaTheme="minorEastAsia" w:cstheme="minorEastAsia"/>
                <w:b w:val="0"/>
                <w:color w:val="auto"/>
                <w:sz w:val="21"/>
                <w:szCs w:val="21"/>
              </w:rPr>
            </w:pPr>
            <w:r>
              <w:rPr>
                <w:rFonts w:hint="eastAsia" w:asciiTheme="minorEastAsia" w:hAnsiTheme="minorEastAsia" w:eastAsiaTheme="minorEastAsia" w:cstheme="minorEastAsia"/>
                <w:b w:val="0"/>
                <w:color w:val="auto"/>
                <w:sz w:val="21"/>
                <w:szCs w:val="21"/>
              </w:rPr>
              <w:t>试题乱序：试卷支持试题乱序可将试卷题序打乱，选项乱序可将选择题选项随机，有效防止作弊。</w:t>
            </w:r>
          </w:p>
          <w:p w14:paraId="31D7CDD9">
            <w:pPr>
              <w:pStyle w:val="14"/>
              <w:numPr>
                <w:ilvl w:val="0"/>
                <w:numId w:val="6"/>
              </w:numPr>
              <w:spacing w:line="276" w:lineRule="auto"/>
              <w:jc w:val="left"/>
              <w:rPr>
                <w:rFonts w:hint="eastAsia" w:asciiTheme="minorEastAsia" w:hAnsiTheme="minorEastAsia" w:eastAsiaTheme="minorEastAsia" w:cstheme="minorEastAsia"/>
                <w:b w:val="0"/>
                <w:color w:val="auto"/>
                <w:sz w:val="21"/>
                <w:szCs w:val="21"/>
              </w:rPr>
            </w:pPr>
            <w:r>
              <w:rPr>
                <w:rFonts w:hint="eastAsia" w:asciiTheme="minorEastAsia" w:hAnsiTheme="minorEastAsia" w:eastAsiaTheme="minorEastAsia" w:cstheme="minorEastAsia"/>
                <w:b w:val="0"/>
                <w:color w:val="auto"/>
                <w:sz w:val="21"/>
                <w:szCs w:val="21"/>
              </w:rPr>
              <w:t>支持试卷预览，可输出试卷、打印试卷。</w:t>
            </w:r>
          </w:p>
          <w:p w14:paraId="1608F52D">
            <w:pPr>
              <w:pStyle w:val="14"/>
              <w:numPr>
                <w:ilvl w:val="0"/>
                <w:numId w:val="6"/>
              </w:numPr>
              <w:spacing w:line="276" w:lineRule="auto"/>
              <w:jc w:val="left"/>
              <w:rPr>
                <w:rFonts w:hint="eastAsia" w:asciiTheme="minorEastAsia" w:hAnsiTheme="minorEastAsia" w:eastAsiaTheme="minorEastAsia" w:cstheme="minorEastAsia"/>
                <w:b w:val="0"/>
                <w:color w:val="auto"/>
                <w:sz w:val="21"/>
                <w:szCs w:val="21"/>
              </w:rPr>
            </w:pPr>
            <w:r>
              <w:rPr>
                <w:rFonts w:hint="eastAsia" w:asciiTheme="minorEastAsia" w:hAnsiTheme="minorEastAsia" w:eastAsiaTheme="minorEastAsia" w:cstheme="minorEastAsia"/>
                <w:b w:val="0"/>
                <w:color w:val="auto"/>
                <w:sz w:val="21"/>
                <w:szCs w:val="21"/>
              </w:rPr>
              <w:t>支持设置试卷可见部门，默认为创建人所在部门可见，可指定自己部门可见。</w:t>
            </w:r>
          </w:p>
          <w:p w14:paraId="36BBF822">
            <w:pPr>
              <w:pStyle w:val="14"/>
              <w:numPr>
                <w:ilvl w:val="0"/>
                <w:numId w:val="6"/>
              </w:numPr>
              <w:spacing w:line="276" w:lineRule="auto"/>
              <w:jc w:val="left"/>
              <w:rPr>
                <w:rFonts w:hint="eastAsia" w:asciiTheme="minorEastAsia" w:hAnsiTheme="minorEastAsia" w:eastAsiaTheme="minorEastAsia" w:cstheme="minorEastAsia"/>
                <w:b w:val="0"/>
                <w:color w:val="auto"/>
                <w:sz w:val="21"/>
                <w:szCs w:val="21"/>
              </w:rPr>
            </w:pPr>
            <w:r>
              <w:rPr>
                <w:rFonts w:hint="eastAsia" w:asciiTheme="minorEastAsia" w:hAnsiTheme="minorEastAsia" w:eastAsiaTheme="minorEastAsia" w:cstheme="minorEastAsia"/>
                <w:b w:val="0"/>
                <w:color w:val="auto"/>
                <w:sz w:val="21"/>
                <w:szCs w:val="21"/>
              </w:rPr>
              <w:t>复制试卷，按原样复制保持试题不变，按试题规则复制提取试卷规则更换试题。，保证学员做题的广泛性，同时可以设置考试的次数，限定学员答题的机会数。</w:t>
            </w:r>
          </w:p>
          <w:p w14:paraId="20BA7F31">
            <w:pPr>
              <w:pStyle w:val="14"/>
              <w:numPr>
                <w:ilvl w:val="0"/>
                <w:numId w:val="6"/>
              </w:num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color w:val="auto"/>
                <w:sz w:val="21"/>
                <w:szCs w:val="21"/>
              </w:rPr>
              <w:t>试卷和考试支持自定义分类；试卷和考试（考务）独立分开，试卷和考试可各自复用。</w:t>
            </w:r>
          </w:p>
        </w:tc>
      </w:tr>
      <w:tr w14:paraId="4F115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shd w:val="clear" w:color="auto" w:fill="auto"/>
            <w:vAlign w:val="center"/>
          </w:tcPr>
          <w:p w14:paraId="6A3EFA71">
            <w:pPr>
              <w:spacing w:line="276" w:lineRule="auto"/>
              <w:rPr>
                <w:rFonts w:hint="eastAsia" w:asciiTheme="minorEastAsia" w:hAnsiTheme="minorEastAsia" w:eastAsiaTheme="minorEastAsia" w:cstheme="minorEastAsia"/>
                <w:color w:val="auto"/>
                <w:sz w:val="21"/>
                <w:szCs w:val="21"/>
              </w:rPr>
            </w:pPr>
          </w:p>
        </w:tc>
        <w:tc>
          <w:tcPr>
            <w:tcW w:w="1274" w:type="dxa"/>
            <w:shd w:val="clear" w:color="auto" w:fill="auto"/>
            <w:vAlign w:val="center"/>
          </w:tcPr>
          <w:p w14:paraId="06CEAF7D">
            <w:pPr>
              <w:spacing w:line="276" w:lineRule="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考试管理</w:t>
            </w:r>
          </w:p>
        </w:tc>
        <w:tc>
          <w:tcPr>
            <w:tcW w:w="6097" w:type="dxa"/>
            <w:shd w:val="clear" w:color="auto" w:fill="auto"/>
          </w:tcPr>
          <w:p w14:paraId="32FC2453">
            <w:pPr>
              <w:pStyle w:val="14"/>
              <w:numPr>
                <w:ilvl w:val="0"/>
                <w:numId w:val="7"/>
              </w:numPr>
              <w:spacing w:line="276" w:lineRule="auto"/>
              <w:jc w:val="left"/>
              <w:rPr>
                <w:rFonts w:hint="eastAsia" w:asciiTheme="minorEastAsia" w:hAnsiTheme="minorEastAsia" w:eastAsiaTheme="minorEastAsia" w:cstheme="minorEastAsia"/>
                <w:b w:val="0"/>
                <w:color w:val="auto"/>
                <w:kern w:val="0"/>
                <w:sz w:val="21"/>
                <w:szCs w:val="21"/>
              </w:rPr>
            </w:pPr>
            <w:r>
              <w:rPr>
                <w:rFonts w:hint="eastAsia" w:asciiTheme="minorEastAsia" w:hAnsiTheme="minorEastAsia" w:eastAsiaTheme="minorEastAsia" w:cstheme="minorEastAsia"/>
                <w:b w:val="0"/>
                <w:color w:val="auto"/>
                <w:kern w:val="0"/>
                <w:sz w:val="21"/>
                <w:szCs w:val="21"/>
              </w:rPr>
              <w:t>可以设置具体的考试时间，考试时长，并且可以限制参考对象（所有人、指定人）。具备考试码考试功能，任何书包注册用户均可通过输入考试码来参加考试。</w:t>
            </w:r>
          </w:p>
          <w:p w14:paraId="4C8C2F81">
            <w:pPr>
              <w:pStyle w:val="14"/>
              <w:numPr>
                <w:ilvl w:val="0"/>
                <w:numId w:val="7"/>
              </w:numPr>
              <w:spacing w:line="276" w:lineRule="auto"/>
              <w:jc w:val="left"/>
              <w:rPr>
                <w:rFonts w:hint="eastAsia" w:asciiTheme="minorEastAsia" w:hAnsiTheme="minorEastAsia" w:eastAsiaTheme="minorEastAsia" w:cstheme="minorEastAsia"/>
                <w:b w:val="0"/>
                <w:color w:val="auto"/>
                <w:kern w:val="0"/>
                <w:sz w:val="21"/>
                <w:szCs w:val="21"/>
              </w:rPr>
            </w:pPr>
            <w:r>
              <w:rPr>
                <w:rFonts w:hint="eastAsia" w:asciiTheme="minorEastAsia" w:hAnsiTheme="minorEastAsia" w:eastAsiaTheme="minorEastAsia" w:cstheme="minorEastAsia"/>
                <w:b w:val="0"/>
                <w:color w:val="auto"/>
                <w:kern w:val="0"/>
                <w:sz w:val="21"/>
                <w:szCs w:val="21"/>
              </w:rPr>
              <w:t>限定考试入口开放时间设置。迟到限时设置，超过迟到限时的考生不能进入考试。</w:t>
            </w:r>
          </w:p>
          <w:p w14:paraId="15DB5019">
            <w:pPr>
              <w:pStyle w:val="14"/>
              <w:numPr>
                <w:ilvl w:val="0"/>
                <w:numId w:val="7"/>
              </w:numPr>
              <w:spacing w:line="276" w:lineRule="auto"/>
              <w:jc w:val="left"/>
              <w:rPr>
                <w:rFonts w:hint="eastAsia" w:asciiTheme="minorEastAsia" w:hAnsiTheme="minorEastAsia" w:eastAsiaTheme="minorEastAsia" w:cstheme="minorEastAsia"/>
                <w:b w:val="0"/>
                <w:color w:val="auto"/>
                <w:kern w:val="0"/>
                <w:sz w:val="21"/>
                <w:szCs w:val="21"/>
              </w:rPr>
            </w:pPr>
            <w:r>
              <w:rPr>
                <w:rFonts w:hint="eastAsia" w:asciiTheme="minorEastAsia" w:hAnsiTheme="minorEastAsia" w:eastAsiaTheme="minorEastAsia" w:cstheme="minorEastAsia"/>
                <w:b w:val="0"/>
                <w:color w:val="auto"/>
                <w:kern w:val="0"/>
                <w:sz w:val="21"/>
                <w:szCs w:val="21"/>
              </w:rPr>
              <w:t>限时交卷：在开考后限定时间段之后才可交卷。</w:t>
            </w:r>
          </w:p>
          <w:p w14:paraId="7495D7E0">
            <w:pPr>
              <w:pStyle w:val="14"/>
              <w:numPr>
                <w:ilvl w:val="0"/>
                <w:numId w:val="7"/>
              </w:numPr>
              <w:spacing w:line="276" w:lineRule="auto"/>
              <w:jc w:val="left"/>
              <w:rPr>
                <w:rFonts w:hint="eastAsia" w:asciiTheme="minorEastAsia" w:hAnsiTheme="minorEastAsia" w:eastAsiaTheme="minorEastAsia" w:cstheme="minorEastAsia"/>
                <w:b w:val="0"/>
                <w:color w:val="auto"/>
                <w:kern w:val="0"/>
                <w:sz w:val="21"/>
                <w:szCs w:val="21"/>
              </w:rPr>
            </w:pPr>
            <w:r>
              <w:rPr>
                <w:rFonts w:hint="eastAsia" w:asciiTheme="minorEastAsia" w:hAnsiTheme="minorEastAsia" w:eastAsiaTheme="minorEastAsia" w:cstheme="minorEastAsia"/>
                <w:b w:val="0"/>
                <w:color w:val="auto"/>
                <w:kern w:val="0"/>
                <w:sz w:val="21"/>
                <w:szCs w:val="21"/>
              </w:rPr>
              <w:t>是否公布成绩、公布形式：可以设置是否考后立即公布成绩、公布分数还是通过/不通过。</w:t>
            </w:r>
          </w:p>
          <w:p w14:paraId="0E2BD9A8">
            <w:pPr>
              <w:pStyle w:val="14"/>
              <w:numPr>
                <w:ilvl w:val="0"/>
                <w:numId w:val="7"/>
              </w:numPr>
              <w:spacing w:line="276" w:lineRule="auto"/>
              <w:jc w:val="left"/>
              <w:rPr>
                <w:rFonts w:hint="eastAsia" w:asciiTheme="minorEastAsia" w:hAnsiTheme="minorEastAsia" w:eastAsiaTheme="minorEastAsia" w:cstheme="minorEastAsia"/>
                <w:b w:val="0"/>
                <w:color w:val="auto"/>
                <w:kern w:val="0"/>
                <w:sz w:val="21"/>
                <w:szCs w:val="21"/>
              </w:rPr>
            </w:pPr>
            <w:r>
              <w:rPr>
                <w:rFonts w:hint="eastAsia" w:asciiTheme="minorEastAsia" w:hAnsiTheme="minorEastAsia" w:eastAsiaTheme="minorEastAsia" w:cstheme="minorEastAsia"/>
                <w:b w:val="0"/>
                <w:color w:val="auto"/>
                <w:kern w:val="0"/>
                <w:sz w:val="21"/>
                <w:szCs w:val="21"/>
              </w:rPr>
              <w:t>是否公布答题记录、公布范围：是否公布答题记录，公布所有答题记录或仅公布错题记录。</w:t>
            </w:r>
          </w:p>
          <w:p w14:paraId="61A1E469">
            <w:pPr>
              <w:pStyle w:val="14"/>
              <w:numPr>
                <w:ilvl w:val="0"/>
                <w:numId w:val="7"/>
              </w:numPr>
              <w:spacing w:line="276" w:lineRule="auto"/>
              <w:jc w:val="left"/>
              <w:rPr>
                <w:rFonts w:hint="eastAsia" w:asciiTheme="minorEastAsia" w:hAnsiTheme="minorEastAsia" w:eastAsiaTheme="minorEastAsia" w:cstheme="minorEastAsia"/>
                <w:b w:val="0"/>
                <w:color w:val="auto"/>
                <w:kern w:val="0"/>
                <w:sz w:val="21"/>
                <w:szCs w:val="21"/>
              </w:rPr>
            </w:pPr>
            <w:r>
              <w:rPr>
                <w:rFonts w:hint="eastAsia" w:asciiTheme="minorEastAsia" w:hAnsiTheme="minorEastAsia" w:eastAsiaTheme="minorEastAsia" w:cstheme="minorEastAsia"/>
                <w:b w:val="0"/>
                <w:color w:val="auto"/>
                <w:kern w:val="0"/>
                <w:sz w:val="21"/>
                <w:szCs w:val="21"/>
              </w:rPr>
              <w:t>逐题模式：逐题模式下，只能按照顺序作答，不能回退作答或修改。</w:t>
            </w:r>
          </w:p>
          <w:p w14:paraId="0DC8815D">
            <w:pPr>
              <w:pStyle w:val="14"/>
              <w:numPr>
                <w:ilvl w:val="0"/>
                <w:numId w:val="7"/>
              </w:numPr>
              <w:spacing w:line="276"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color w:val="auto"/>
                <w:kern w:val="0"/>
                <w:sz w:val="21"/>
                <w:szCs w:val="21"/>
              </w:rPr>
              <w:t>防作弊方面：①：切屏限制：考生答题过程中切屏可被锁定，通过解锁码解锁才可继续答题，支持自定义解锁码及解锁机会，解锁次数用尽后则自动交卷。②：支持考生作答过程中的随机拍照及存储。支持考试开考后绑定设备，考中更换设备需管理员解绑。③：答题随机截屏（仅支持IOS）：答题过程中随机截屏，用以监控ipadpro悬浮屏答题搜索答案。④：无操作交卷：一段时间无操作强制交卷。⑤：试题水印：考生答题界面有个人信息水印。</w:t>
            </w:r>
          </w:p>
        </w:tc>
      </w:tr>
      <w:tr w14:paraId="523F1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shd w:val="clear" w:color="auto" w:fill="auto"/>
            <w:vAlign w:val="center"/>
          </w:tcPr>
          <w:p w14:paraId="4EF34469">
            <w:pPr>
              <w:spacing w:line="276" w:lineRule="auto"/>
              <w:rPr>
                <w:rFonts w:hint="eastAsia" w:asciiTheme="minorEastAsia" w:hAnsiTheme="minorEastAsia" w:eastAsiaTheme="minorEastAsia" w:cstheme="minorEastAsia"/>
                <w:color w:val="auto"/>
                <w:sz w:val="21"/>
                <w:szCs w:val="21"/>
              </w:rPr>
            </w:pPr>
          </w:p>
        </w:tc>
        <w:tc>
          <w:tcPr>
            <w:tcW w:w="1274" w:type="dxa"/>
            <w:shd w:val="clear" w:color="auto" w:fill="auto"/>
            <w:vAlign w:val="center"/>
          </w:tcPr>
          <w:p w14:paraId="71818153">
            <w:pPr>
              <w:spacing w:line="276" w:lineRule="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参考人员管理</w:t>
            </w:r>
          </w:p>
        </w:tc>
        <w:tc>
          <w:tcPr>
            <w:tcW w:w="6097" w:type="dxa"/>
            <w:shd w:val="clear" w:color="auto" w:fill="auto"/>
          </w:tcPr>
          <w:p w14:paraId="281AEF2B">
            <w:pPr>
              <w:pStyle w:val="13"/>
              <w:numPr>
                <w:ilvl w:val="1"/>
                <w:numId w:val="8"/>
              </w:numPr>
              <w:spacing w:before="156" w:after="156" w:line="276" w:lineRule="auto"/>
              <w:ind w:left="480" w:hanging="420" w:hangingChars="200"/>
              <w:rPr>
                <w:rFonts w:hint="eastAsia" w:asciiTheme="minorEastAsia" w:hAnsiTheme="minorEastAsia" w:eastAsiaTheme="minorEastAsia" w:cstheme="minorEastAsia"/>
                <w:color w:val="auto"/>
                <w:sz w:val="21"/>
                <w:szCs w:val="21"/>
                <w:shd w:val="clear" w:color="auto" w:fill="FFFFFF"/>
              </w:rPr>
            </w:pPr>
            <w:r>
              <w:rPr>
                <w:rFonts w:hint="eastAsia" w:asciiTheme="minorEastAsia" w:hAnsiTheme="minorEastAsia" w:eastAsiaTheme="minorEastAsia" w:cstheme="minorEastAsia"/>
                <w:color w:val="auto"/>
                <w:sz w:val="21"/>
                <w:szCs w:val="21"/>
                <w:shd w:val="clear" w:color="auto" w:fill="FFFFFF"/>
              </w:rPr>
              <w:t>重新考试：考生意外交卷后，可以设置重新考试，重新答题；考试计时结束后，强制交卷。</w:t>
            </w:r>
          </w:p>
          <w:p w14:paraId="5D55695B">
            <w:pPr>
              <w:pStyle w:val="13"/>
              <w:numPr>
                <w:ilvl w:val="1"/>
                <w:numId w:val="8"/>
              </w:numPr>
              <w:spacing w:before="156" w:after="156" w:line="276" w:lineRule="auto"/>
              <w:ind w:left="480" w:hanging="420" w:hangingChars="200"/>
              <w:rPr>
                <w:rFonts w:hint="eastAsia" w:asciiTheme="minorEastAsia" w:hAnsiTheme="minorEastAsia" w:eastAsiaTheme="minorEastAsia" w:cstheme="minorEastAsia"/>
                <w:color w:val="auto"/>
                <w:sz w:val="21"/>
                <w:szCs w:val="21"/>
                <w:shd w:val="clear" w:color="auto" w:fill="FFFFFF"/>
              </w:rPr>
            </w:pPr>
            <w:r>
              <w:rPr>
                <w:rFonts w:hint="eastAsia" w:asciiTheme="minorEastAsia" w:hAnsiTheme="minorEastAsia" w:eastAsiaTheme="minorEastAsia" w:cstheme="minorEastAsia"/>
                <w:color w:val="auto"/>
                <w:sz w:val="21"/>
                <w:szCs w:val="21"/>
                <w:shd w:val="clear" w:color="auto" w:fill="FFFFFF"/>
              </w:rPr>
              <w:t>加入考生/带入考生/删除考生/导出参考人员：支持对参考人员的增（手动、导入）、删、改、查。支持导出参考人员，统计考试情况。</w:t>
            </w:r>
          </w:p>
          <w:p w14:paraId="2EF039E9">
            <w:pPr>
              <w:pStyle w:val="13"/>
              <w:numPr>
                <w:ilvl w:val="1"/>
                <w:numId w:val="8"/>
              </w:numPr>
              <w:spacing w:before="156" w:after="156" w:line="276" w:lineRule="auto"/>
              <w:ind w:left="480" w:hanging="420" w:hangingChars="200"/>
              <w:rPr>
                <w:rFonts w:hint="eastAsia" w:asciiTheme="minorEastAsia" w:hAnsiTheme="minorEastAsia" w:eastAsiaTheme="minorEastAsia" w:cstheme="minorEastAsia"/>
                <w:color w:val="auto"/>
                <w:sz w:val="21"/>
                <w:szCs w:val="21"/>
                <w:shd w:val="clear" w:color="auto" w:fill="FFFFFF"/>
              </w:rPr>
            </w:pPr>
            <w:r>
              <w:rPr>
                <w:rFonts w:hint="eastAsia" w:asciiTheme="minorEastAsia" w:hAnsiTheme="minorEastAsia" w:eastAsiaTheme="minorEastAsia" w:cstheme="minorEastAsia"/>
                <w:color w:val="auto"/>
                <w:sz w:val="21"/>
                <w:szCs w:val="21"/>
                <w:shd w:val="clear" w:color="auto" w:fill="FFFFFF"/>
              </w:rPr>
              <w:t>考试监控：可以实时监控考试状况，包含考试人数、交卷人数、缺考人数、ip地址、登录的客户端等；</w:t>
            </w:r>
          </w:p>
          <w:p w14:paraId="143BAD9E">
            <w:pPr>
              <w:pStyle w:val="13"/>
              <w:numPr>
                <w:ilvl w:val="1"/>
                <w:numId w:val="8"/>
              </w:numPr>
              <w:spacing w:before="156" w:after="156" w:line="276" w:lineRule="auto"/>
              <w:ind w:left="480" w:hanging="420" w:hangingChars="200"/>
              <w:rPr>
                <w:rFonts w:hint="eastAsia" w:asciiTheme="minorEastAsia" w:hAnsiTheme="minorEastAsia" w:eastAsiaTheme="minorEastAsia" w:cstheme="minorEastAsia"/>
                <w:color w:val="auto"/>
                <w:sz w:val="21"/>
                <w:szCs w:val="21"/>
                <w:shd w:val="clear" w:color="auto" w:fill="FFFFFF"/>
              </w:rPr>
            </w:pPr>
            <w:r>
              <w:rPr>
                <w:rFonts w:hint="eastAsia" w:asciiTheme="minorEastAsia" w:hAnsiTheme="minorEastAsia" w:eastAsiaTheme="minorEastAsia" w:cstheme="minorEastAsia"/>
                <w:color w:val="auto"/>
                <w:sz w:val="21"/>
                <w:szCs w:val="21"/>
                <w:shd w:val="clear" w:color="auto" w:fill="FFFFFF"/>
              </w:rPr>
              <w:t>强制交卷/一键收卷：对指定/所有未交卷考生强制交卷。</w:t>
            </w:r>
          </w:p>
          <w:p w14:paraId="284B34B3">
            <w:pPr>
              <w:pStyle w:val="13"/>
              <w:numPr>
                <w:ilvl w:val="1"/>
                <w:numId w:val="8"/>
              </w:numPr>
              <w:spacing w:before="156" w:after="156" w:line="276" w:lineRule="auto"/>
              <w:ind w:left="480" w:hanging="420" w:hangingChars="200"/>
              <w:rPr>
                <w:rFonts w:hint="eastAsia" w:asciiTheme="minorEastAsia" w:hAnsiTheme="minorEastAsia" w:eastAsiaTheme="minorEastAsia" w:cstheme="minorEastAsia"/>
                <w:color w:val="auto"/>
                <w:sz w:val="21"/>
                <w:szCs w:val="21"/>
                <w:shd w:val="clear" w:color="auto" w:fill="FFFFFF"/>
              </w:rPr>
            </w:pPr>
            <w:r>
              <w:rPr>
                <w:rFonts w:hint="eastAsia" w:asciiTheme="minorEastAsia" w:hAnsiTheme="minorEastAsia" w:eastAsiaTheme="minorEastAsia" w:cstheme="minorEastAsia"/>
                <w:color w:val="auto"/>
                <w:sz w:val="21"/>
                <w:szCs w:val="21"/>
                <w:shd w:val="clear" w:color="auto" w:fill="FFFFFF"/>
              </w:rPr>
              <w:t>延长作答时长：对指定考生延长答题时长。</w:t>
            </w:r>
          </w:p>
          <w:p w14:paraId="0A0516BC">
            <w:pPr>
              <w:pStyle w:val="13"/>
              <w:numPr>
                <w:ilvl w:val="1"/>
                <w:numId w:val="8"/>
              </w:numPr>
              <w:spacing w:before="156" w:after="156" w:line="276" w:lineRule="auto"/>
              <w:ind w:left="480" w:hanging="420" w:hangingChars="200"/>
              <w:rPr>
                <w:rFonts w:hint="eastAsia" w:asciiTheme="minorEastAsia" w:hAnsiTheme="minorEastAsia" w:eastAsiaTheme="minorEastAsia" w:cstheme="minorEastAsia"/>
                <w:color w:val="auto"/>
                <w:sz w:val="21"/>
                <w:szCs w:val="21"/>
                <w:shd w:val="clear" w:color="auto" w:fill="FFFFFF"/>
              </w:rPr>
            </w:pPr>
            <w:r>
              <w:rPr>
                <w:rFonts w:hint="eastAsia" w:asciiTheme="minorEastAsia" w:hAnsiTheme="minorEastAsia" w:eastAsiaTheme="minorEastAsia" w:cstheme="minorEastAsia"/>
                <w:color w:val="auto"/>
                <w:sz w:val="21"/>
                <w:szCs w:val="21"/>
                <w:shd w:val="clear" w:color="auto" w:fill="FFFFFF"/>
              </w:rPr>
              <w:t>增加答题机会：给指定考生增加答题机会，增加后考生可再次进入答题。</w:t>
            </w:r>
          </w:p>
          <w:p w14:paraId="4C98A8C5">
            <w:pPr>
              <w:pStyle w:val="13"/>
              <w:numPr>
                <w:ilvl w:val="1"/>
                <w:numId w:val="8"/>
              </w:numPr>
              <w:spacing w:before="156" w:after="156" w:line="276" w:lineRule="auto"/>
              <w:ind w:left="480" w:hanging="420" w:hangingChars="200"/>
              <w:rPr>
                <w:rFonts w:hint="eastAsia" w:asciiTheme="minorEastAsia" w:hAnsiTheme="minorEastAsia" w:eastAsiaTheme="minorEastAsia" w:cstheme="minorEastAsia"/>
                <w:color w:val="auto"/>
                <w:sz w:val="21"/>
                <w:szCs w:val="21"/>
                <w:shd w:val="clear" w:color="auto" w:fill="FFFFFF"/>
              </w:rPr>
            </w:pPr>
            <w:r>
              <w:rPr>
                <w:rFonts w:hint="eastAsia" w:asciiTheme="minorEastAsia" w:hAnsiTheme="minorEastAsia" w:eastAsiaTheme="minorEastAsia" w:cstheme="minorEastAsia"/>
                <w:color w:val="auto"/>
                <w:sz w:val="21"/>
                <w:szCs w:val="21"/>
                <w:shd w:val="clear" w:color="auto" w:fill="FFFFFF"/>
              </w:rPr>
              <w:t>解绑设备：为需要更换设备作答的考生解绑设备。</w:t>
            </w:r>
          </w:p>
          <w:p w14:paraId="19224744">
            <w:pPr>
              <w:pStyle w:val="13"/>
              <w:numPr>
                <w:ilvl w:val="1"/>
                <w:numId w:val="8"/>
              </w:numPr>
              <w:spacing w:before="156" w:after="156" w:line="276" w:lineRule="auto"/>
              <w:ind w:left="480" w:hanging="420" w:hangingChars="200"/>
              <w:rPr>
                <w:rFonts w:hint="eastAsia" w:asciiTheme="minorEastAsia" w:hAnsiTheme="minorEastAsia" w:eastAsiaTheme="minorEastAsia" w:cstheme="minorEastAsia"/>
                <w:color w:val="auto"/>
                <w:sz w:val="21"/>
                <w:szCs w:val="21"/>
                <w:shd w:val="clear" w:color="auto" w:fill="FFFFFF"/>
              </w:rPr>
            </w:pPr>
            <w:r>
              <w:rPr>
                <w:rFonts w:hint="eastAsia" w:asciiTheme="minorEastAsia" w:hAnsiTheme="minorEastAsia" w:eastAsiaTheme="minorEastAsia" w:cstheme="minorEastAsia"/>
                <w:color w:val="auto"/>
                <w:sz w:val="21"/>
                <w:szCs w:val="21"/>
                <w:shd w:val="clear" w:color="auto" w:fill="FFFFFF"/>
              </w:rPr>
              <w:t>一键补交：为非正常交卷考生开启补交，考生可在答题记录中一键补交。</w:t>
            </w:r>
          </w:p>
          <w:p w14:paraId="14BE9C91">
            <w:pPr>
              <w:pStyle w:val="13"/>
              <w:numPr>
                <w:ilvl w:val="1"/>
                <w:numId w:val="8"/>
              </w:numPr>
              <w:spacing w:before="156" w:after="156" w:line="276" w:lineRule="auto"/>
              <w:ind w:left="480" w:hanging="420" w:hangingChars="200"/>
              <w:rPr>
                <w:rFonts w:hint="eastAsia" w:asciiTheme="minorEastAsia" w:hAnsiTheme="minorEastAsia" w:eastAsiaTheme="minorEastAsia" w:cstheme="minorEastAsia"/>
                <w:color w:val="auto"/>
                <w:sz w:val="21"/>
                <w:szCs w:val="21"/>
                <w:shd w:val="clear" w:color="auto" w:fill="FFFFFF"/>
              </w:rPr>
            </w:pPr>
            <w:r>
              <w:rPr>
                <w:rFonts w:hint="eastAsia" w:asciiTheme="minorEastAsia" w:hAnsiTheme="minorEastAsia" w:eastAsiaTheme="minorEastAsia" w:cstheme="minorEastAsia"/>
                <w:color w:val="auto"/>
                <w:sz w:val="21"/>
                <w:szCs w:val="21"/>
                <w:shd w:val="clear" w:color="auto" w:fill="FFFFFF"/>
              </w:rPr>
              <w:t>考生个人监控：记录考生进入试卷、锁定解锁、交卷等时间轨迹。尤其适用于未提前或不适合导入用户数据（考试对象不属于本机构）的考试。答题记录实时存储在服务器端，支持异常中断后继续上次答题；学员不即使不主动交卷，后台也可以强制交卷。支持开启防作弊设置无操作限制、切屏锁定限制、每场考试自定义解锁码，答题随机抓拍。</w:t>
            </w:r>
          </w:p>
        </w:tc>
      </w:tr>
      <w:tr w14:paraId="3821B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shd w:val="clear" w:color="auto" w:fill="auto"/>
            <w:vAlign w:val="center"/>
          </w:tcPr>
          <w:p w14:paraId="528FF144">
            <w:pPr>
              <w:spacing w:line="276" w:lineRule="auto"/>
              <w:rPr>
                <w:rFonts w:hint="eastAsia" w:asciiTheme="minorEastAsia" w:hAnsiTheme="minorEastAsia" w:eastAsiaTheme="minorEastAsia" w:cstheme="minorEastAsia"/>
                <w:color w:val="auto"/>
                <w:sz w:val="21"/>
                <w:szCs w:val="21"/>
              </w:rPr>
            </w:pPr>
          </w:p>
        </w:tc>
        <w:tc>
          <w:tcPr>
            <w:tcW w:w="1274" w:type="dxa"/>
            <w:shd w:val="clear" w:color="auto" w:fill="auto"/>
            <w:vAlign w:val="center"/>
          </w:tcPr>
          <w:p w14:paraId="48A326E2">
            <w:pPr>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成绩管理</w:t>
            </w:r>
          </w:p>
        </w:tc>
        <w:tc>
          <w:tcPr>
            <w:tcW w:w="6097" w:type="dxa"/>
            <w:shd w:val="clear" w:color="auto" w:fill="auto"/>
          </w:tcPr>
          <w:p w14:paraId="10A86095">
            <w:pPr>
              <w:pStyle w:val="13"/>
              <w:numPr>
                <w:ilvl w:val="1"/>
                <w:numId w:val="9"/>
              </w:numPr>
              <w:spacing w:before="156" w:after="156" w:line="276" w:lineRule="auto"/>
              <w:ind w:left="480" w:hanging="420" w:hangingChars="200"/>
              <w:rPr>
                <w:rFonts w:hint="eastAsia" w:asciiTheme="minorEastAsia" w:hAnsiTheme="minorEastAsia" w:eastAsiaTheme="minorEastAsia" w:cstheme="minorEastAsia"/>
                <w:color w:val="auto"/>
                <w:sz w:val="21"/>
                <w:szCs w:val="21"/>
                <w:shd w:val="clear" w:color="auto" w:fill="FFFFFF"/>
              </w:rPr>
            </w:pPr>
            <w:r>
              <w:rPr>
                <w:rFonts w:hint="eastAsia" w:asciiTheme="minorEastAsia" w:hAnsiTheme="minorEastAsia" w:eastAsiaTheme="minorEastAsia" w:cstheme="minorEastAsia"/>
                <w:color w:val="auto"/>
                <w:sz w:val="21"/>
                <w:szCs w:val="21"/>
                <w:shd w:val="clear" w:color="auto" w:fill="FFFFFF"/>
              </w:rPr>
              <w:t>批量公布成绩：为未公布成绩和答题记录的考试公布成绩及答题记录。客观性（如选择）题可以立即显示成绩；主观性（如问答）题可在考试后由教师阅卷评分。</w:t>
            </w:r>
          </w:p>
          <w:p w14:paraId="61C7BB0E">
            <w:pPr>
              <w:pStyle w:val="13"/>
              <w:numPr>
                <w:ilvl w:val="1"/>
                <w:numId w:val="9"/>
              </w:numPr>
              <w:spacing w:before="156" w:after="156" w:line="276" w:lineRule="auto"/>
              <w:ind w:left="480" w:hanging="420" w:hangingChars="200"/>
              <w:rPr>
                <w:rFonts w:hint="eastAsia" w:asciiTheme="minorEastAsia" w:hAnsiTheme="minorEastAsia" w:eastAsiaTheme="minorEastAsia" w:cstheme="minorEastAsia"/>
                <w:color w:val="auto"/>
                <w:sz w:val="21"/>
                <w:szCs w:val="21"/>
                <w:shd w:val="clear" w:color="auto" w:fill="FFFFFF"/>
              </w:rPr>
            </w:pPr>
            <w:r>
              <w:rPr>
                <w:rFonts w:hint="eastAsia" w:asciiTheme="minorEastAsia" w:hAnsiTheme="minorEastAsia" w:eastAsiaTheme="minorEastAsia" w:cstheme="minorEastAsia"/>
                <w:color w:val="auto"/>
                <w:sz w:val="21"/>
                <w:szCs w:val="21"/>
                <w:shd w:val="clear" w:color="auto" w:fill="FFFFFF"/>
              </w:rPr>
              <w:t>导出考生成绩：考试结束后，可支持成绩导出。</w:t>
            </w:r>
          </w:p>
          <w:p w14:paraId="7CF6CD94">
            <w:pPr>
              <w:pStyle w:val="13"/>
              <w:numPr>
                <w:ilvl w:val="1"/>
                <w:numId w:val="9"/>
              </w:numPr>
              <w:spacing w:before="156" w:after="156" w:line="276" w:lineRule="auto"/>
              <w:ind w:left="480" w:hanging="420" w:hangingChars="200"/>
              <w:rPr>
                <w:rFonts w:hint="eastAsia" w:asciiTheme="minorEastAsia" w:hAnsiTheme="minorEastAsia" w:eastAsiaTheme="minorEastAsia" w:cstheme="minorEastAsia"/>
                <w:color w:val="auto"/>
                <w:sz w:val="21"/>
                <w:szCs w:val="21"/>
                <w:shd w:val="clear" w:color="auto" w:fill="FFFFFF"/>
              </w:rPr>
            </w:pPr>
            <w:r>
              <w:rPr>
                <w:rFonts w:hint="eastAsia" w:asciiTheme="minorEastAsia" w:hAnsiTheme="minorEastAsia" w:eastAsiaTheme="minorEastAsia" w:cstheme="minorEastAsia"/>
                <w:color w:val="auto"/>
                <w:sz w:val="21"/>
                <w:szCs w:val="21"/>
                <w:shd w:val="clear" w:color="auto" w:fill="FFFFFF"/>
              </w:rPr>
              <w:t>批量分析：多场考试批量分析，包括：整体分析、考生分析、知识点分析。</w:t>
            </w:r>
          </w:p>
        </w:tc>
      </w:tr>
      <w:tr w14:paraId="331C4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shd w:val="clear" w:color="auto" w:fill="auto"/>
            <w:vAlign w:val="center"/>
          </w:tcPr>
          <w:p w14:paraId="75412D29">
            <w:pPr>
              <w:spacing w:line="276" w:lineRule="auto"/>
              <w:rPr>
                <w:rFonts w:hint="eastAsia" w:asciiTheme="minorEastAsia" w:hAnsiTheme="minorEastAsia" w:eastAsiaTheme="minorEastAsia" w:cstheme="minorEastAsia"/>
                <w:color w:val="auto"/>
                <w:sz w:val="21"/>
                <w:szCs w:val="21"/>
              </w:rPr>
            </w:pPr>
          </w:p>
        </w:tc>
        <w:tc>
          <w:tcPr>
            <w:tcW w:w="1274" w:type="dxa"/>
            <w:shd w:val="clear" w:color="auto" w:fill="auto"/>
            <w:vAlign w:val="center"/>
          </w:tcPr>
          <w:p w14:paraId="36B88471">
            <w:pPr>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统计分析</w:t>
            </w:r>
          </w:p>
        </w:tc>
        <w:tc>
          <w:tcPr>
            <w:tcW w:w="6097" w:type="dxa"/>
            <w:shd w:val="clear" w:color="auto" w:fill="auto"/>
          </w:tcPr>
          <w:p w14:paraId="25868CD6">
            <w:pPr>
              <w:pStyle w:val="13"/>
              <w:numPr>
                <w:ilvl w:val="0"/>
                <w:numId w:val="10"/>
              </w:numPr>
              <w:spacing w:before="156" w:after="156" w:line="276" w:lineRule="auto"/>
              <w:ind w:left="480" w:hanging="420" w:hangingChars="200"/>
              <w:rPr>
                <w:rFonts w:hint="eastAsia" w:asciiTheme="minorEastAsia" w:hAnsiTheme="minorEastAsia" w:eastAsiaTheme="minorEastAsia" w:cstheme="minorEastAsia"/>
                <w:color w:val="auto"/>
                <w:sz w:val="21"/>
                <w:szCs w:val="21"/>
                <w:shd w:val="clear" w:color="auto" w:fill="FFFFFF"/>
              </w:rPr>
            </w:pPr>
            <w:r>
              <w:rPr>
                <w:rFonts w:hint="eastAsia" w:asciiTheme="minorEastAsia" w:hAnsiTheme="minorEastAsia" w:eastAsiaTheme="minorEastAsia" w:cstheme="minorEastAsia"/>
                <w:color w:val="auto"/>
                <w:sz w:val="21"/>
                <w:szCs w:val="21"/>
                <w:shd w:val="clear" w:color="auto" w:fill="FFFFFF"/>
              </w:rPr>
              <w:t>成绩统计：</w:t>
            </w:r>
          </w:p>
          <w:p w14:paraId="44EA7583">
            <w:pPr>
              <w:pStyle w:val="13"/>
              <w:numPr>
                <w:ilvl w:val="1"/>
                <w:numId w:val="10"/>
              </w:numPr>
              <w:spacing w:before="156" w:after="156" w:line="276" w:lineRule="auto"/>
              <w:ind w:left="480" w:hanging="420" w:hangingChars="200"/>
              <w:rPr>
                <w:rFonts w:hint="eastAsia" w:asciiTheme="minorEastAsia" w:hAnsiTheme="minorEastAsia" w:eastAsiaTheme="minorEastAsia" w:cstheme="minorEastAsia"/>
                <w:color w:val="auto"/>
                <w:sz w:val="21"/>
                <w:szCs w:val="21"/>
                <w:shd w:val="clear" w:color="auto" w:fill="FFFFFF"/>
              </w:rPr>
            </w:pPr>
            <w:r>
              <w:rPr>
                <w:rFonts w:hint="eastAsia" w:asciiTheme="minorEastAsia" w:hAnsiTheme="minorEastAsia" w:eastAsiaTheme="minorEastAsia" w:cstheme="minorEastAsia"/>
                <w:color w:val="auto"/>
                <w:sz w:val="21"/>
                <w:szCs w:val="21"/>
                <w:shd w:val="clear" w:color="auto" w:fill="FFFFFF"/>
              </w:rPr>
              <w:t>成绩分析：按专业、年级、部门、学历对比应考人数、缺考人数、平均用时、成绩的最低分、最高分、平均分、及格人数、未及格人数、及格率。</w:t>
            </w:r>
          </w:p>
          <w:p w14:paraId="49039AC5">
            <w:pPr>
              <w:pStyle w:val="13"/>
              <w:numPr>
                <w:ilvl w:val="1"/>
                <w:numId w:val="10"/>
              </w:numPr>
              <w:spacing w:before="156" w:after="156" w:line="276" w:lineRule="auto"/>
              <w:ind w:left="480" w:hanging="420" w:hangingChars="200"/>
              <w:rPr>
                <w:rFonts w:hint="eastAsia" w:asciiTheme="minorEastAsia" w:hAnsiTheme="minorEastAsia" w:eastAsiaTheme="minorEastAsia" w:cstheme="minorEastAsia"/>
                <w:color w:val="auto"/>
                <w:sz w:val="21"/>
                <w:szCs w:val="21"/>
                <w:shd w:val="clear" w:color="auto" w:fill="FFFFFF"/>
              </w:rPr>
            </w:pPr>
            <w:r>
              <w:rPr>
                <w:rFonts w:hint="eastAsia" w:asciiTheme="minorEastAsia" w:hAnsiTheme="minorEastAsia" w:eastAsiaTheme="minorEastAsia" w:cstheme="minorEastAsia"/>
                <w:color w:val="auto"/>
                <w:sz w:val="21"/>
                <w:szCs w:val="21"/>
                <w:shd w:val="clear" w:color="auto" w:fill="FFFFFF"/>
              </w:rPr>
              <w:t>成绩区间统计：统计各个成绩区间的人数</w:t>
            </w:r>
          </w:p>
          <w:p w14:paraId="5C46342A">
            <w:pPr>
              <w:pStyle w:val="13"/>
              <w:numPr>
                <w:ilvl w:val="0"/>
                <w:numId w:val="10"/>
              </w:numPr>
              <w:spacing w:before="156" w:after="156" w:line="276" w:lineRule="auto"/>
              <w:ind w:left="480" w:hanging="420" w:hangingChars="200"/>
              <w:rPr>
                <w:rFonts w:hint="eastAsia" w:asciiTheme="minorEastAsia" w:hAnsiTheme="minorEastAsia" w:eastAsiaTheme="minorEastAsia" w:cstheme="minorEastAsia"/>
                <w:color w:val="auto"/>
                <w:sz w:val="21"/>
                <w:szCs w:val="21"/>
                <w:shd w:val="clear" w:color="auto" w:fill="FFFFFF"/>
              </w:rPr>
            </w:pPr>
            <w:r>
              <w:rPr>
                <w:rFonts w:hint="eastAsia" w:asciiTheme="minorEastAsia" w:hAnsiTheme="minorEastAsia" w:eastAsiaTheme="minorEastAsia" w:cstheme="minorEastAsia"/>
                <w:color w:val="auto"/>
                <w:sz w:val="21"/>
                <w:szCs w:val="21"/>
                <w:shd w:val="clear" w:color="auto" w:fill="FFFFFF"/>
              </w:rPr>
              <w:t>题型分析：各题型的正确率、答对分数、答错分数、未答分数、总分、平均分、题数</w:t>
            </w:r>
          </w:p>
          <w:p w14:paraId="1925CAF5">
            <w:pPr>
              <w:pStyle w:val="13"/>
              <w:numPr>
                <w:ilvl w:val="0"/>
                <w:numId w:val="10"/>
              </w:numPr>
              <w:spacing w:before="156" w:after="156" w:line="276" w:lineRule="auto"/>
              <w:ind w:left="480" w:hanging="420" w:hangingChars="200"/>
              <w:rPr>
                <w:rFonts w:hint="eastAsia" w:asciiTheme="minorEastAsia" w:hAnsiTheme="minorEastAsia" w:eastAsiaTheme="minorEastAsia" w:cstheme="minorEastAsia"/>
                <w:color w:val="auto"/>
                <w:sz w:val="21"/>
                <w:szCs w:val="21"/>
                <w:shd w:val="clear" w:color="auto" w:fill="FFFFFF"/>
              </w:rPr>
            </w:pPr>
            <w:r>
              <w:rPr>
                <w:rFonts w:hint="eastAsia" w:asciiTheme="minorEastAsia" w:hAnsiTheme="minorEastAsia" w:eastAsiaTheme="minorEastAsia" w:cstheme="minorEastAsia"/>
                <w:color w:val="auto"/>
                <w:sz w:val="21"/>
                <w:szCs w:val="21"/>
                <w:shd w:val="clear" w:color="auto" w:fill="FFFFFF"/>
              </w:rPr>
              <w:t>试题分析：统计每道题的参答人数、答对人数、答错人数、未答人数、正确率。</w:t>
            </w:r>
          </w:p>
          <w:p w14:paraId="30508847">
            <w:pPr>
              <w:pStyle w:val="13"/>
              <w:numPr>
                <w:ilvl w:val="0"/>
                <w:numId w:val="10"/>
              </w:numPr>
              <w:spacing w:before="156" w:after="156" w:line="276" w:lineRule="auto"/>
              <w:ind w:left="480" w:hanging="420" w:hangingChars="200"/>
              <w:rPr>
                <w:rFonts w:hint="eastAsia" w:asciiTheme="minorEastAsia" w:hAnsiTheme="minorEastAsia" w:eastAsiaTheme="minorEastAsia" w:cstheme="minorEastAsia"/>
                <w:color w:val="auto"/>
                <w:sz w:val="21"/>
                <w:szCs w:val="21"/>
                <w:shd w:val="clear" w:color="auto" w:fill="FFFFFF"/>
              </w:rPr>
            </w:pPr>
            <w:r>
              <w:rPr>
                <w:rFonts w:hint="eastAsia" w:asciiTheme="minorEastAsia" w:hAnsiTheme="minorEastAsia" w:eastAsiaTheme="minorEastAsia" w:cstheme="minorEastAsia"/>
                <w:color w:val="auto"/>
                <w:sz w:val="21"/>
                <w:szCs w:val="21"/>
                <w:shd w:val="clear" w:color="auto" w:fill="FFFFFF"/>
              </w:rPr>
              <w:t>导出考试分析：支持导出整场考试的数据分析。</w:t>
            </w:r>
          </w:p>
        </w:tc>
      </w:tr>
      <w:tr w14:paraId="4FA88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restart"/>
            <w:shd w:val="clear" w:color="auto" w:fill="auto"/>
            <w:vAlign w:val="center"/>
          </w:tcPr>
          <w:p w14:paraId="6729073A">
            <w:pPr>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PC web端-考生端</w:t>
            </w:r>
          </w:p>
        </w:tc>
        <w:tc>
          <w:tcPr>
            <w:tcW w:w="1274" w:type="dxa"/>
            <w:shd w:val="clear" w:color="auto" w:fill="auto"/>
            <w:vAlign w:val="center"/>
          </w:tcPr>
          <w:p w14:paraId="5769C61D">
            <w:pPr>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特点</w:t>
            </w:r>
          </w:p>
        </w:tc>
        <w:tc>
          <w:tcPr>
            <w:tcW w:w="6097" w:type="dxa"/>
            <w:shd w:val="clear" w:color="auto" w:fill="auto"/>
          </w:tcPr>
          <w:p w14:paraId="000EACE9">
            <w:pPr>
              <w:spacing w:line="276" w:lineRule="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为学习者提供日常练习、模拟考试、正式考试三位一体的考试服务。考试，随机练习，章节练习，试题解析，模拟测验、错题重做、试题收藏、查找试题等功能，有助于学生提高各类考试通过率，提升整体成绩。</w:t>
            </w:r>
          </w:p>
          <w:p w14:paraId="1D0E2AE6">
            <w:pPr>
              <w:pStyle w:val="13"/>
              <w:numPr>
                <w:ilvl w:val="0"/>
                <w:numId w:val="11"/>
              </w:numPr>
              <w:spacing w:before="152" w:after="152" w:line="276" w:lineRule="auto"/>
              <w:ind w:left="480" w:hanging="420" w:hangingChars="200"/>
              <w:rPr>
                <w:rFonts w:hint="eastAsia" w:asciiTheme="minorEastAsia" w:hAnsiTheme="minorEastAsia" w:eastAsiaTheme="minorEastAsia" w:cstheme="minorEastAsia"/>
                <w:color w:val="auto"/>
                <w:sz w:val="21"/>
                <w:szCs w:val="21"/>
                <w:shd w:val="clear" w:color="auto" w:fill="FFFFFF"/>
              </w:rPr>
            </w:pPr>
            <w:r>
              <w:rPr>
                <w:rFonts w:hint="eastAsia" w:asciiTheme="minorEastAsia" w:hAnsiTheme="minorEastAsia" w:eastAsiaTheme="minorEastAsia" w:cstheme="minorEastAsia"/>
                <w:color w:val="auto"/>
                <w:sz w:val="21"/>
                <w:szCs w:val="21"/>
                <w:shd w:val="clear" w:color="auto" w:fill="FFFFFF"/>
              </w:rPr>
              <w:t>考试：具备考试码考试功能，任何书包APP注册用户均可通过输入考试码来参加考试。具备正常考试功能，进入答题交卷。答题记录实时存储在服务器端，支持异常中断后继续上次答题；学员不即使不主动交卷，后台也可以强制交卷。</w:t>
            </w:r>
          </w:p>
          <w:p w14:paraId="11C3039A">
            <w:pPr>
              <w:pStyle w:val="13"/>
              <w:numPr>
                <w:ilvl w:val="0"/>
                <w:numId w:val="11"/>
              </w:numPr>
              <w:spacing w:before="152" w:after="152" w:line="276" w:lineRule="auto"/>
              <w:ind w:left="480" w:hanging="420" w:hangingChars="200"/>
              <w:rPr>
                <w:rFonts w:hint="eastAsia" w:asciiTheme="minorEastAsia" w:hAnsiTheme="minorEastAsia" w:eastAsiaTheme="minorEastAsia" w:cstheme="minorEastAsia"/>
                <w:color w:val="auto"/>
                <w:sz w:val="21"/>
                <w:szCs w:val="21"/>
                <w:shd w:val="clear" w:color="auto" w:fill="FFFFFF"/>
              </w:rPr>
            </w:pPr>
            <w:r>
              <w:rPr>
                <w:rFonts w:hint="eastAsia" w:asciiTheme="minorEastAsia" w:hAnsiTheme="minorEastAsia" w:eastAsiaTheme="minorEastAsia" w:cstheme="minorEastAsia"/>
                <w:color w:val="auto"/>
                <w:sz w:val="21"/>
                <w:szCs w:val="21"/>
                <w:shd w:val="clear" w:color="auto" w:fill="FFFFFF"/>
              </w:rPr>
              <w:t>考生端支持答一题存一题功能，异常退出可保存答题记录。支持考试中的考生个人监控，记录考生进入试卷、锁定解锁、交卷等时间轨迹。支持锁屏防作弊功能，考试过程中，考生不能跳出查询答案。</w:t>
            </w:r>
          </w:p>
          <w:p w14:paraId="3D3BA1EC">
            <w:pPr>
              <w:pStyle w:val="13"/>
              <w:numPr>
                <w:ilvl w:val="0"/>
                <w:numId w:val="11"/>
              </w:numPr>
              <w:spacing w:before="152" w:after="152" w:line="276" w:lineRule="auto"/>
              <w:ind w:left="480" w:hanging="420" w:hangingChars="200"/>
              <w:rPr>
                <w:rFonts w:hint="eastAsia" w:asciiTheme="minorEastAsia" w:hAnsiTheme="minorEastAsia" w:eastAsiaTheme="minorEastAsia" w:cstheme="minorEastAsia"/>
                <w:color w:val="auto"/>
                <w:sz w:val="21"/>
                <w:szCs w:val="21"/>
                <w:shd w:val="clear" w:color="auto" w:fill="FFFFFF"/>
              </w:rPr>
            </w:pPr>
            <w:r>
              <w:rPr>
                <w:rFonts w:hint="eastAsia" w:asciiTheme="minorEastAsia" w:hAnsiTheme="minorEastAsia" w:eastAsiaTheme="minorEastAsia" w:cstheme="minorEastAsia"/>
                <w:color w:val="auto"/>
                <w:sz w:val="21"/>
                <w:szCs w:val="21"/>
                <w:shd w:val="clear" w:color="auto" w:fill="FFFFFF"/>
              </w:rPr>
              <w:t>防作弊升级</w:t>
            </w:r>
            <w:r>
              <w:rPr>
                <w:rFonts w:hint="eastAsia" w:asciiTheme="minorEastAsia" w:hAnsiTheme="minorEastAsia" w:eastAsiaTheme="minorEastAsia" w:cstheme="minorEastAsia"/>
                <w:color w:val="auto"/>
                <w:sz w:val="21"/>
                <w:szCs w:val="21"/>
                <w:shd w:val="clear" w:color="auto" w:fill="FFFFFF"/>
                <w:lang w:eastAsia="zh-CN"/>
              </w:rPr>
              <w:t>：</w:t>
            </w:r>
            <w:r>
              <w:rPr>
                <w:rFonts w:hint="eastAsia" w:asciiTheme="minorEastAsia" w:hAnsiTheme="minorEastAsia" w:eastAsiaTheme="minorEastAsia" w:cstheme="minorEastAsia"/>
                <w:color w:val="auto"/>
                <w:sz w:val="21"/>
                <w:szCs w:val="21"/>
                <w:shd w:val="clear" w:color="auto" w:fill="FFFFFF"/>
              </w:rPr>
              <w:t>支持设置切出屏幕时长认定作弊及设置锁屏解锁限制次数。支持考试过程中的设备绑定，开考后无法更换设备答题，如需更换联系管理员解绑。</w:t>
            </w:r>
          </w:p>
        </w:tc>
      </w:tr>
      <w:tr w14:paraId="537B5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shd w:val="clear" w:color="auto" w:fill="auto"/>
            <w:vAlign w:val="center"/>
          </w:tcPr>
          <w:p w14:paraId="2C66AE4B">
            <w:pPr>
              <w:spacing w:line="276" w:lineRule="auto"/>
              <w:rPr>
                <w:rFonts w:hint="eastAsia" w:asciiTheme="minorEastAsia" w:hAnsiTheme="minorEastAsia" w:eastAsiaTheme="minorEastAsia" w:cstheme="minorEastAsia"/>
                <w:color w:val="auto"/>
                <w:sz w:val="21"/>
                <w:szCs w:val="21"/>
              </w:rPr>
            </w:pPr>
          </w:p>
        </w:tc>
        <w:tc>
          <w:tcPr>
            <w:tcW w:w="1274" w:type="dxa"/>
            <w:shd w:val="clear" w:color="auto" w:fill="auto"/>
            <w:vAlign w:val="center"/>
          </w:tcPr>
          <w:p w14:paraId="1B7919F8">
            <w:pPr>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模拟测试及练习</w:t>
            </w:r>
          </w:p>
        </w:tc>
        <w:tc>
          <w:tcPr>
            <w:tcW w:w="6097" w:type="dxa"/>
            <w:shd w:val="clear" w:color="auto" w:fill="auto"/>
          </w:tcPr>
          <w:p w14:paraId="2B996D83">
            <w:pPr>
              <w:pStyle w:val="14"/>
              <w:numPr>
                <w:ilvl w:val="0"/>
                <w:numId w:val="12"/>
              </w:numPr>
              <w:spacing w:line="276" w:lineRule="auto"/>
              <w:rPr>
                <w:rFonts w:hint="eastAsia" w:asciiTheme="minorEastAsia" w:hAnsiTheme="minorEastAsia" w:eastAsiaTheme="minorEastAsia" w:cstheme="minorEastAsia"/>
                <w:b w:val="0"/>
                <w:color w:val="auto"/>
                <w:kern w:val="0"/>
                <w:sz w:val="21"/>
                <w:szCs w:val="21"/>
              </w:rPr>
            </w:pPr>
            <w:r>
              <w:rPr>
                <w:rFonts w:hint="eastAsia" w:asciiTheme="minorEastAsia" w:hAnsiTheme="minorEastAsia" w:eastAsiaTheme="minorEastAsia" w:cstheme="minorEastAsia"/>
                <w:b w:val="0"/>
                <w:color w:val="auto"/>
                <w:kern w:val="0"/>
                <w:sz w:val="21"/>
                <w:szCs w:val="21"/>
              </w:rPr>
              <w:t>随机练习：根据题型选择试题，满足多种维度练习的需求；</w:t>
            </w:r>
          </w:p>
          <w:p w14:paraId="3EE9C4D8">
            <w:pPr>
              <w:pStyle w:val="14"/>
              <w:numPr>
                <w:ilvl w:val="0"/>
                <w:numId w:val="12"/>
              </w:numPr>
              <w:spacing w:line="276" w:lineRule="auto"/>
              <w:rPr>
                <w:rFonts w:hint="eastAsia" w:asciiTheme="minorEastAsia" w:hAnsiTheme="minorEastAsia" w:eastAsiaTheme="minorEastAsia" w:cstheme="minorEastAsia"/>
                <w:b w:val="0"/>
                <w:color w:val="auto"/>
                <w:kern w:val="0"/>
                <w:sz w:val="21"/>
                <w:szCs w:val="21"/>
              </w:rPr>
            </w:pPr>
            <w:r>
              <w:rPr>
                <w:rFonts w:hint="eastAsia" w:asciiTheme="minorEastAsia" w:hAnsiTheme="minorEastAsia" w:eastAsiaTheme="minorEastAsia" w:cstheme="minorEastAsia"/>
                <w:b w:val="0"/>
                <w:color w:val="auto"/>
                <w:kern w:val="0"/>
                <w:sz w:val="21"/>
                <w:szCs w:val="21"/>
              </w:rPr>
              <w:t>章节练习：按学科章节组织试题，满足课前预习、课后同步练习的学习需要，让学习更有针对性；</w:t>
            </w:r>
          </w:p>
          <w:p w14:paraId="3B33DB0A">
            <w:pPr>
              <w:pStyle w:val="14"/>
              <w:numPr>
                <w:ilvl w:val="0"/>
                <w:numId w:val="12"/>
              </w:numPr>
              <w:spacing w:line="276" w:lineRule="auto"/>
              <w:rPr>
                <w:rFonts w:hint="eastAsia" w:asciiTheme="minorEastAsia" w:hAnsiTheme="minorEastAsia" w:eastAsiaTheme="minorEastAsia" w:cstheme="minorEastAsia"/>
                <w:b w:val="0"/>
                <w:color w:val="auto"/>
                <w:kern w:val="0"/>
                <w:sz w:val="21"/>
                <w:szCs w:val="21"/>
              </w:rPr>
            </w:pPr>
            <w:r>
              <w:rPr>
                <w:rFonts w:hint="eastAsia" w:asciiTheme="minorEastAsia" w:hAnsiTheme="minorEastAsia" w:eastAsiaTheme="minorEastAsia" w:cstheme="minorEastAsia"/>
                <w:b w:val="0"/>
                <w:color w:val="auto"/>
                <w:kern w:val="0"/>
                <w:sz w:val="21"/>
                <w:szCs w:val="21"/>
              </w:rPr>
              <w:t>试题解析：疑点难点深入剖析，随时查看快速释疑，有效提升学习质量；</w:t>
            </w:r>
          </w:p>
          <w:p w14:paraId="3F68BE7D">
            <w:pPr>
              <w:pStyle w:val="14"/>
              <w:numPr>
                <w:ilvl w:val="0"/>
                <w:numId w:val="12"/>
              </w:numPr>
              <w:spacing w:line="276" w:lineRule="auto"/>
              <w:rPr>
                <w:rFonts w:hint="eastAsia" w:asciiTheme="minorEastAsia" w:hAnsiTheme="minorEastAsia" w:eastAsiaTheme="minorEastAsia" w:cstheme="minorEastAsia"/>
                <w:b w:val="0"/>
                <w:color w:val="auto"/>
                <w:kern w:val="0"/>
                <w:sz w:val="21"/>
                <w:szCs w:val="21"/>
              </w:rPr>
            </w:pPr>
            <w:r>
              <w:rPr>
                <w:rFonts w:hint="eastAsia" w:asciiTheme="minorEastAsia" w:hAnsiTheme="minorEastAsia" w:eastAsiaTheme="minorEastAsia" w:cstheme="minorEastAsia"/>
                <w:b w:val="0"/>
                <w:color w:val="auto"/>
                <w:kern w:val="0"/>
                <w:sz w:val="21"/>
                <w:szCs w:val="21"/>
              </w:rPr>
              <w:t>同步测验：按学科组织试题，有针对性组织模拟测验，可自由选择测验时间；</w:t>
            </w:r>
          </w:p>
          <w:p w14:paraId="26749011">
            <w:pPr>
              <w:pStyle w:val="14"/>
              <w:numPr>
                <w:ilvl w:val="0"/>
                <w:numId w:val="12"/>
              </w:numPr>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color w:val="auto"/>
                <w:kern w:val="0"/>
                <w:sz w:val="21"/>
                <w:szCs w:val="21"/>
              </w:rPr>
              <w:t>查找试题：通过题干关键词模糊匹配，快速定位目标试题，提升学习效率。</w:t>
            </w:r>
          </w:p>
        </w:tc>
      </w:tr>
      <w:tr w14:paraId="149B6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shd w:val="clear" w:color="auto" w:fill="auto"/>
            <w:vAlign w:val="center"/>
          </w:tcPr>
          <w:p w14:paraId="69DBB8CE">
            <w:pPr>
              <w:spacing w:line="276" w:lineRule="auto"/>
              <w:rPr>
                <w:rFonts w:hint="eastAsia" w:asciiTheme="minorEastAsia" w:hAnsiTheme="minorEastAsia" w:eastAsiaTheme="minorEastAsia" w:cstheme="minorEastAsia"/>
                <w:color w:val="auto"/>
                <w:sz w:val="21"/>
                <w:szCs w:val="21"/>
              </w:rPr>
            </w:pPr>
          </w:p>
        </w:tc>
        <w:tc>
          <w:tcPr>
            <w:tcW w:w="1274" w:type="dxa"/>
            <w:shd w:val="clear" w:color="auto" w:fill="auto"/>
            <w:vAlign w:val="center"/>
          </w:tcPr>
          <w:p w14:paraId="58B8D9FC">
            <w:pPr>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我的考试</w:t>
            </w:r>
          </w:p>
        </w:tc>
        <w:tc>
          <w:tcPr>
            <w:tcW w:w="6097" w:type="dxa"/>
            <w:shd w:val="clear" w:color="auto" w:fill="auto"/>
          </w:tcPr>
          <w:p w14:paraId="47A5698D">
            <w:pPr>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模拟真实考场环境，进行实战演练，有效缓解考试紧张情绪。</w:t>
            </w:r>
          </w:p>
        </w:tc>
      </w:tr>
      <w:tr w14:paraId="01C7C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shd w:val="clear" w:color="auto" w:fill="auto"/>
            <w:vAlign w:val="center"/>
          </w:tcPr>
          <w:p w14:paraId="430A1F73">
            <w:pPr>
              <w:spacing w:line="276" w:lineRule="auto"/>
              <w:rPr>
                <w:rFonts w:hint="eastAsia" w:asciiTheme="minorEastAsia" w:hAnsiTheme="minorEastAsia" w:eastAsiaTheme="minorEastAsia" w:cstheme="minorEastAsia"/>
                <w:color w:val="auto"/>
                <w:sz w:val="21"/>
                <w:szCs w:val="21"/>
              </w:rPr>
            </w:pPr>
          </w:p>
        </w:tc>
        <w:tc>
          <w:tcPr>
            <w:tcW w:w="1274" w:type="dxa"/>
            <w:shd w:val="clear" w:color="auto" w:fill="auto"/>
            <w:vAlign w:val="center"/>
          </w:tcPr>
          <w:p w14:paraId="53EDD69A">
            <w:pPr>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考试记录</w:t>
            </w:r>
          </w:p>
        </w:tc>
        <w:tc>
          <w:tcPr>
            <w:tcW w:w="6097" w:type="dxa"/>
            <w:shd w:val="clear" w:color="auto" w:fill="auto"/>
          </w:tcPr>
          <w:p w14:paraId="1E186C8E">
            <w:pPr>
              <w:pStyle w:val="14"/>
              <w:numPr>
                <w:ilvl w:val="0"/>
                <w:numId w:val="13"/>
              </w:numPr>
              <w:spacing w:line="276" w:lineRule="auto"/>
              <w:jc w:val="left"/>
              <w:rPr>
                <w:rFonts w:hint="eastAsia" w:asciiTheme="minorEastAsia" w:hAnsiTheme="minorEastAsia" w:eastAsiaTheme="minorEastAsia" w:cstheme="minorEastAsia"/>
                <w:b w:val="0"/>
                <w:color w:val="auto"/>
                <w:kern w:val="0"/>
                <w:sz w:val="21"/>
                <w:szCs w:val="21"/>
              </w:rPr>
            </w:pPr>
            <w:r>
              <w:rPr>
                <w:rFonts w:hint="eastAsia" w:asciiTheme="minorEastAsia" w:hAnsiTheme="minorEastAsia" w:eastAsiaTheme="minorEastAsia" w:cstheme="minorEastAsia"/>
                <w:b w:val="0"/>
                <w:color w:val="auto"/>
                <w:kern w:val="0"/>
                <w:sz w:val="21"/>
                <w:szCs w:val="21"/>
              </w:rPr>
              <w:t>可以查看考试成绩和答题记录，同时可以看到试题的正确答案以及解析，方便考生针对错题进行学习，巩固知识。</w:t>
            </w:r>
          </w:p>
          <w:p w14:paraId="0F4AFC43">
            <w:pPr>
              <w:pStyle w:val="14"/>
              <w:numPr>
                <w:ilvl w:val="0"/>
                <w:numId w:val="13"/>
              </w:numPr>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color w:val="auto"/>
                <w:kern w:val="0"/>
                <w:sz w:val="21"/>
                <w:szCs w:val="21"/>
              </w:rPr>
              <w:t>考试分析：包含排名显示，个人考试知识点掌握情况和本场考试（组织内）内知识点答题情况，方便对比分析以及查漏补缺；</w:t>
            </w:r>
          </w:p>
        </w:tc>
      </w:tr>
      <w:tr w14:paraId="10466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shd w:val="clear" w:color="auto" w:fill="auto"/>
            <w:vAlign w:val="center"/>
          </w:tcPr>
          <w:p w14:paraId="460FFCDA">
            <w:pPr>
              <w:spacing w:line="276" w:lineRule="auto"/>
              <w:rPr>
                <w:rFonts w:hint="eastAsia" w:asciiTheme="minorEastAsia" w:hAnsiTheme="minorEastAsia" w:eastAsiaTheme="minorEastAsia" w:cstheme="minorEastAsia"/>
                <w:color w:val="auto"/>
                <w:sz w:val="21"/>
                <w:szCs w:val="21"/>
              </w:rPr>
            </w:pPr>
          </w:p>
        </w:tc>
        <w:tc>
          <w:tcPr>
            <w:tcW w:w="1274" w:type="dxa"/>
            <w:shd w:val="clear" w:color="auto" w:fill="auto"/>
            <w:vAlign w:val="center"/>
          </w:tcPr>
          <w:p w14:paraId="24E07A99">
            <w:pPr>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我的错题</w:t>
            </w:r>
          </w:p>
        </w:tc>
        <w:tc>
          <w:tcPr>
            <w:tcW w:w="6097" w:type="dxa"/>
            <w:shd w:val="clear" w:color="auto" w:fill="auto"/>
          </w:tcPr>
          <w:p w14:paraId="43C0A03B">
            <w:pPr>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错题重做：精准记录错题，可进行错题重做，巩固学习效果。</w:t>
            </w:r>
          </w:p>
        </w:tc>
      </w:tr>
      <w:tr w14:paraId="112CB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shd w:val="clear" w:color="auto" w:fill="auto"/>
            <w:vAlign w:val="center"/>
          </w:tcPr>
          <w:p w14:paraId="07615A2F">
            <w:pPr>
              <w:spacing w:line="276" w:lineRule="auto"/>
              <w:rPr>
                <w:rFonts w:hint="eastAsia" w:asciiTheme="minorEastAsia" w:hAnsiTheme="minorEastAsia" w:eastAsiaTheme="minorEastAsia" w:cstheme="minorEastAsia"/>
                <w:color w:val="auto"/>
                <w:sz w:val="21"/>
                <w:szCs w:val="21"/>
              </w:rPr>
            </w:pPr>
          </w:p>
        </w:tc>
        <w:tc>
          <w:tcPr>
            <w:tcW w:w="1274" w:type="dxa"/>
            <w:shd w:val="clear" w:color="auto" w:fill="auto"/>
            <w:vAlign w:val="center"/>
          </w:tcPr>
          <w:p w14:paraId="4A333D6E">
            <w:pPr>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我的收藏</w:t>
            </w:r>
          </w:p>
        </w:tc>
        <w:tc>
          <w:tcPr>
            <w:tcW w:w="6097" w:type="dxa"/>
            <w:shd w:val="clear" w:color="auto" w:fill="auto"/>
          </w:tcPr>
          <w:p w14:paraId="4BFB2120">
            <w:pPr>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试题收藏：轻松做标记，可反复快速查看试题。</w:t>
            </w:r>
          </w:p>
        </w:tc>
      </w:tr>
      <w:tr w14:paraId="2C686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shd w:val="clear" w:color="auto" w:fill="auto"/>
            <w:vAlign w:val="center"/>
          </w:tcPr>
          <w:p w14:paraId="55D89472">
            <w:pPr>
              <w:spacing w:line="276" w:lineRule="auto"/>
              <w:rPr>
                <w:rFonts w:hint="eastAsia" w:asciiTheme="minorEastAsia" w:hAnsiTheme="minorEastAsia" w:eastAsiaTheme="minorEastAsia" w:cstheme="minorEastAsia"/>
                <w:color w:val="auto"/>
                <w:sz w:val="21"/>
                <w:szCs w:val="21"/>
              </w:rPr>
            </w:pPr>
          </w:p>
        </w:tc>
        <w:tc>
          <w:tcPr>
            <w:tcW w:w="1274" w:type="dxa"/>
            <w:shd w:val="clear" w:color="auto" w:fill="auto"/>
            <w:vAlign w:val="center"/>
          </w:tcPr>
          <w:p w14:paraId="6F7A606C">
            <w:pPr>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答题统计</w:t>
            </w:r>
          </w:p>
        </w:tc>
        <w:tc>
          <w:tcPr>
            <w:tcW w:w="6097" w:type="dxa"/>
            <w:shd w:val="clear" w:color="auto" w:fill="auto"/>
          </w:tcPr>
          <w:p w14:paraId="2A0F3806">
            <w:pPr>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统计总体的答题量、正确率。同时支持按照知识点分类统计答题量和正确率，可以知道易错知识点，可以有针对性地学习和做题。</w:t>
            </w:r>
          </w:p>
        </w:tc>
      </w:tr>
      <w:tr w14:paraId="683FF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restart"/>
            <w:shd w:val="clear" w:color="auto" w:fill="auto"/>
            <w:vAlign w:val="center"/>
          </w:tcPr>
          <w:p w14:paraId="531CD035">
            <w:pPr>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移动端</w:t>
            </w:r>
          </w:p>
        </w:tc>
        <w:tc>
          <w:tcPr>
            <w:tcW w:w="1274" w:type="dxa"/>
            <w:shd w:val="clear" w:color="auto" w:fill="auto"/>
            <w:vAlign w:val="center"/>
          </w:tcPr>
          <w:p w14:paraId="34D667BE">
            <w:pPr>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特点</w:t>
            </w:r>
          </w:p>
        </w:tc>
        <w:tc>
          <w:tcPr>
            <w:tcW w:w="6097" w:type="dxa"/>
            <w:shd w:val="clear" w:color="auto" w:fill="auto"/>
          </w:tcPr>
          <w:p w14:paraId="3AB1D07B">
            <w:pPr>
              <w:pStyle w:val="14"/>
              <w:numPr>
                <w:ilvl w:val="0"/>
                <w:numId w:val="14"/>
              </w:numPr>
              <w:spacing w:line="276" w:lineRule="auto"/>
              <w:jc w:val="left"/>
              <w:rPr>
                <w:rFonts w:hint="eastAsia" w:asciiTheme="minorEastAsia" w:hAnsiTheme="minorEastAsia" w:eastAsiaTheme="minorEastAsia" w:cstheme="minorEastAsia"/>
                <w:b w:val="0"/>
                <w:color w:val="auto"/>
                <w:sz w:val="21"/>
                <w:szCs w:val="21"/>
              </w:rPr>
            </w:pPr>
            <w:r>
              <w:rPr>
                <w:rFonts w:hint="eastAsia" w:asciiTheme="minorEastAsia" w:hAnsiTheme="minorEastAsia" w:eastAsiaTheme="minorEastAsia" w:cstheme="minorEastAsia"/>
                <w:b w:val="0"/>
                <w:color w:val="auto"/>
                <w:sz w:val="21"/>
                <w:szCs w:val="21"/>
              </w:rPr>
              <w:t>为学习者提供日常练习、模拟考试、正式考试三位一体的考试服务。考试，随机练习，章节练习，试题解析，模拟测验、错题重做、试题收藏等功能，有助于学生提高各类考试通过率，提升整体成绩。</w:t>
            </w:r>
          </w:p>
          <w:p w14:paraId="34AAD1D2">
            <w:pPr>
              <w:pStyle w:val="14"/>
              <w:numPr>
                <w:ilvl w:val="0"/>
                <w:numId w:val="14"/>
              </w:numPr>
              <w:spacing w:line="276" w:lineRule="auto"/>
              <w:jc w:val="left"/>
              <w:rPr>
                <w:rFonts w:hint="eastAsia" w:asciiTheme="minorEastAsia" w:hAnsiTheme="minorEastAsia" w:eastAsiaTheme="minorEastAsia" w:cstheme="minorEastAsia"/>
                <w:b w:val="0"/>
                <w:color w:val="auto"/>
                <w:sz w:val="21"/>
                <w:szCs w:val="21"/>
              </w:rPr>
            </w:pPr>
            <w:r>
              <w:rPr>
                <w:rFonts w:hint="eastAsia" w:asciiTheme="minorEastAsia" w:hAnsiTheme="minorEastAsia" w:eastAsiaTheme="minorEastAsia" w:cstheme="minorEastAsia"/>
                <w:b w:val="0"/>
                <w:color w:val="auto"/>
                <w:sz w:val="21"/>
                <w:szCs w:val="21"/>
              </w:rPr>
              <w:t>在有网络的情况下，可以随时随地进行练习。</w:t>
            </w:r>
          </w:p>
          <w:p w14:paraId="5A48DA5D">
            <w:pPr>
              <w:pStyle w:val="14"/>
              <w:numPr>
                <w:ilvl w:val="0"/>
                <w:numId w:val="14"/>
              </w:numPr>
              <w:spacing w:before="0" w:after="0"/>
              <w:rPr>
                <w:rFonts w:hint="eastAsia" w:asciiTheme="minorEastAsia" w:hAnsiTheme="minorEastAsia" w:eastAsiaTheme="minorEastAsia" w:cstheme="minorEastAsia"/>
                <w:b w:val="0"/>
                <w:color w:val="auto"/>
                <w:sz w:val="21"/>
                <w:szCs w:val="21"/>
              </w:rPr>
            </w:pPr>
            <w:r>
              <w:rPr>
                <w:rFonts w:hint="eastAsia" w:asciiTheme="minorEastAsia" w:hAnsiTheme="minorEastAsia" w:eastAsiaTheme="minorEastAsia" w:cstheme="minorEastAsia"/>
                <w:b w:val="0"/>
                <w:color w:val="auto"/>
                <w:sz w:val="21"/>
                <w:szCs w:val="21"/>
              </w:rPr>
              <w:t>移动APP支持答题记录和答题进度保存功能，异常退出再次进入时可继续上次答题。</w:t>
            </w:r>
          </w:p>
          <w:p w14:paraId="031C4DCF">
            <w:pPr>
              <w:pStyle w:val="14"/>
              <w:numPr>
                <w:ilvl w:val="0"/>
                <w:numId w:val="14"/>
              </w:numPr>
              <w:spacing w:before="0" w:after="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color w:val="auto"/>
                <w:sz w:val="21"/>
                <w:szCs w:val="21"/>
              </w:rPr>
              <w:t>移动APP支持正式考试防作弊功能，包括IP监测，答题进程监控、跳出页面后锁定、人脸识别、位置定位签到、题目乱序、进入考试后账号锁定等。</w:t>
            </w:r>
          </w:p>
        </w:tc>
      </w:tr>
      <w:tr w14:paraId="06955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shd w:val="clear" w:color="auto" w:fill="auto"/>
            <w:vAlign w:val="center"/>
          </w:tcPr>
          <w:p w14:paraId="3B3F33F0">
            <w:pPr>
              <w:spacing w:line="276" w:lineRule="auto"/>
              <w:rPr>
                <w:rFonts w:hint="eastAsia" w:asciiTheme="minorEastAsia" w:hAnsiTheme="minorEastAsia" w:eastAsiaTheme="minorEastAsia" w:cstheme="minorEastAsia"/>
                <w:color w:val="auto"/>
                <w:sz w:val="21"/>
                <w:szCs w:val="21"/>
              </w:rPr>
            </w:pPr>
          </w:p>
        </w:tc>
        <w:tc>
          <w:tcPr>
            <w:tcW w:w="1274" w:type="dxa"/>
            <w:shd w:val="clear" w:color="auto" w:fill="auto"/>
            <w:vAlign w:val="center"/>
          </w:tcPr>
          <w:p w14:paraId="32991A02">
            <w:pPr>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正式考试</w:t>
            </w:r>
          </w:p>
        </w:tc>
        <w:tc>
          <w:tcPr>
            <w:tcW w:w="6097" w:type="dxa"/>
            <w:shd w:val="clear" w:color="auto" w:fill="auto"/>
          </w:tcPr>
          <w:p w14:paraId="45392524">
            <w:pPr>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shd w:val="clear" w:color="auto" w:fill="FFFFFF"/>
              </w:rPr>
              <w:t>具备考试码考试功能，任何书包APP注册用户均可通过输入考试码来参加考试。具备正常考试功能，进入答题交卷。答题记录实时存储在服务器端，支持异常中断后继续上次答题；学员不即使不主动交卷，后台也可以强制交卷。</w:t>
            </w:r>
          </w:p>
        </w:tc>
      </w:tr>
      <w:tr w14:paraId="48FE9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shd w:val="clear" w:color="auto" w:fill="auto"/>
            <w:vAlign w:val="center"/>
          </w:tcPr>
          <w:p w14:paraId="6ABC5D5E">
            <w:pPr>
              <w:spacing w:line="276" w:lineRule="auto"/>
              <w:rPr>
                <w:rFonts w:hint="eastAsia" w:asciiTheme="minorEastAsia" w:hAnsiTheme="minorEastAsia" w:eastAsiaTheme="minorEastAsia" w:cstheme="minorEastAsia"/>
                <w:color w:val="auto"/>
                <w:sz w:val="21"/>
                <w:szCs w:val="21"/>
              </w:rPr>
            </w:pPr>
          </w:p>
        </w:tc>
        <w:tc>
          <w:tcPr>
            <w:tcW w:w="1274" w:type="dxa"/>
            <w:shd w:val="clear" w:color="auto" w:fill="auto"/>
          </w:tcPr>
          <w:p w14:paraId="1751E854">
            <w:pPr>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shd w:val="clear" w:color="auto" w:fill="FFFFFF"/>
              </w:rPr>
              <w:t>考试记录及分析</w:t>
            </w:r>
          </w:p>
        </w:tc>
        <w:tc>
          <w:tcPr>
            <w:tcW w:w="6097" w:type="dxa"/>
            <w:shd w:val="clear" w:color="auto" w:fill="auto"/>
          </w:tcPr>
          <w:p w14:paraId="0CA236DC">
            <w:pPr>
              <w:pStyle w:val="13"/>
              <w:numPr>
                <w:ilvl w:val="0"/>
                <w:numId w:val="15"/>
              </w:numPr>
              <w:spacing w:after="277"/>
              <w:rPr>
                <w:rFonts w:hint="eastAsia" w:asciiTheme="minorEastAsia" w:hAnsiTheme="minorEastAsia" w:eastAsiaTheme="minorEastAsia" w:cstheme="minorEastAsia"/>
                <w:color w:val="auto"/>
                <w:sz w:val="21"/>
                <w:szCs w:val="21"/>
                <w:shd w:val="clear" w:color="auto" w:fill="FFFFFF"/>
              </w:rPr>
            </w:pPr>
            <w:r>
              <w:rPr>
                <w:rFonts w:hint="eastAsia" w:asciiTheme="minorEastAsia" w:hAnsiTheme="minorEastAsia" w:eastAsiaTheme="minorEastAsia" w:cstheme="minorEastAsia"/>
                <w:color w:val="auto"/>
                <w:sz w:val="21"/>
                <w:szCs w:val="21"/>
                <w:shd w:val="clear" w:color="auto" w:fill="FFFFFF"/>
              </w:rPr>
              <w:t>可以查看考试成绩和答题记录，同时可以看到试题的正确答案以及解析，方便考生针对错题进行学习，巩固知识</w:t>
            </w:r>
          </w:p>
          <w:p w14:paraId="17C53285">
            <w:pPr>
              <w:pStyle w:val="13"/>
              <w:numPr>
                <w:ilvl w:val="0"/>
                <w:numId w:val="15"/>
              </w:numPr>
              <w:spacing w:after="277"/>
              <w:rPr>
                <w:rFonts w:hint="eastAsia" w:asciiTheme="minorEastAsia" w:hAnsiTheme="minorEastAsia" w:eastAsiaTheme="minorEastAsia" w:cstheme="minorEastAsia"/>
                <w:color w:val="auto"/>
                <w:sz w:val="21"/>
                <w:szCs w:val="21"/>
                <w:shd w:val="clear" w:color="auto" w:fill="FFFFFF"/>
              </w:rPr>
            </w:pPr>
            <w:r>
              <w:rPr>
                <w:rFonts w:hint="eastAsia" w:asciiTheme="minorEastAsia" w:hAnsiTheme="minorEastAsia" w:eastAsiaTheme="minorEastAsia" w:cstheme="minorEastAsia"/>
                <w:color w:val="auto"/>
                <w:sz w:val="21"/>
                <w:szCs w:val="21"/>
                <w:shd w:val="clear" w:color="auto" w:fill="FFFFFF"/>
              </w:rPr>
              <w:t>包含排名显示，个人考试知识点掌握情况和本场考试（组织内）内知识点答题情况，方便对比分析以及查漏补缺。</w:t>
            </w:r>
          </w:p>
        </w:tc>
      </w:tr>
      <w:tr w14:paraId="1C604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shd w:val="clear" w:color="auto" w:fill="auto"/>
            <w:vAlign w:val="center"/>
          </w:tcPr>
          <w:p w14:paraId="20E9B9B6">
            <w:pPr>
              <w:spacing w:line="276" w:lineRule="auto"/>
              <w:rPr>
                <w:rFonts w:hint="eastAsia" w:asciiTheme="minorEastAsia" w:hAnsiTheme="minorEastAsia" w:eastAsiaTheme="minorEastAsia" w:cstheme="minorEastAsia"/>
                <w:color w:val="auto"/>
                <w:sz w:val="21"/>
                <w:szCs w:val="21"/>
              </w:rPr>
            </w:pPr>
          </w:p>
        </w:tc>
        <w:tc>
          <w:tcPr>
            <w:tcW w:w="1274" w:type="dxa"/>
            <w:shd w:val="clear" w:color="auto" w:fill="auto"/>
          </w:tcPr>
          <w:p w14:paraId="5999DEF4">
            <w:pPr>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shd w:val="clear" w:color="auto" w:fill="FFFFFF"/>
              </w:rPr>
              <w:t>考试记录及分析</w:t>
            </w:r>
          </w:p>
        </w:tc>
        <w:tc>
          <w:tcPr>
            <w:tcW w:w="6097" w:type="dxa"/>
            <w:shd w:val="clear" w:color="auto" w:fill="auto"/>
          </w:tcPr>
          <w:p w14:paraId="0ADBC1CD">
            <w:pPr>
              <w:pStyle w:val="13"/>
              <w:spacing w:after="277"/>
              <w:rPr>
                <w:rFonts w:hint="eastAsia" w:asciiTheme="minorEastAsia" w:hAnsiTheme="minorEastAsia" w:eastAsiaTheme="minorEastAsia" w:cstheme="minorEastAsia"/>
                <w:color w:val="auto"/>
                <w:sz w:val="21"/>
                <w:szCs w:val="21"/>
                <w:shd w:val="clear" w:color="auto" w:fill="FFFFFF"/>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shd w:val="clear" w:color="auto" w:fill="FFFFFF"/>
              </w:rPr>
              <w:t>可以查看考试成绩和答题记录，同时可以看到试题的正确答案以及解析，方便考生针对错题进行学习，巩固知识。</w:t>
            </w:r>
          </w:p>
          <w:p w14:paraId="50660B82">
            <w:pPr>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shd w:val="clear" w:color="auto" w:fill="FFFFFF"/>
              </w:rPr>
              <w:t>包含排名显示，个人考试知识点掌握情况和本场考试（组织内）内知识点答题情况，方便对比分析以及查漏补缺。</w:t>
            </w:r>
          </w:p>
        </w:tc>
      </w:tr>
      <w:tr w14:paraId="15191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shd w:val="clear" w:color="auto" w:fill="auto"/>
            <w:vAlign w:val="center"/>
          </w:tcPr>
          <w:p w14:paraId="5C6AD5F5">
            <w:pPr>
              <w:spacing w:line="276" w:lineRule="auto"/>
              <w:rPr>
                <w:rFonts w:hint="eastAsia" w:asciiTheme="minorEastAsia" w:hAnsiTheme="minorEastAsia" w:eastAsiaTheme="minorEastAsia" w:cstheme="minorEastAsia"/>
                <w:color w:val="auto"/>
                <w:sz w:val="21"/>
                <w:szCs w:val="21"/>
              </w:rPr>
            </w:pPr>
          </w:p>
        </w:tc>
        <w:tc>
          <w:tcPr>
            <w:tcW w:w="1274" w:type="dxa"/>
            <w:shd w:val="clear" w:color="auto" w:fill="auto"/>
            <w:vAlign w:val="center"/>
          </w:tcPr>
          <w:p w14:paraId="2E4A1AE0">
            <w:pPr>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防作弊</w:t>
            </w:r>
          </w:p>
        </w:tc>
        <w:tc>
          <w:tcPr>
            <w:tcW w:w="6097" w:type="dxa"/>
            <w:shd w:val="clear" w:color="auto" w:fill="auto"/>
          </w:tcPr>
          <w:p w14:paraId="62920712">
            <w:pPr>
              <w:pStyle w:val="14"/>
              <w:numPr>
                <w:ilvl w:val="0"/>
                <w:numId w:val="16"/>
              </w:numPr>
              <w:spacing w:line="276" w:lineRule="auto"/>
              <w:rPr>
                <w:rFonts w:hint="eastAsia" w:asciiTheme="minorEastAsia" w:hAnsiTheme="minorEastAsia" w:eastAsiaTheme="minorEastAsia" w:cstheme="minorEastAsia"/>
                <w:b w:val="0"/>
                <w:color w:val="auto"/>
                <w:sz w:val="21"/>
                <w:szCs w:val="21"/>
              </w:rPr>
            </w:pPr>
            <w:r>
              <w:rPr>
                <w:rFonts w:hint="eastAsia" w:asciiTheme="minorEastAsia" w:hAnsiTheme="minorEastAsia" w:eastAsiaTheme="minorEastAsia" w:cstheme="minorEastAsia"/>
                <w:b w:val="0"/>
                <w:color w:val="auto"/>
                <w:sz w:val="21"/>
                <w:szCs w:val="21"/>
              </w:rPr>
              <w:t>考生端支持答一题存一题功能，异常退出可保存答题记录。支持考试中的考生个人监控，记录考生进入试卷、锁定解锁、交卷等时间轨迹。支持锁屏防作弊功能，考试过程中，考生不能跳出查询答案。</w:t>
            </w:r>
          </w:p>
          <w:p w14:paraId="5CE2873A">
            <w:pPr>
              <w:pStyle w:val="14"/>
              <w:numPr>
                <w:ilvl w:val="0"/>
                <w:numId w:val="16"/>
              </w:numPr>
              <w:spacing w:line="276" w:lineRule="auto"/>
              <w:rPr>
                <w:rFonts w:hint="eastAsia" w:asciiTheme="minorEastAsia" w:hAnsiTheme="minorEastAsia" w:eastAsiaTheme="minorEastAsia" w:cstheme="minorEastAsia"/>
                <w:b w:val="0"/>
                <w:color w:val="auto"/>
                <w:sz w:val="21"/>
                <w:szCs w:val="21"/>
              </w:rPr>
            </w:pPr>
            <w:r>
              <w:rPr>
                <w:rFonts w:hint="eastAsia" w:asciiTheme="minorEastAsia" w:hAnsiTheme="minorEastAsia" w:eastAsiaTheme="minorEastAsia" w:cstheme="minorEastAsia"/>
                <w:b w:val="0"/>
                <w:color w:val="auto"/>
                <w:sz w:val="21"/>
                <w:szCs w:val="21"/>
              </w:rPr>
              <w:t>防作弊升级，支持设置切出屏幕时长认定作弊及设置锁屏解锁限制次数。</w:t>
            </w:r>
          </w:p>
        </w:tc>
      </w:tr>
      <w:tr w14:paraId="6BD53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shd w:val="clear" w:color="auto" w:fill="auto"/>
            <w:vAlign w:val="center"/>
          </w:tcPr>
          <w:p w14:paraId="763B11DA">
            <w:pPr>
              <w:spacing w:line="276" w:lineRule="auto"/>
              <w:rPr>
                <w:rFonts w:hint="eastAsia" w:asciiTheme="minorEastAsia" w:hAnsiTheme="minorEastAsia" w:eastAsiaTheme="minorEastAsia" w:cstheme="minorEastAsia"/>
                <w:color w:val="auto"/>
                <w:sz w:val="21"/>
                <w:szCs w:val="21"/>
              </w:rPr>
            </w:pPr>
          </w:p>
        </w:tc>
        <w:tc>
          <w:tcPr>
            <w:tcW w:w="1274" w:type="dxa"/>
            <w:shd w:val="clear" w:color="auto" w:fill="auto"/>
            <w:vAlign w:val="center"/>
          </w:tcPr>
          <w:p w14:paraId="35813796">
            <w:pPr>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我的</w:t>
            </w:r>
          </w:p>
        </w:tc>
        <w:tc>
          <w:tcPr>
            <w:tcW w:w="6097" w:type="dxa"/>
            <w:shd w:val="clear" w:color="auto" w:fill="auto"/>
          </w:tcPr>
          <w:p w14:paraId="3418BC98">
            <w:pPr>
              <w:pStyle w:val="14"/>
              <w:numPr>
                <w:ilvl w:val="0"/>
                <w:numId w:val="16"/>
              </w:numPr>
              <w:spacing w:line="276" w:lineRule="auto"/>
              <w:rPr>
                <w:rFonts w:hint="eastAsia" w:asciiTheme="minorEastAsia" w:hAnsiTheme="minorEastAsia" w:eastAsiaTheme="minorEastAsia" w:cstheme="minorEastAsia"/>
                <w:b w:val="0"/>
                <w:color w:val="auto"/>
                <w:sz w:val="21"/>
                <w:szCs w:val="21"/>
              </w:rPr>
            </w:pPr>
            <w:r>
              <w:rPr>
                <w:rFonts w:hint="eastAsia" w:asciiTheme="minorEastAsia" w:hAnsiTheme="minorEastAsia" w:eastAsiaTheme="minorEastAsia" w:cstheme="minorEastAsia"/>
                <w:b w:val="0"/>
                <w:color w:val="auto"/>
                <w:sz w:val="21"/>
                <w:szCs w:val="21"/>
              </w:rPr>
              <w:t>包含考试记录、我的错题、我的收藏等模块。</w:t>
            </w:r>
          </w:p>
          <w:p w14:paraId="0A03B738">
            <w:pPr>
              <w:pStyle w:val="14"/>
              <w:numPr>
                <w:ilvl w:val="0"/>
                <w:numId w:val="16"/>
              </w:numPr>
              <w:spacing w:line="276" w:lineRule="auto"/>
              <w:rPr>
                <w:rFonts w:hint="eastAsia" w:asciiTheme="minorEastAsia" w:hAnsiTheme="minorEastAsia" w:eastAsiaTheme="minorEastAsia" w:cstheme="minorEastAsia"/>
                <w:b w:val="0"/>
                <w:color w:val="auto"/>
                <w:sz w:val="21"/>
                <w:szCs w:val="21"/>
              </w:rPr>
            </w:pPr>
            <w:r>
              <w:rPr>
                <w:rFonts w:hint="eastAsia" w:asciiTheme="minorEastAsia" w:hAnsiTheme="minorEastAsia" w:eastAsiaTheme="minorEastAsia" w:cstheme="minorEastAsia"/>
                <w:b w:val="0"/>
                <w:color w:val="auto"/>
                <w:sz w:val="21"/>
                <w:szCs w:val="21"/>
              </w:rPr>
              <w:t>考试记录：可以查看考试成绩和答题记录，同时可以看到试题的正确答案以及解析，方便考生针对错题进行学习，巩固知识；</w:t>
            </w:r>
          </w:p>
          <w:p w14:paraId="54A3E921">
            <w:pPr>
              <w:pStyle w:val="14"/>
              <w:numPr>
                <w:ilvl w:val="0"/>
                <w:numId w:val="16"/>
              </w:numPr>
              <w:spacing w:line="276" w:lineRule="auto"/>
              <w:rPr>
                <w:rFonts w:hint="eastAsia" w:asciiTheme="minorEastAsia" w:hAnsiTheme="minorEastAsia" w:eastAsiaTheme="minorEastAsia" w:cstheme="minorEastAsia"/>
                <w:b w:val="0"/>
                <w:color w:val="auto"/>
                <w:sz w:val="21"/>
                <w:szCs w:val="21"/>
              </w:rPr>
            </w:pPr>
            <w:r>
              <w:rPr>
                <w:rFonts w:hint="eastAsia" w:asciiTheme="minorEastAsia" w:hAnsiTheme="minorEastAsia" w:eastAsiaTheme="minorEastAsia" w:cstheme="minorEastAsia"/>
                <w:b w:val="0"/>
                <w:color w:val="auto"/>
                <w:sz w:val="21"/>
                <w:szCs w:val="21"/>
              </w:rPr>
              <w:t>考试分析：包含排名显示，个人考试知识点掌握情况和本场考试（组织内）内知识点答题情况，方便对比分析以及查漏补缺；</w:t>
            </w:r>
          </w:p>
          <w:p w14:paraId="693C0E49">
            <w:pPr>
              <w:pStyle w:val="14"/>
              <w:numPr>
                <w:ilvl w:val="0"/>
                <w:numId w:val="16"/>
              </w:numPr>
              <w:spacing w:line="276" w:lineRule="auto"/>
              <w:rPr>
                <w:rFonts w:hint="eastAsia" w:asciiTheme="minorEastAsia" w:hAnsiTheme="minorEastAsia" w:eastAsiaTheme="minorEastAsia" w:cstheme="minorEastAsia"/>
                <w:b w:val="0"/>
                <w:color w:val="auto"/>
                <w:sz w:val="21"/>
                <w:szCs w:val="21"/>
              </w:rPr>
            </w:pPr>
            <w:r>
              <w:rPr>
                <w:rFonts w:hint="eastAsia" w:asciiTheme="minorEastAsia" w:hAnsiTheme="minorEastAsia" w:eastAsiaTheme="minorEastAsia" w:cstheme="minorEastAsia"/>
                <w:b w:val="0"/>
                <w:color w:val="auto"/>
                <w:sz w:val="21"/>
                <w:szCs w:val="21"/>
              </w:rPr>
              <w:t>错题重做：精准记录错题，可进行错题重做，巩固学习效果；</w:t>
            </w:r>
          </w:p>
          <w:p w14:paraId="4196F617">
            <w:pPr>
              <w:pStyle w:val="14"/>
              <w:numPr>
                <w:ilvl w:val="0"/>
                <w:numId w:val="16"/>
              </w:numPr>
              <w:spacing w:line="276" w:lineRule="auto"/>
              <w:rPr>
                <w:rFonts w:hint="eastAsia" w:asciiTheme="minorEastAsia" w:hAnsiTheme="minorEastAsia" w:eastAsiaTheme="minorEastAsia" w:cstheme="minorEastAsia"/>
                <w:b w:val="0"/>
                <w:color w:val="auto"/>
                <w:sz w:val="21"/>
                <w:szCs w:val="21"/>
              </w:rPr>
            </w:pPr>
            <w:r>
              <w:rPr>
                <w:rFonts w:hint="eastAsia" w:asciiTheme="minorEastAsia" w:hAnsiTheme="minorEastAsia" w:eastAsiaTheme="minorEastAsia" w:cstheme="minorEastAsia"/>
                <w:b w:val="0"/>
                <w:color w:val="auto"/>
                <w:sz w:val="21"/>
                <w:szCs w:val="21"/>
              </w:rPr>
              <w:t>试题收藏：轻松做标记，可反复快速查看试题。</w:t>
            </w:r>
          </w:p>
        </w:tc>
      </w:tr>
      <w:tr w14:paraId="0D0EC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restart"/>
            <w:shd w:val="clear" w:color="auto" w:fill="auto"/>
            <w:vAlign w:val="center"/>
          </w:tcPr>
          <w:p w14:paraId="06492A85">
            <w:pPr>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PC客户端</w:t>
            </w:r>
          </w:p>
        </w:tc>
        <w:tc>
          <w:tcPr>
            <w:tcW w:w="1274" w:type="dxa"/>
            <w:shd w:val="clear" w:color="auto" w:fill="auto"/>
            <w:vAlign w:val="center"/>
          </w:tcPr>
          <w:p w14:paraId="1C40F95A">
            <w:pPr>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特点</w:t>
            </w:r>
          </w:p>
        </w:tc>
        <w:tc>
          <w:tcPr>
            <w:tcW w:w="6097" w:type="dxa"/>
            <w:shd w:val="clear" w:color="auto" w:fill="auto"/>
          </w:tcPr>
          <w:p w14:paraId="579A2EB9">
            <w:pPr>
              <w:pStyle w:val="14"/>
              <w:numPr>
                <w:ilvl w:val="0"/>
                <w:numId w:val="17"/>
              </w:numPr>
              <w:rPr>
                <w:rFonts w:hint="eastAsia" w:asciiTheme="minorEastAsia" w:hAnsiTheme="minorEastAsia" w:eastAsiaTheme="minorEastAsia" w:cstheme="minorEastAsia"/>
                <w:b w:val="0"/>
                <w:color w:val="auto"/>
                <w:sz w:val="21"/>
                <w:szCs w:val="21"/>
              </w:rPr>
            </w:pPr>
            <w:r>
              <w:rPr>
                <w:rFonts w:hint="eastAsia" w:asciiTheme="minorEastAsia" w:hAnsiTheme="minorEastAsia" w:eastAsiaTheme="minorEastAsia" w:cstheme="minorEastAsia"/>
                <w:b w:val="0"/>
                <w:color w:val="auto"/>
                <w:sz w:val="21"/>
                <w:szCs w:val="21"/>
              </w:rPr>
              <w:t>PC客户端支持答题记录和答题进度保存功能，异常退出再次进入时可继续上次答题。</w:t>
            </w:r>
          </w:p>
          <w:p w14:paraId="70CF3F0D">
            <w:pPr>
              <w:pStyle w:val="14"/>
              <w:numPr>
                <w:ilvl w:val="0"/>
                <w:numId w:val="17"/>
              </w:numPr>
              <w:rPr>
                <w:rFonts w:hint="eastAsia" w:asciiTheme="minorEastAsia" w:hAnsiTheme="minorEastAsia" w:eastAsiaTheme="minorEastAsia" w:cstheme="minorEastAsia"/>
                <w:b w:val="0"/>
                <w:color w:val="auto"/>
                <w:sz w:val="21"/>
                <w:szCs w:val="21"/>
              </w:rPr>
            </w:pPr>
            <w:r>
              <w:rPr>
                <w:rFonts w:hint="eastAsia" w:asciiTheme="minorEastAsia" w:hAnsiTheme="minorEastAsia" w:eastAsiaTheme="minorEastAsia" w:cstheme="minorEastAsia"/>
                <w:b w:val="0"/>
                <w:color w:val="auto"/>
                <w:sz w:val="21"/>
                <w:szCs w:val="21"/>
              </w:rPr>
              <w:t>PC客户端支持防作弊功能，异常退出再进入时需输入解锁码方可进行考试。PC客户端一直保持置顶，考试过程中，考生不能跳出查询答案。</w:t>
            </w:r>
          </w:p>
        </w:tc>
      </w:tr>
      <w:tr w14:paraId="2312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shd w:val="clear" w:color="auto" w:fill="auto"/>
            <w:vAlign w:val="center"/>
          </w:tcPr>
          <w:p w14:paraId="1B43E2B0">
            <w:pPr>
              <w:spacing w:line="276" w:lineRule="auto"/>
              <w:rPr>
                <w:rFonts w:hint="eastAsia" w:asciiTheme="minorEastAsia" w:hAnsiTheme="minorEastAsia" w:eastAsiaTheme="minorEastAsia" w:cstheme="minorEastAsia"/>
                <w:color w:val="auto"/>
                <w:sz w:val="21"/>
                <w:szCs w:val="21"/>
              </w:rPr>
            </w:pPr>
          </w:p>
        </w:tc>
        <w:tc>
          <w:tcPr>
            <w:tcW w:w="1274" w:type="dxa"/>
            <w:shd w:val="clear" w:color="auto" w:fill="auto"/>
            <w:vAlign w:val="center"/>
          </w:tcPr>
          <w:p w14:paraId="1A5FF70C">
            <w:pPr>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其他</w:t>
            </w:r>
          </w:p>
        </w:tc>
        <w:tc>
          <w:tcPr>
            <w:tcW w:w="6097" w:type="dxa"/>
            <w:shd w:val="clear" w:color="auto" w:fill="auto"/>
          </w:tcPr>
          <w:p w14:paraId="26EECCAE">
            <w:pPr>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PC客户端仅支持考生角色，其他功能和PC web 端没有差异。</w:t>
            </w:r>
          </w:p>
        </w:tc>
      </w:tr>
      <w:tr w14:paraId="68987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vAlign w:val="center"/>
          </w:tcPr>
          <w:p w14:paraId="5E9C9B7C">
            <w:pPr>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sz w:val="21"/>
                <w:szCs w:val="21"/>
              </w:rPr>
              <w:t>医学数据库群</w:t>
            </w:r>
          </w:p>
        </w:tc>
        <w:tc>
          <w:tcPr>
            <w:tcW w:w="1274" w:type="dxa"/>
            <w:shd w:val="clear" w:color="auto" w:fill="auto"/>
            <w:vAlign w:val="center"/>
          </w:tcPr>
          <w:p w14:paraId="5A215731">
            <w:pPr>
              <w:spacing w:line="276" w:lineRule="auto"/>
              <w:rPr>
                <w:rFonts w:hint="eastAsia" w:asciiTheme="minorEastAsia" w:hAnsiTheme="minorEastAsia" w:eastAsiaTheme="minorEastAsia" w:cstheme="minorEastAsia"/>
                <w:color w:val="auto"/>
                <w:sz w:val="21"/>
                <w:szCs w:val="21"/>
              </w:rPr>
            </w:pPr>
          </w:p>
        </w:tc>
        <w:tc>
          <w:tcPr>
            <w:tcW w:w="6097" w:type="dxa"/>
            <w:shd w:val="clear" w:color="auto" w:fill="auto"/>
          </w:tcPr>
          <w:p w14:paraId="518F816C">
            <w:pPr>
              <w:pStyle w:val="8"/>
              <w:wordWrap w:val="0"/>
              <w:autoSpaceDE w:val="0"/>
              <w:spacing w:before="0" w:beforeAutospacing="0" w:after="0" w:afterAutospacing="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学习模块需包含临床医学5年制本科全套52门教材。</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包含疾病数据库、药品数据库、手术学数据库、辅助检查库、循证证据库、疾病进展库、手术图谱库、医保药品库、临床操作规范库</w:t>
            </w:r>
            <w:r>
              <w:rPr>
                <w:rFonts w:hint="eastAsia" w:asciiTheme="minorEastAsia" w:hAnsiTheme="minorEastAsia" w:eastAsiaTheme="minorEastAsia" w:cstheme="minorEastAsia"/>
                <w:color w:val="auto"/>
                <w:sz w:val="21"/>
                <w:szCs w:val="21"/>
                <w:lang w:val="en-US" w:eastAsia="zh-CN"/>
              </w:rPr>
              <w:t>至少6</w:t>
            </w:r>
            <w:r>
              <w:rPr>
                <w:rFonts w:hint="eastAsia" w:asciiTheme="minorEastAsia" w:hAnsiTheme="minorEastAsia" w:eastAsiaTheme="minorEastAsia" w:cstheme="minorEastAsia"/>
                <w:color w:val="auto"/>
                <w:sz w:val="21"/>
                <w:szCs w:val="21"/>
              </w:rPr>
              <w:t>个数据库。学习模块包含文字量需在5000万字以上、包含专业视频数量需在300个以上、包含动画需在300段以上、包含病例案例个数需在300个以上、医学图谱需在10000张以上。</w:t>
            </w:r>
          </w:p>
        </w:tc>
      </w:tr>
    </w:tbl>
    <w:p w14:paraId="041C295F">
      <w:pPr>
        <w:pStyle w:val="3"/>
        <w:numPr>
          <w:ilvl w:val="0"/>
          <w:numId w:val="0"/>
        </w:numP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2、360评估系统</w:t>
      </w:r>
    </w:p>
    <w:tbl>
      <w:tblPr>
        <w:tblStyle w:val="9"/>
        <w:tblW w:w="48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5"/>
        <w:gridCol w:w="1596"/>
        <w:gridCol w:w="5177"/>
      </w:tblGrid>
      <w:tr w14:paraId="20FC3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pct"/>
            <w:tcBorders>
              <w:top w:val="single" w:color="auto" w:sz="4" w:space="0"/>
              <w:left w:val="single" w:color="auto" w:sz="4" w:space="0"/>
              <w:bottom w:val="single" w:color="auto" w:sz="4" w:space="0"/>
              <w:right w:val="single" w:color="auto" w:sz="4" w:space="0"/>
            </w:tcBorders>
            <w:shd w:val="clear" w:color="auto" w:fill="auto"/>
            <w:vAlign w:val="center"/>
          </w:tcPr>
          <w:p w14:paraId="6F7372FB">
            <w:pPr>
              <w:spacing w:line="240" w:lineRule="auto"/>
              <w:jc w:val="center"/>
              <w:rPr>
                <w:rFonts w:ascii="宋体" w:hAnsi="宋体" w:cs="宋体"/>
                <w:color w:val="000000"/>
              </w:rPr>
            </w:pPr>
            <w:r>
              <w:rPr>
                <w:rFonts w:hint="eastAsia" w:ascii="宋体" w:hAnsi="宋体" w:cs="宋体"/>
                <w:color w:val="000000"/>
              </w:rPr>
              <w:t>功能模块</w:t>
            </w:r>
          </w:p>
        </w:tc>
        <w:tc>
          <w:tcPr>
            <w:tcW w:w="966" w:type="pct"/>
            <w:tcBorders>
              <w:top w:val="single" w:color="auto" w:sz="4" w:space="0"/>
              <w:left w:val="single" w:color="auto" w:sz="4" w:space="0"/>
              <w:bottom w:val="single" w:color="auto" w:sz="4" w:space="0"/>
              <w:right w:val="single" w:color="auto" w:sz="4" w:space="0"/>
            </w:tcBorders>
            <w:shd w:val="clear" w:color="auto" w:fill="auto"/>
            <w:vAlign w:val="center"/>
          </w:tcPr>
          <w:p w14:paraId="3B5FB0D8">
            <w:pPr>
              <w:spacing w:line="240" w:lineRule="auto"/>
              <w:jc w:val="center"/>
              <w:rPr>
                <w:rFonts w:ascii="宋体" w:hAnsi="宋体" w:cs="宋体"/>
                <w:color w:val="000000"/>
              </w:rPr>
            </w:pPr>
            <w:r>
              <w:rPr>
                <w:rFonts w:hint="eastAsia" w:ascii="宋体" w:hAnsi="宋体" w:cs="宋体"/>
                <w:color w:val="000000"/>
              </w:rPr>
              <w:t>功能点</w:t>
            </w:r>
          </w:p>
        </w:tc>
        <w:tc>
          <w:tcPr>
            <w:tcW w:w="3134" w:type="pct"/>
            <w:tcBorders>
              <w:top w:val="single" w:color="auto" w:sz="4" w:space="0"/>
              <w:left w:val="single" w:color="auto" w:sz="4" w:space="0"/>
              <w:bottom w:val="single" w:color="auto" w:sz="4" w:space="0"/>
              <w:right w:val="single" w:color="auto" w:sz="4" w:space="0"/>
            </w:tcBorders>
            <w:shd w:val="clear" w:color="auto" w:fill="auto"/>
            <w:vAlign w:val="center"/>
          </w:tcPr>
          <w:p w14:paraId="1D0895D5">
            <w:pPr>
              <w:spacing w:line="240" w:lineRule="auto"/>
              <w:jc w:val="center"/>
              <w:rPr>
                <w:rFonts w:ascii="宋体" w:hAnsi="宋体" w:cs="宋体"/>
              </w:rPr>
            </w:pPr>
            <w:r>
              <w:rPr>
                <w:rFonts w:hint="eastAsia" w:ascii="宋体" w:hAnsi="宋体" w:cs="宋体"/>
              </w:rPr>
              <w:t>功能描述</w:t>
            </w:r>
          </w:p>
        </w:tc>
      </w:tr>
      <w:tr w14:paraId="03D71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pct"/>
            <w:vMerge w:val="restart"/>
            <w:tcBorders>
              <w:top w:val="single" w:color="auto" w:sz="4" w:space="0"/>
              <w:left w:val="single" w:color="auto" w:sz="4" w:space="0"/>
              <w:right w:val="single" w:color="auto" w:sz="4" w:space="0"/>
            </w:tcBorders>
            <w:shd w:val="clear" w:color="auto" w:fill="auto"/>
            <w:vAlign w:val="center"/>
          </w:tcPr>
          <w:p w14:paraId="27327847">
            <w:pPr>
              <w:spacing w:line="240" w:lineRule="auto"/>
              <w:jc w:val="center"/>
              <w:rPr>
                <w:rFonts w:ascii="宋体" w:hAnsi="宋体" w:cs="宋体"/>
                <w:color w:val="000000"/>
              </w:rPr>
            </w:pPr>
            <w:r>
              <w:rPr>
                <w:rFonts w:hint="eastAsia" w:ascii="宋体" w:hAnsi="宋体" w:cs="宋体"/>
                <w:color w:val="000000"/>
              </w:rPr>
              <w:t>首页</w:t>
            </w:r>
          </w:p>
        </w:tc>
        <w:tc>
          <w:tcPr>
            <w:tcW w:w="966" w:type="pct"/>
            <w:tcBorders>
              <w:top w:val="single" w:color="auto" w:sz="4" w:space="0"/>
              <w:left w:val="single" w:color="auto" w:sz="4" w:space="0"/>
              <w:bottom w:val="single" w:color="auto" w:sz="4" w:space="0"/>
              <w:right w:val="single" w:color="auto" w:sz="4" w:space="0"/>
            </w:tcBorders>
            <w:shd w:val="clear" w:color="auto" w:fill="auto"/>
            <w:vAlign w:val="center"/>
          </w:tcPr>
          <w:p w14:paraId="19BF2E4B">
            <w:pPr>
              <w:spacing w:line="240" w:lineRule="auto"/>
              <w:jc w:val="center"/>
              <w:rPr>
                <w:rFonts w:ascii="宋体" w:hAnsi="宋体" w:cs="宋体"/>
                <w:color w:val="000000"/>
              </w:rPr>
            </w:pPr>
            <w:r>
              <w:rPr>
                <w:rFonts w:hint="eastAsia" w:ascii="宋体" w:hAnsi="宋体" w:cs="宋体"/>
                <w:color w:val="000000"/>
              </w:rPr>
              <w:t>数据统计</w:t>
            </w:r>
          </w:p>
        </w:tc>
        <w:tc>
          <w:tcPr>
            <w:tcW w:w="3134" w:type="pct"/>
            <w:tcBorders>
              <w:top w:val="single" w:color="auto" w:sz="4" w:space="0"/>
              <w:left w:val="single" w:color="auto" w:sz="4" w:space="0"/>
              <w:bottom w:val="single" w:color="auto" w:sz="4" w:space="0"/>
              <w:right w:val="single" w:color="auto" w:sz="4" w:space="0"/>
            </w:tcBorders>
            <w:shd w:val="clear" w:color="auto" w:fill="auto"/>
            <w:vAlign w:val="center"/>
          </w:tcPr>
          <w:p w14:paraId="54FB17D3">
            <w:pPr>
              <w:spacing w:line="240" w:lineRule="auto"/>
              <w:jc w:val="left"/>
              <w:rPr>
                <w:rFonts w:ascii="宋体" w:hAnsi="宋体" w:cs="宋体"/>
              </w:rPr>
            </w:pPr>
            <w:r>
              <w:rPr>
                <w:rFonts w:hint="eastAsia" w:ascii="宋体" w:hAnsi="宋体" w:cs="宋体"/>
              </w:rPr>
              <w:t>1、当前年度任务开展情况统计，包含任务次数、评估人次、完成率；</w:t>
            </w:r>
          </w:p>
          <w:p w14:paraId="3583191C">
            <w:pPr>
              <w:spacing w:line="240" w:lineRule="auto"/>
              <w:jc w:val="left"/>
              <w:rPr>
                <w:rFonts w:ascii="宋体" w:hAnsi="宋体" w:cs="宋体"/>
              </w:rPr>
            </w:pPr>
            <w:r>
              <w:rPr>
                <w:rFonts w:hint="eastAsia" w:ascii="宋体" w:hAnsi="宋体" w:cs="宋体"/>
              </w:rPr>
              <w:t>2、完成率和评估结果统计：可按照月、季度和年度统计科室和专业维度下不同角色的完成率和综合得分及排名；</w:t>
            </w:r>
          </w:p>
        </w:tc>
      </w:tr>
      <w:tr w14:paraId="08E2A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pct"/>
            <w:vMerge w:val="continue"/>
            <w:tcBorders>
              <w:left w:val="single" w:color="auto" w:sz="4" w:space="0"/>
              <w:right w:val="single" w:color="auto" w:sz="4" w:space="0"/>
            </w:tcBorders>
            <w:shd w:val="clear" w:color="auto" w:fill="auto"/>
            <w:vAlign w:val="center"/>
          </w:tcPr>
          <w:p w14:paraId="267AB23D">
            <w:pPr>
              <w:spacing w:line="240" w:lineRule="auto"/>
              <w:jc w:val="center"/>
              <w:rPr>
                <w:rFonts w:ascii="宋体" w:hAnsi="宋体" w:cs="宋体"/>
                <w:color w:val="000000"/>
              </w:rPr>
            </w:pPr>
          </w:p>
        </w:tc>
        <w:tc>
          <w:tcPr>
            <w:tcW w:w="966" w:type="pct"/>
            <w:tcBorders>
              <w:top w:val="single" w:color="auto" w:sz="4" w:space="0"/>
              <w:left w:val="single" w:color="auto" w:sz="4" w:space="0"/>
              <w:bottom w:val="single" w:color="auto" w:sz="4" w:space="0"/>
              <w:right w:val="single" w:color="auto" w:sz="4" w:space="0"/>
            </w:tcBorders>
            <w:shd w:val="clear" w:color="auto" w:fill="auto"/>
            <w:vAlign w:val="center"/>
          </w:tcPr>
          <w:p w14:paraId="1486CBC8">
            <w:pPr>
              <w:spacing w:line="240" w:lineRule="auto"/>
              <w:jc w:val="center"/>
              <w:rPr>
                <w:rFonts w:ascii="宋体" w:hAnsi="宋体" w:cs="宋体"/>
                <w:color w:val="000000"/>
              </w:rPr>
            </w:pPr>
            <w:r>
              <w:rPr>
                <w:rFonts w:hint="eastAsia" w:ascii="宋体" w:hAnsi="宋体" w:cs="宋体"/>
                <w:color w:val="000000"/>
              </w:rPr>
              <w:t>模式设置</w:t>
            </w:r>
          </w:p>
        </w:tc>
        <w:tc>
          <w:tcPr>
            <w:tcW w:w="3134" w:type="pct"/>
            <w:tcBorders>
              <w:top w:val="single" w:color="auto" w:sz="4" w:space="0"/>
              <w:left w:val="single" w:color="auto" w:sz="4" w:space="0"/>
              <w:bottom w:val="single" w:color="auto" w:sz="4" w:space="0"/>
              <w:right w:val="single" w:color="auto" w:sz="4" w:space="0"/>
            </w:tcBorders>
            <w:shd w:val="clear" w:color="auto" w:fill="auto"/>
            <w:vAlign w:val="center"/>
          </w:tcPr>
          <w:p w14:paraId="0617E212">
            <w:pPr>
              <w:spacing w:line="240" w:lineRule="auto"/>
              <w:jc w:val="left"/>
              <w:rPr>
                <w:rFonts w:ascii="宋体" w:hAnsi="宋体" w:cs="宋体"/>
              </w:rPr>
            </w:pPr>
            <w:bookmarkStart w:id="3" w:name="_Hlk51234671"/>
            <w:bookmarkStart w:id="4" w:name="_Hlk51234638"/>
            <w:r>
              <w:rPr>
                <w:rFonts w:hint="eastAsia" w:ascii="宋体" w:hAnsi="宋体" w:cs="宋体"/>
              </w:rPr>
              <w:t>可按照</w:t>
            </w:r>
            <w:r>
              <w:rPr>
                <w:rFonts w:hint="eastAsia" w:ascii="宋体" w:hAnsi="宋体" w:cs="宋体"/>
                <w:lang w:val="en-US" w:eastAsia="zh-CN"/>
              </w:rPr>
              <w:t>至少2</w:t>
            </w:r>
            <w:r>
              <w:rPr>
                <w:rFonts w:hint="eastAsia" w:ascii="宋体" w:hAnsi="宋体" w:cs="宋体"/>
              </w:rPr>
              <w:t>种模式配置：</w:t>
            </w:r>
            <w:bookmarkEnd w:id="3"/>
          </w:p>
          <w:p w14:paraId="3F7C2EB6">
            <w:pPr>
              <w:spacing w:line="240" w:lineRule="auto"/>
              <w:jc w:val="left"/>
              <w:rPr>
                <w:rFonts w:ascii="宋体" w:hAnsi="宋体" w:cs="宋体"/>
              </w:rPr>
            </w:pPr>
            <w:bookmarkStart w:id="5" w:name="_Hlk51234720"/>
            <w:r>
              <w:rPr>
                <w:rFonts w:hint="eastAsia" w:ascii="宋体" w:hAnsi="宋体" w:cs="宋体"/>
              </w:rPr>
              <w:t>1、简易模式管理工作极低，完成指导医师和住院医师的互评；</w:t>
            </w:r>
            <w:bookmarkEnd w:id="5"/>
          </w:p>
          <w:p w14:paraId="0D83B4EC">
            <w:pPr>
              <w:spacing w:line="240" w:lineRule="auto"/>
              <w:jc w:val="left"/>
              <w:rPr>
                <w:rFonts w:ascii="宋体" w:hAnsi="宋体" w:cs="宋体"/>
              </w:rPr>
            </w:pPr>
            <w:r>
              <w:rPr>
                <w:rFonts w:hint="eastAsia" w:ascii="宋体" w:hAnsi="宋体" w:cs="宋体"/>
                <w:lang w:val="en-US" w:eastAsia="zh-CN"/>
              </w:rPr>
              <w:t>2</w:t>
            </w:r>
            <w:r>
              <w:rPr>
                <w:rFonts w:hint="eastAsia" w:ascii="宋体" w:hAnsi="宋体" w:cs="宋体"/>
              </w:rPr>
              <w:t>、高级模式支持自定义评估，支持更多维度的评估工作；</w:t>
            </w:r>
            <w:bookmarkEnd w:id="4"/>
          </w:p>
        </w:tc>
      </w:tr>
      <w:tr w14:paraId="5858F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pct"/>
            <w:vMerge w:val="continue"/>
            <w:tcBorders>
              <w:left w:val="single" w:color="auto" w:sz="4" w:space="0"/>
              <w:bottom w:val="single" w:color="auto" w:sz="4" w:space="0"/>
              <w:right w:val="single" w:color="auto" w:sz="4" w:space="0"/>
            </w:tcBorders>
            <w:shd w:val="clear" w:color="auto" w:fill="auto"/>
            <w:vAlign w:val="center"/>
          </w:tcPr>
          <w:p w14:paraId="66A88347">
            <w:pPr>
              <w:spacing w:line="240" w:lineRule="auto"/>
              <w:jc w:val="center"/>
              <w:rPr>
                <w:rFonts w:ascii="宋体" w:hAnsi="宋体" w:cs="宋体"/>
                <w:color w:val="000000"/>
              </w:rPr>
            </w:pPr>
          </w:p>
        </w:tc>
        <w:tc>
          <w:tcPr>
            <w:tcW w:w="966" w:type="pct"/>
            <w:tcBorders>
              <w:top w:val="single" w:color="auto" w:sz="4" w:space="0"/>
              <w:left w:val="single" w:color="auto" w:sz="4" w:space="0"/>
              <w:bottom w:val="single" w:color="auto" w:sz="4" w:space="0"/>
              <w:right w:val="single" w:color="auto" w:sz="4" w:space="0"/>
            </w:tcBorders>
            <w:shd w:val="clear" w:color="auto" w:fill="auto"/>
            <w:vAlign w:val="center"/>
          </w:tcPr>
          <w:p w14:paraId="3BF0287B">
            <w:pPr>
              <w:spacing w:line="240" w:lineRule="auto"/>
              <w:jc w:val="center"/>
              <w:rPr>
                <w:rFonts w:ascii="宋体" w:hAnsi="宋体" w:cs="宋体"/>
                <w:color w:val="000000"/>
              </w:rPr>
            </w:pPr>
            <w:r>
              <w:rPr>
                <w:rFonts w:hint="eastAsia" w:ascii="宋体" w:hAnsi="宋体" w:cs="宋体"/>
                <w:color w:val="000000"/>
              </w:rPr>
              <w:t>学习资料</w:t>
            </w:r>
          </w:p>
        </w:tc>
        <w:tc>
          <w:tcPr>
            <w:tcW w:w="3134" w:type="pct"/>
            <w:tcBorders>
              <w:top w:val="single" w:color="auto" w:sz="4" w:space="0"/>
              <w:left w:val="single" w:color="auto" w:sz="4" w:space="0"/>
              <w:bottom w:val="single" w:color="auto" w:sz="4" w:space="0"/>
              <w:right w:val="single" w:color="auto" w:sz="4" w:space="0"/>
            </w:tcBorders>
            <w:shd w:val="clear" w:color="auto" w:fill="auto"/>
            <w:vAlign w:val="center"/>
          </w:tcPr>
          <w:p w14:paraId="4DD5E510">
            <w:pPr>
              <w:spacing w:line="240" w:lineRule="auto"/>
              <w:jc w:val="left"/>
              <w:rPr>
                <w:rFonts w:ascii="宋体" w:hAnsi="宋体" w:cs="宋体"/>
              </w:rPr>
            </w:pPr>
            <w:bookmarkStart w:id="6" w:name="_Hlk44693154"/>
            <w:r>
              <w:rPr>
                <w:rFonts w:hint="eastAsia" w:ascii="宋体" w:hAnsi="宋体" w:cs="宋体"/>
              </w:rPr>
              <w:t>政策、论文和视频的信息展示、学习和交流</w:t>
            </w:r>
            <w:bookmarkEnd w:id="6"/>
            <w:r>
              <w:rPr>
                <w:rFonts w:hint="eastAsia" w:ascii="宋体" w:hAnsi="宋体" w:cs="宋体"/>
              </w:rPr>
              <w:t>；</w:t>
            </w:r>
          </w:p>
        </w:tc>
      </w:tr>
      <w:tr w14:paraId="107F0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pct"/>
            <w:vMerge w:val="restart"/>
            <w:tcBorders>
              <w:top w:val="single" w:color="auto" w:sz="4" w:space="0"/>
              <w:left w:val="single" w:color="auto" w:sz="4" w:space="0"/>
              <w:right w:val="single" w:color="auto" w:sz="4" w:space="0"/>
            </w:tcBorders>
            <w:shd w:val="clear" w:color="auto" w:fill="auto"/>
            <w:vAlign w:val="center"/>
          </w:tcPr>
          <w:p w14:paraId="69012B07">
            <w:pPr>
              <w:spacing w:line="240" w:lineRule="auto"/>
              <w:jc w:val="center"/>
              <w:rPr>
                <w:rFonts w:ascii="宋体" w:hAnsi="宋体" w:cs="宋体"/>
                <w:color w:val="000000"/>
              </w:rPr>
            </w:pPr>
            <w:r>
              <w:rPr>
                <w:rFonts w:hint="eastAsia" w:ascii="宋体" w:hAnsi="宋体" w:cs="宋体"/>
                <w:color w:val="000000"/>
              </w:rPr>
              <w:t>评估管理</w:t>
            </w:r>
          </w:p>
        </w:tc>
        <w:tc>
          <w:tcPr>
            <w:tcW w:w="966" w:type="pct"/>
            <w:tcBorders>
              <w:top w:val="single" w:color="auto" w:sz="4" w:space="0"/>
              <w:left w:val="single" w:color="auto" w:sz="4" w:space="0"/>
              <w:right w:val="single" w:color="auto" w:sz="4" w:space="0"/>
            </w:tcBorders>
            <w:shd w:val="clear" w:color="auto" w:fill="auto"/>
            <w:vAlign w:val="center"/>
          </w:tcPr>
          <w:p w14:paraId="56B58B17">
            <w:pPr>
              <w:spacing w:line="240" w:lineRule="auto"/>
              <w:jc w:val="center"/>
              <w:rPr>
                <w:rFonts w:ascii="宋体" w:hAnsi="宋体" w:cs="宋体"/>
                <w:color w:val="000000"/>
              </w:rPr>
            </w:pPr>
            <w:r>
              <w:rPr>
                <w:rFonts w:hint="eastAsia" w:ascii="宋体" w:hAnsi="宋体" w:cs="宋体"/>
                <w:color w:val="000000"/>
              </w:rPr>
              <w:t>任务设置</w:t>
            </w:r>
          </w:p>
        </w:tc>
        <w:tc>
          <w:tcPr>
            <w:tcW w:w="3134" w:type="pct"/>
            <w:tcBorders>
              <w:top w:val="single" w:color="auto" w:sz="4" w:space="0"/>
              <w:left w:val="single" w:color="auto" w:sz="4" w:space="0"/>
              <w:bottom w:val="single" w:color="auto" w:sz="4" w:space="0"/>
              <w:right w:val="single" w:color="auto" w:sz="4" w:space="0"/>
            </w:tcBorders>
            <w:shd w:val="clear" w:color="auto" w:fill="auto"/>
            <w:vAlign w:val="center"/>
          </w:tcPr>
          <w:p w14:paraId="073B8D06">
            <w:pPr>
              <w:spacing w:line="240" w:lineRule="auto"/>
              <w:jc w:val="left"/>
              <w:rPr>
                <w:rFonts w:ascii="宋体" w:hAnsi="宋体" w:cs="宋体"/>
              </w:rPr>
            </w:pPr>
            <w:r>
              <w:rPr>
                <w:rFonts w:hint="eastAsia" w:ascii="宋体" w:hAnsi="宋体" w:cs="宋体"/>
              </w:rPr>
              <w:t>可对指导医师、培训对象、护理人员以及患者等角色的评估任务进行管理；可对科室、专业基地、培训基地的评估任务进行管理；</w:t>
            </w:r>
          </w:p>
        </w:tc>
      </w:tr>
      <w:tr w14:paraId="49D0A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pct"/>
            <w:vMerge w:val="continue"/>
            <w:tcBorders>
              <w:left w:val="single" w:color="auto" w:sz="4" w:space="0"/>
              <w:right w:val="single" w:color="auto" w:sz="4" w:space="0"/>
            </w:tcBorders>
            <w:shd w:val="clear" w:color="auto" w:fill="auto"/>
            <w:vAlign w:val="center"/>
          </w:tcPr>
          <w:p w14:paraId="78DFDEC2">
            <w:pPr>
              <w:spacing w:line="240" w:lineRule="auto"/>
              <w:jc w:val="center"/>
              <w:rPr>
                <w:rFonts w:ascii="宋体" w:hAnsi="宋体" w:cs="宋体"/>
                <w:color w:val="000000"/>
              </w:rPr>
            </w:pPr>
          </w:p>
        </w:tc>
        <w:tc>
          <w:tcPr>
            <w:tcW w:w="966" w:type="pct"/>
            <w:tcBorders>
              <w:top w:val="single" w:color="auto" w:sz="4" w:space="0"/>
              <w:left w:val="single" w:color="auto" w:sz="4" w:space="0"/>
              <w:bottom w:val="single" w:color="auto" w:sz="4" w:space="0"/>
              <w:right w:val="single" w:color="auto" w:sz="4" w:space="0"/>
            </w:tcBorders>
            <w:shd w:val="clear" w:color="auto" w:fill="auto"/>
            <w:vAlign w:val="center"/>
          </w:tcPr>
          <w:p w14:paraId="49C0E54D">
            <w:pPr>
              <w:spacing w:line="240" w:lineRule="auto"/>
              <w:jc w:val="center"/>
              <w:rPr>
                <w:rFonts w:ascii="宋体" w:hAnsi="宋体" w:cs="宋体"/>
                <w:color w:val="000000"/>
              </w:rPr>
            </w:pPr>
            <w:r>
              <w:rPr>
                <w:rFonts w:hint="eastAsia" w:ascii="宋体" w:hAnsi="宋体" w:cs="宋体"/>
                <w:color w:val="000000"/>
              </w:rPr>
              <w:t>评估结果</w:t>
            </w:r>
          </w:p>
        </w:tc>
        <w:tc>
          <w:tcPr>
            <w:tcW w:w="3134" w:type="pct"/>
            <w:tcBorders>
              <w:top w:val="single" w:color="auto" w:sz="4" w:space="0"/>
              <w:left w:val="single" w:color="auto" w:sz="4" w:space="0"/>
              <w:bottom w:val="single" w:color="auto" w:sz="4" w:space="0"/>
              <w:right w:val="single" w:color="auto" w:sz="4" w:space="0"/>
            </w:tcBorders>
            <w:shd w:val="clear" w:color="auto" w:fill="auto"/>
            <w:vAlign w:val="center"/>
          </w:tcPr>
          <w:p w14:paraId="37265EF5">
            <w:pPr>
              <w:spacing w:line="240" w:lineRule="auto"/>
              <w:jc w:val="left"/>
              <w:rPr>
                <w:rFonts w:ascii="宋体" w:hAnsi="宋体" w:cs="宋体"/>
              </w:rPr>
            </w:pPr>
            <w:r>
              <w:rPr>
                <w:rFonts w:hint="eastAsia" w:ascii="宋体" w:hAnsi="宋体" w:cs="宋体"/>
              </w:rPr>
              <w:t>可以按期查看所有的评估结果、评估完成情况以及按不同的类别导出结果，导出的结果按照临床和医技指标得分两个维度进行统计</w:t>
            </w:r>
          </w:p>
        </w:tc>
      </w:tr>
      <w:tr w14:paraId="3CD84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pct"/>
            <w:vMerge w:val="continue"/>
            <w:tcBorders>
              <w:left w:val="single" w:color="auto" w:sz="4" w:space="0"/>
              <w:bottom w:val="single" w:color="auto" w:sz="4" w:space="0"/>
              <w:right w:val="single" w:color="auto" w:sz="4" w:space="0"/>
            </w:tcBorders>
            <w:shd w:val="clear" w:color="auto" w:fill="auto"/>
            <w:vAlign w:val="center"/>
          </w:tcPr>
          <w:p w14:paraId="519D4AE0">
            <w:pPr>
              <w:spacing w:line="240" w:lineRule="auto"/>
              <w:jc w:val="center"/>
              <w:rPr>
                <w:rFonts w:ascii="宋体" w:hAnsi="宋体" w:cs="宋体"/>
                <w:color w:val="000000"/>
              </w:rPr>
            </w:pPr>
          </w:p>
        </w:tc>
        <w:tc>
          <w:tcPr>
            <w:tcW w:w="966" w:type="pct"/>
            <w:tcBorders>
              <w:top w:val="single" w:color="auto" w:sz="4" w:space="0"/>
              <w:left w:val="single" w:color="auto" w:sz="4" w:space="0"/>
              <w:bottom w:val="single" w:color="auto" w:sz="4" w:space="0"/>
              <w:right w:val="single" w:color="auto" w:sz="4" w:space="0"/>
            </w:tcBorders>
            <w:shd w:val="clear" w:color="auto" w:fill="auto"/>
            <w:vAlign w:val="center"/>
          </w:tcPr>
          <w:p w14:paraId="34FD9E16">
            <w:pPr>
              <w:spacing w:line="240" w:lineRule="auto"/>
              <w:jc w:val="center"/>
              <w:rPr>
                <w:rFonts w:ascii="宋体" w:hAnsi="宋体" w:cs="宋体"/>
                <w:color w:val="000000"/>
              </w:rPr>
            </w:pPr>
            <w:r>
              <w:rPr>
                <w:rFonts w:hint="eastAsia" w:ascii="宋体" w:hAnsi="宋体" w:cs="宋体"/>
                <w:color w:val="000000"/>
              </w:rPr>
              <w:t>回收站</w:t>
            </w:r>
          </w:p>
        </w:tc>
        <w:tc>
          <w:tcPr>
            <w:tcW w:w="3134" w:type="pct"/>
            <w:tcBorders>
              <w:top w:val="single" w:color="auto" w:sz="4" w:space="0"/>
              <w:left w:val="single" w:color="auto" w:sz="4" w:space="0"/>
              <w:bottom w:val="single" w:color="auto" w:sz="4" w:space="0"/>
              <w:right w:val="single" w:color="auto" w:sz="4" w:space="0"/>
            </w:tcBorders>
            <w:shd w:val="clear" w:color="auto" w:fill="auto"/>
            <w:vAlign w:val="center"/>
          </w:tcPr>
          <w:p w14:paraId="2C5EBD88">
            <w:pPr>
              <w:spacing w:line="240" w:lineRule="auto"/>
              <w:jc w:val="left"/>
              <w:rPr>
                <w:rFonts w:ascii="宋体" w:hAnsi="宋体" w:cs="宋体"/>
              </w:rPr>
            </w:pPr>
            <w:r>
              <w:rPr>
                <w:rFonts w:hint="eastAsia" w:ascii="宋体" w:hAnsi="宋体" w:cs="宋体"/>
              </w:rPr>
              <w:t>所有删除的任务以及结果数据均可在此查看，可以恢复和彻底删除</w:t>
            </w:r>
          </w:p>
        </w:tc>
      </w:tr>
      <w:tr w14:paraId="59D38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pct"/>
            <w:tcBorders>
              <w:top w:val="single" w:color="auto" w:sz="4" w:space="0"/>
              <w:left w:val="single" w:color="auto" w:sz="4" w:space="0"/>
              <w:bottom w:val="single" w:color="auto" w:sz="4" w:space="0"/>
              <w:right w:val="single" w:color="auto" w:sz="4" w:space="0"/>
            </w:tcBorders>
            <w:shd w:val="clear" w:color="auto" w:fill="auto"/>
            <w:vAlign w:val="center"/>
          </w:tcPr>
          <w:p w14:paraId="30773235">
            <w:pPr>
              <w:spacing w:line="240" w:lineRule="auto"/>
              <w:jc w:val="center"/>
              <w:rPr>
                <w:rFonts w:ascii="宋体" w:hAnsi="宋体" w:cs="宋体"/>
                <w:color w:val="000000"/>
              </w:rPr>
            </w:pPr>
            <w:bookmarkStart w:id="7" w:name="_Hlk51242921"/>
            <w:r>
              <w:rPr>
                <w:rFonts w:hint="eastAsia" w:ascii="宋体" w:hAnsi="宋体" w:cs="宋体"/>
                <w:color w:val="000000"/>
              </w:rPr>
              <w:t>评估分析</w:t>
            </w:r>
          </w:p>
        </w:tc>
        <w:tc>
          <w:tcPr>
            <w:tcW w:w="966" w:type="pct"/>
            <w:tcBorders>
              <w:top w:val="single" w:color="auto" w:sz="4" w:space="0"/>
              <w:left w:val="single" w:color="auto" w:sz="4" w:space="0"/>
              <w:bottom w:val="single" w:color="auto" w:sz="4" w:space="0"/>
              <w:right w:val="single" w:color="auto" w:sz="4" w:space="0"/>
            </w:tcBorders>
            <w:shd w:val="clear" w:color="auto" w:fill="auto"/>
            <w:vAlign w:val="center"/>
          </w:tcPr>
          <w:p w14:paraId="6C4640B4">
            <w:pPr>
              <w:spacing w:line="240" w:lineRule="auto"/>
              <w:jc w:val="center"/>
              <w:rPr>
                <w:rFonts w:ascii="宋体" w:hAnsi="宋体" w:cs="宋体"/>
                <w:color w:val="000000"/>
              </w:rPr>
            </w:pPr>
            <w:r>
              <w:rPr>
                <w:rFonts w:hint="eastAsia" w:ascii="宋体" w:hAnsi="宋体" w:cs="宋体"/>
                <w:color w:val="000000"/>
              </w:rPr>
              <w:t>数据分析</w:t>
            </w:r>
          </w:p>
        </w:tc>
        <w:tc>
          <w:tcPr>
            <w:tcW w:w="3134" w:type="pct"/>
            <w:tcBorders>
              <w:top w:val="single" w:color="auto" w:sz="4" w:space="0"/>
              <w:left w:val="single" w:color="auto" w:sz="4" w:space="0"/>
              <w:bottom w:val="single" w:color="auto" w:sz="4" w:space="0"/>
              <w:right w:val="single" w:color="auto" w:sz="4" w:space="0"/>
            </w:tcBorders>
            <w:shd w:val="clear" w:color="auto" w:fill="auto"/>
            <w:vAlign w:val="center"/>
          </w:tcPr>
          <w:p w14:paraId="5882416A">
            <w:pPr>
              <w:spacing w:line="240" w:lineRule="auto"/>
              <w:jc w:val="left"/>
              <w:rPr>
                <w:rFonts w:ascii="宋体" w:hAnsi="宋体" w:cs="宋体"/>
              </w:rPr>
            </w:pPr>
            <w:r>
              <w:rPr>
                <w:rFonts w:hint="eastAsia" w:ascii="宋体" w:hAnsi="宋体" w:cs="宋体"/>
              </w:rPr>
              <w:t>自定义时段的数据统计分析：</w:t>
            </w:r>
          </w:p>
          <w:p w14:paraId="5D8FE9C9">
            <w:pPr>
              <w:spacing w:line="240" w:lineRule="auto"/>
              <w:jc w:val="left"/>
              <w:rPr>
                <w:rFonts w:ascii="宋体" w:hAnsi="宋体" w:cs="宋体"/>
              </w:rPr>
            </w:pPr>
            <w:r>
              <w:rPr>
                <w:rFonts w:hint="eastAsia" w:ascii="宋体" w:hAnsi="宋体" w:cs="宋体"/>
              </w:rPr>
              <w:t>1、整体开展情况；</w:t>
            </w:r>
          </w:p>
          <w:p w14:paraId="3E480DC0">
            <w:pPr>
              <w:spacing w:line="240" w:lineRule="auto"/>
              <w:jc w:val="left"/>
              <w:rPr>
                <w:rFonts w:ascii="宋体" w:hAnsi="宋体" w:cs="宋体"/>
              </w:rPr>
            </w:pPr>
            <w:r>
              <w:rPr>
                <w:rFonts w:hint="eastAsia" w:ascii="宋体" w:hAnsi="宋体" w:cs="宋体"/>
              </w:rPr>
              <w:t>2、科室、专业和专科维度下不同角色的完成率和评估结果及排名；</w:t>
            </w:r>
          </w:p>
          <w:p w14:paraId="3C4A1C0F">
            <w:pPr>
              <w:spacing w:line="240" w:lineRule="auto"/>
              <w:jc w:val="left"/>
              <w:rPr>
                <w:rFonts w:ascii="宋体" w:hAnsi="宋体" w:cs="宋体"/>
              </w:rPr>
            </w:pPr>
            <w:r>
              <w:rPr>
                <w:rFonts w:ascii="宋体" w:hAnsi="宋体" w:cs="宋体"/>
              </w:rPr>
              <w:t>3</w:t>
            </w:r>
            <w:r>
              <w:rPr>
                <w:rFonts w:hint="eastAsia" w:ascii="宋体" w:hAnsi="宋体" w:cs="宋体"/>
              </w:rPr>
              <w:t>、评估结果按照核心能力分析，可查看科室、专业或专科的详情，统计完成率和综合得分及核心能力的排名及发展趋势；</w:t>
            </w:r>
          </w:p>
        </w:tc>
      </w:tr>
      <w:bookmarkEnd w:id="7"/>
      <w:tr w14:paraId="53965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pct"/>
            <w:vMerge w:val="restart"/>
            <w:tcBorders>
              <w:top w:val="single" w:color="auto" w:sz="4" w:space="0"/>
              <w:left w:val="single" w:color="auto" w:sz="4" w:space="0"/>
              <w:right w:val="single" w:color="auto" w:sz="4" w:space="0"/>
            </w:tcBorders>
            <w:shd w:val="clear" w:color="auto" w:fill="auto"/>
            <w:vAlign w:val="center"/>
          </w:tcPr>
          <w:p w14:paraId="6D8F2AD4">
            <w:pPr>
              <w:spacing w:line="240" w:lineRule="auto"/>
              <w:jc w:val="center"/>
              <w:rPr>
                <w:rFonts w:ascii="宋体" w:hAnsi="宋体" w:cs="宋体"/>
                <w:color w:val="000000"/>
              </w:rPr>
            </w:pPr>
            <w:r>
              <w:rPr>
                <w:rFonts w:hint="eastAsia" w:ascii="宋体" w:hAnsi="宋体" w:cs="宋体"/>
                <w:color w:val="000000"/>
              </w:rPr>
              <w:t>报告管理</w:t>
            </w:r>
          </w:p>
        </w:tc>
        <w:tc>
          <w:tcPr>
            <w:tcW w:w="966" w:type="pct"/>
            <w:vMerge w:val="restart"/>
            <w:tcBorders>
              <w:top w:val="single" w:color="auto" w:sz="4" w:space="0"/>
              <w:left w:val="single" w:color="auto" w:sz="4" w:space="0"/>
              <w:right w:val="single" w:color="auto" w:sz="4" w:space="0"/>
            </w:tcBorders>
            <w:shd w:val="clear" w:color="auto" w:fill="auto"/>
            <w:vAlign w:val="center"/>
          </w:tcPr>
          <w:p w14:paraId="3EBE1A8E">
            <w:pPr>
              <w:spacing w:line="240" w:lineRule="auto"/>
              <w:jc w:val="center"/>
              <w:rPr>
                <w:rFonts w:ascii="宋体" w:hAnsi="宋体" w:cs="宋体"/>
                <w:color w:val="000000"/>
              </w:rPr>
            </w:pPr>
            <w:r>
              <w:rPr>
                <w:rFonts w:hint="eastAsia" w:ascii="宋体" w:hAnsi="宋体" w:cs="宋体"/>
                <w:color w:val="000000"/>
              </w:rPr>
              <w:t>创建报告</w:t>
            </w:r>
          </w:p>
        </w:tc>
        <w:tc>
          <w:tcPr>
            <w:tcW w:w="3134" w:type="pct"/>
            <w:tcBorders>
              <w:top w:val="single" w:color="auto" w:sz="4" w:space="0"/>
              <w:left w:val="single" w:color="auto" w:sz="4" w:space="0"/>
              <w:bottom w:val="single" w:color="auto" w:sz="4" w:space="0"/>
              <w:right w:val="single" w:color="auto" w:sz="4" w:space="0"/>
            </w:tcBorders>
            <w:shd w:val="clear" w:color="auto" w:fill="auto"/>
            <w:vAlign w:val="center"/>
          </w:tcPr>
          <w:p w14:paraId="0703BF61">
            <w:pPr>
              <w:spacing w:line="240" w:lineRule="auto"/>
              <w:jc w:val="left"/>
              <w:rPr>
                <w:rFonts w:ascii="宋体" w:hAnsi="宋体" w:cs="宋体"/>
              </w:rPr>
            </w:pPr>
            <w:r>
              <w:rPr>
                <w:rFonts w:hint="eastAsia" w:ascii="宋体" w:hAnsi="宋体" w:cs="宋体"/>
              </w:rPr>
              <w:t>手动生成报告：可选择单期与多期任务生成报告，也可以灵活选择生成报告的角色。报告发布可自动与手动，手动发布可设置管理员查看权限</w:t>
            </w:r>
          </w:p>
        </w:tc>
      </w:tr>
      <w:tr w14:paraId="36C44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pct"/>
            <w:vMerge w:val="continue"/>
            <w:tcBorders>
              <w:left w:val="single" w:color="auto" w:sz="4" w:space="0"/>
              <w:right w:val="single" w:color="auto" w:sz="4" w:space="0"/>
            </w:tcBorders>
            <w:shd w:val="clear" w:color="auto" w:fill="auto"/>
            <w:vAlign w:val="center"/>
          </w:tcPr>
          <w:p w14:paraId="34A377C9">
            <w:pPr>
              <w:spacing w:line="240" w:lineRule="auto"/>
              <w:jc w:val="center"/>
              <w:rPr>
                <w:rFonts w:ascii="宋体" w:hAnsi="宋体" w:cs="宋体"/>
                <w:color w:val="000000"/>
              </w:rPr>
            </w:pPr>
          </w:p>
        </w:tc>
        <w:tc>
          <w:tcPr>
            <w:tcW w:w="966" w:type="pct"/>
            <w:vMerge w:val="continue"/>
            <w:tcBorders>
              <w:left w:val="single" w:color="auto" w:sz="4" w:space="0"/>
              <w:right w:val="single" w:color="auto" w:sz="4" w:space="0"/>
            </w:tcBorders>
            <w:shd w:val="clear" w:color="auto" w:fill="auto"/>
            <w:vAlign w:val="center"/>
          </w:tcPr>
          <w:p w14:paraId="4E967AE3">
            <w:pPr>
              <w:spacing w:line="240" w:lineRule="auto"/>
              <w:jc w:val="center"/>
              <w:rPr>
                <w:rFonts w:ascii="宋体" w:hAnsi="宋体" w:cs="宋体"/>
                <w:color w:val="000000"/>
              </w:rPr>
            </w:pPr>
          </w:p>
        </w:tc>
        <w:tc>
          <w:tcPr>
            <w:tcW w:w="3134" w:type="pct"/>
            <w:tcBorders>
              <w:top w:val="single" w:color="auto" w:sz="4" w:space="0"/>
              <w:left w:val="single" w:color="auto" w:sz="4" w:space="0"/>
              <w:bottom w:val="single" w:color="auto" w:sz="4" w:space="0"/>
              <w:right w:val="single" w:color="auto" w:sz="4" w:space="0"/>
            </w:tcBorders>
            <w:shd w:val="clear" w:color="auto" w:fill="auto"/>
            <w:vAlign w:val="center"/>
          </w:tcPr>
          <w:p w14:paraId="0EE36760">
            <w:pPr>
              <w:spacing w:line="240" w:lineRule="auto"/>
              <w:jc w:val="left"/>
              <w:rPr>
                <w:rFonts w:ascii="宋体" w:hAnsi="宋体" w:cs="宋体"/>
              </w:rPr>
            </w:pPr>
            <w:r>
              <w:rPr>
                <w:rFonts w:hint="eastAsia" w:ascii="宋体" w:hAnsi="宋体" w:cs="宋体"/>
              </w:rPr>
              <w:t>自动生成报告：可按不同的时间周期自动生成评估报告</w:t>
            </w:r>
          </w:p>
        </w:tc>
      </w:tr>
      <w:tr w14:paraId="19654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pct"/>
            <w:vMerge w:val="continue"/>
            <w:tcBorders>
              <w:left w:val="single" w:color="auto" w:sz="4" w:space="0"/>
              <w:right w:val="single" w:color="auto" w:sz="4" w:space="0"/>
            </w:tcBorders>
            <w:shd w:val="clear" w:color="auto" w:fill="auto"/>
            <w:vAlign w:val="center"/>
          </w:tcPr>
          <w:p w14:paraId="6C89DC0F">
            <w:pPr>
              <w:spacing w:line="240" w:lineRule="auto"/>
              <w:jc w:val="center"/>
              <w:rPr>
                <w:rFonts w:ascii="宋体" w:hAnsi="宋体" w:cs="宋体"/>
                <w:color w:val="000000"/>
              </w:rPr>
            </w:pPr>
          </w:p>
        </w:tc>
        <w:tc>
          <w:tcPr>
            <w:tcW w:w="966" w:type="pct"/>
            <w:vMerge w:val="continue"/>
            <w:tcBorders>
              <w:left w:val="single" w:color="auto" w:sz="4" w:space="0"/>
              <w:bottom w:val="single" w:color="auto" w:sz="4" w:space="0"/>
              <w:right w:val="single" w:color="auto" w:sz="4" w:space="0"/>
            </w:tcBorders>
            <w:shd w:val="clear" w:color="auto" w:fill="auto"/>
            <w:vAlign w:val="center"/>
          </w:tcPr>
          <w:p w14:paraId="747E30D8">
            <w:pPr>
              <w:spacing w:line="240" w:lineRule="auto"/>
              <w:jc w:val="center"/>
              <w:rPr>
                <w:rFonts w:ascii="宋体" w:hAnsi="宋体" w:cs="宋体"/>
                <w:color w:val="000000"/>
              </w:rPr>
            </w:pPr>
          </w:p>
        </w:tc>
        <w:tc>
          <w:tcPr>
            <w:tcW w:w="3134" w:type="pct"/>
            <w:tcBorders>
              <w:top w:val="single" w:color="auto" w:sz="4" w:space="0"/>
              <w:left w:val="single" w:color="auto" w:sz="4" w:space="0"/>
              <w:bottom w:val="single" w:color="auto" w:sz="4" w:space="0"/>
              <w:right w:val="single" w:color="auto" w:sz="4" w:space="0"/>
            </w:tcBorders>
            <w:shd w:val="clear" w:color="auto" w:fill="auto"/>
            <w:vAlign w:val="center"/>
          </w:tcPr>
          <w:p w14:paraId="5B89A56D">
            <w:pPr>
              <w:spacing w:line="240" w:lineRule="auto"/>
              <w:jc w:val="left"/>
              <w:rPr>
                <w:rFonts w:ascii="宋体" w:hAnsi="宋体" w:cs="宋体"/>
              </w:rPr>
            </w:pPr>
            <w:r>
              <w:rPr>
                <w:rFonts w:hint="eastAsia" w:ascii="宋体" w:hAnsi="宋体" w:cs="宋体"/>
              </w:rPr>
              <w:t>权重设置：支持自定义权重，根据不同的评估人所占权重计算得分，生成报告</w:t>
            </w:r>
          </w:p>
        </w:tc>
      </w:tr>
      <w:tr w14:paraId="7D05A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pct"/>
            <w:vMerge w:val="continue"/>
            <w:tcBorders>
              <w:left w:val="single" w:color="auto" w:sz="4" w:space="0"/>
              <w:right w:val="single" w:color="auto" w:sz="4" w:space="0"/>
            </w:tcBorders>
            <w:shd w:val="clear" w:color="auto" w:fill="auto"/>
            <w:vAlign w:val="center"/>
          </w:tcPr>
          <w:p w14:paraId="0D1A64BB">
            <w:pPr>
              <w:spacing w:line="240" w:lineRule="auto"/>
              <w:jc w:val="center"/>
              <w:rPr>
                <w:rFonts w:ascii="宋体" w:hAnsi="宋体" w:cs="宋体"/>
                <w:color w:val="000000"/>
              </w:rPr>
            </w:pPr>
          </w:p>
        </w:tc>
        <w:tc>
          <w:tcPr>
            <w:tcW w:w="966" w:type="pct"/>
            <w:vMerge w:val="restart"/>
            <w:tcBorders>
              <w:top w:val="single" w:color="auto" w:sz="4" w:space="0"/>
              <w:left w:val="single" w:color="auto" w:sz="4" w:space="0"/>
              <w:right w:val="single" w:color="auto" w:sz="4" w:space="0"/>
            </w:tcBorders>
            <w:shd w:val="clear" w:color="auto" w:fill="auto"/>
            <w:vAlign w:val="center"/>
          </w:tcPr>
          <w:p w14:paraId="2BDE68A8">
            <w:pPr>
              <w:spacing w:line="240" w:lineRule="auto"/>
              <w:jc w:val="center"/>
              <w:rPr>
                <w:rFonts w:ascii="宋体" w:hAnsi="宋体" w:cs="宋体"/>
                <w:color w:val="000000"/>
              </w:rPr>
            </w:pPr>
            <w:r>
              <w:rPr>
                <w:rFonts w:hint="eastAsia" w:ascii="宋体" w:hAnsi="宋体" w:cs="宋体"/>
                <w:color w:val="000000"/>
              </w:rPr>
              <w:t>查看报告</w:t>
            </w:r>
          </w:p>
        </w:tc>
        <w:tc>
          <w:tcPr>
            <w:tcW w:w="3134" w:type="pct"/>
            <w:tcBorders>
              <w:top w:val="single" w:color="auto" w:sz="4" w:space="0"/>
              <w:left w:val="single" w:color="auto" w:sz="4" w:space="0"/>
              <w:bottom w:val="single" w:color="auto" w:sz="4" w:space="0"/>
              <w:right w:val="single" w:color="auto" w:sz="4" w:space="0"/>
            </w:tcBorders>
            <w:shd w:val="clear" w:color="auto" w:fill="auto"/>
            <w:vAlign w:val="center"/>
          </w:tcPr>
          <w:p w14:paraId="039C814A">
            <w:pPr>
              <w:spacing w:line="240" w:lineRule="auto"/>
              <w:jc w:val="left"/>
              <w:rPr>
                <w:rFonts w:ascii="宋体" w:hAnsi="宋体" w:cs="宋体"/>
              </w:rPr>
            </w:pPr>
            <w:r>
              <w:rPr>
                <w:rFonts w:hint="eastAsia" w:ascii="宋体" w:hAnsi="宋体" w:cs="宋体"/>
              </w:rPr>
              <w:t>评估报告生成记录：可按期查询、删除、预览和导出生成的报告，报告发布、查阅状态等</w:t>
            </w:r>
          </w:p>
        </w:tc>
      </w:tr>
      <w:tr w14:paraId="2A1AD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pct"/>
            <w:vMerge w:val="continue"/>
            <w:tcBorders>
              <w:left w:val="single" w:color="auto" w:sz="4" w:space="0"/>
              <w:bottom w:val="single" w:color="auto" w:sz="4" w:space="0"/>
              <w:right w:val="single" w:color="auto" w:sz="4" w:space="0"/>
            </w:tcBorders>
            <w:shd w:val="clear" w:color="auto" w:fill="auto"/>
            <w:vAlign w:val="center"/>
          </w:tcPr>
          <w:p w14:paraId="76B9E541">
            <w:pPr>
              <w:spacing w:line="240" w:lineRule="auto"/>
              <w:jc w:val="center"/>
              <w:rPr>
                <w:rFonts w:ascii="宋体" w:hAnsi="宋体" w:cs="宋体"/>
                <w:color w:val="000000"/>
              </w:rPr>
            </w:pPr>
          </w:p>
        </w:tc>
        <w:tc>
          <w:tcPr>
            <w:tcW w:w="966" w:type="pct"/>
            <w:vMerge w:val="continue"/>
            <w:tcBorders>
              <w:left w:val="single" w:color="auto" w:sz="4" w:space="0"/>
              <w:bottom w:val="single" w:color="auto" w:sz="4" w:space="0"/>
              <w:right w:val="single" w:color="auto" w:sz="4" w:space="0"/>
            </w:tcBorders>
            <w:shd w:val="clear" w:color="auto" w:fill="auto"/>
            <w:vAlign w:val="center"/>
          </w:tcPr>
          <w:p w14:paraId="7EE5D238">
            <w:pPr>
              <w:spacing w:line="240" w:lineRule="auto"/>
              <w:jc w:val="center"/>
              <w:rPr>
                <w:rFonts w:ascii="宋体" w:hAnsi="宋体" w:cs="宋体"/>
                <w:color w:val="000000"/>
              </w:rPr>
            </w:pPr>
          </w:p>
        </w:tc>
        <w:tc>
          <w:tcPr>
            <w:tcW w:w="3134" w:type="pct"/>
            <w:tcBorders>
              <w:top w:val="single" w:color="auto" w:sz="4" w:space="0"/>
              <w:left w:val="single" w:color="auto" w:sz="4" w:space="0"/>
              <w:bottom w:val="single" w:color="auto" w:sz="4" w:space="0"/>
              <w:right w:val="single" w:color="auto" w:sz="4" w:space="0"/>
            </w:tcBorders>
            <w:shd w:val="clear" w:color="auto" w:fill="auto"/>
            <w:vAlign w:val="center"/>
          </w:tcPr>
          <w:p w14:paraId="26C43C84">
            <w:pPr>
              <w:spacing w:line="240" w:lineRule="auto"/>
              <w:jc w:val="left"/>
              <w:rPr>
                <w:rFonts w:ascii="宋体" w:hAnsi="宋体" w:cs="宋体"/>
              </w:rPr>
            </w:pPr>
            <w:r>
              <w:rPr>
                <w:rFonts w:hint="eastAsia" w:ascii="宋体" w:hAnsi="宋体" w:cs="宋体"/>
              </w:rPr>
              <w:t>个人评估报告：统一管理生成的个人报告，查询、预览、导出，报告由综合情况、分数构成、核心能力、能力优势和待发展、认知差异、单项总结和开放性评语六部分组成，呈现形式有雷达图、柱形图、象限图和表格等</w:t>
            </w:r>
          </w:p>
        </w:tc>
      </w:tr>
      <w:tr w14:paraId="491D3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pct"/>
            <w:vMerge w:val="restart"/>
            <w:tcBorders>
              <w:top w:val="single" w:color="auto" w:sz="4" w:space="0"/>
              <w:left w:val="single" w:color="auto" w:sz="4" w:space="0"/>
              <w:right w:val="single" w:color="auto" w:sz="4" w:space="0"/>
            </w:tcBorders>
            <w:shd w:val="clear" w:color="auto" w:fill="auto"/>
            <w:vAlign w:val="center"/>
          </w:tcPr>
          <w:p w14:paraId="4558FCAC">
            <w:pPr>
              <w:spacing w:line="240" w:lineRule="auto"/>
              <w:jc w:val="center"/>
              <w:rPr>
                <w:rFonts w:ascii="宋体" w:hAnsi="宋体" w:cs="宋体"/>
                <w:color w:val="000000"/>
              </w:rPr>
            </w:pPr>
            <w:r>
              <w:rPr>
                <w:rFonts w:hint="eastAsia" w:ascii="宋体" w:hAnsi="宋体" w:cs="宋体"/>
                <w:color w:val="000000"/>
              </w:rPr>
              <w:t>评估表管理</w:t>
            </w:r>
          </w:p>
        </w:tc>
        <w:tc>
          <w:tcPr>
            <w:tcW w:w="966" w:type="pct"/>
            <w:tcBorders>
              <w:top w:val="single" w:color="auto" w:sz="4" w:space="0"/>
              <w:left w:val="single" w:color="auto" w:sz="4" w:space="0"/>
              <w:bottom w:val="single" w:color="auto" w:sz="4" w:space="0"/>
              <w:right w:val="single" w:color="auto" w:sz="4" w:space="0"/>
            </w:tcBorders>
            <w:shd w:val="clear" w:color="auto" w:fill="auto"/>
            <w:vAlign w:val="center"/>
          </w:tcPr>
          <w:p w14:paraId="7CB44149">
            <w:pPr>
              <w:spacing w:line="240" w:lineRule="auto"/>
              <w:jc w:val="center"/>
              <w:rPr>
                <w:rFonts w:ascii="宋体" w:hAnsi="宋体" w:cs="宋体"/>
                <w:color w:val="000000"/>
              </w:rPr>
            </w:pPr>
            <w:r>
              <w:rPr>
                <w:rFonts w:hint="eastAsia" w:ascii="宋体" w:hAnsi="宋体" w:cs="宋体"/>
                <w:color w:val="000000"/>
              </w:rPr>
              <w:t>评估表</w:t>
            </w:r>
          </w:p>
        </w:tc>
        <w:tc>
          <w:tcPr>
            <w:tcW w:w="3134" w:type="pct"/>
            <w:tcBorders>
              <w:top w:val="single" w:color="auto" w:sz="4" w:space="0"/>
              <w:left w:val="single" w:color="auto" w:sz="4" w:space="0"/>
              <w:bottom w:val="single" w:color="auto" w:sz="4" w:space="0"/>
              <w:right w:val="single" w:color="auto" w:sz="4" w:space="0"/>
            </w:tcBorders>
            <w:shd w:val="clear" w:color="auto" w:fill="auto"/>
            <w:vAlign w:val="center"/>
          </w:tcPr>
          <w:p w14:paraId="01748D24">
            <w:pPr>
              <w:spacing w:line="240" w:lineRule="auto"/>
              <w:jc w:val="left"/>
              <w:rPr>
                <w:rFonts w:ascii="宋体" w:hAnsi="宋体" w:cs="宋体"/>
              </w:rPr>
            </w:pPr>
            <w:r>
              <w:rPr>
                <w:rFonts w:hint="eastAsia" w:ascii="宋体" w:hAnsi="宋体" w:cs="宋体"/>
              </w:rPr>
              <w:t>系统内评估表分为三类：协会官方、系统推荐和自定义，协会官方为中国医师协会指定指标，系统推荐为系统组建，自定义有基地自行建设；支持不同维度的评估需求；</w:t>
            </w:r>
          </w:p>
        </w:tc>
      </w:tr>
      <w:tr w14:paraId="2EB1E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pct"/>
            <w:vMerge w:val="continue"/>
            <w:tcBorders>
              <w:left w:val="single" w:color="auto" w:sz="4" w:space="0"/>
              <w:right w:val="single" w:color="auto" w:sz="4" w:space="0"/>
            </w:tcBorders>
            <w:shd w:val="clear" w:color="auto" w:fill="auto"/>
            <w:vAlign w:val="center"/>
          </w:tcPr>
          <w:p w14:paraId="497A9A18">
            <w:pPr>
              <w:spacing w:line="240" w:lineRule="auto"/>
              <w:jc w:val="center"/>
              <w:rPr>
                <w:rFonts w:ascii="宋体" w:hAnsi="宋体" w:cs="宋体"/>
                <w:color w:val="000000"/>
              </w:rPr>
            </w:pPr>
          </w:p>
        </w:tc>
        <w:tc>
          <w:tcPr>
            <w:tcW w:w="966" w:type="pct"/>
            <w:tcBorders>
              <w:top w:val="single" w:color="auto" w:sz="4" w:space="0"/>
              <w:left w:val="single" w:color="auto" w:sz="4" w:space="0"/>
              <w:bottom w:val="single" w:color="auto" w:sz="4" w:space="0"/>
              <w:right w:val="single" w:color="auto" w:sz="4" w:space="0"/>
            </w:tcBorders>
            <w:shd w:val="clear" w:color="auto" w:fill="auto"/>
            <w:vAlign w:val="center"/>
          </w:tcPr>
          <w:p w14:paraId="0A91D5C7">
            <w:pPr>
              <w:spacing w:line="240" w:lineRule="auto"/>
              <w:jc w:val="center"/>
              <w:rPr>
                <w:rFonts w:ascii="宋体" w:hAnsi="宋体" w:cs="宋体"/>
                <w:color w:val="000000"/>
              </w:rPr>
            </w:pPr>
            <w:r>
              <w:rPr>
                <w:rFonts w:hint="eastAsia" w:ascii="宋体" w:hAnsi="宋体" w:cs="宋体"/>
                <w:color w:val="000000"/>
              </w:rPr>
              <w:t>评估项</w:t>
            </w:r>
          </w:p>
        </w:tc>
        <w:tc>
          <w:tcPr>
            <w:tcW w:w="3134" w:type="pct"/>
            <w:tcBorders>
              <w:top w:val="single" w:color="auto" w:sz="4" w:space="0"/>
              <w:left w:val="single" w:color="auto" w:sz="4" w:space="0"/>
              <w:bottom w:val="single" w:color="auto" w:sz="4" w:space="0"/>
              <w:right w:val="single" w:color="auto" w:sz="4" w:space="0"/>
            </w:tcBorders>
            <w:shd w:val="clear" w:color="auto" w:fill="auto"/>
            <w:vAlign w:val="center"/>
          </w:tcPr>
          <w:p w14:paraId="0AFADBAC">
            <w:pPr>
              <w:spacing w:line="240" w:lineRule="auto"/>
              <w:jc w:val="left"/>
              <w:rPr>
                <w:rFonts w:ascii="宋体" w:hAnsi="宋体" w:cs="宋体"/>
              </w:rPr>
            </w:pPr>
            <w:r>
              <w:rPr>
                <w:rFonts w:hint="eastAsia" w:ascii="宋体" w:hAnsi="宋体" w:cs="宋体"/>
              </w:rPr>
              <w:t>对所有的评估项进行管理</w:t>
            </w:r>
          </w:p>
        </w:tc>
      </w:tr>
      <w:tr w14:paraId="37D61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pct"/>
            <w:vMerge w:val="continue"/>
            <w:tcBorders>
              <w:left w:val="single" w:color="auto" w:sz="4" w:space="0"/>
              <w:right w:val="single" w:color="auto" w:sz="4" w:space="0"/>
            </w:tcBorders>
            <w:shd w:val="clear" w:color="auto" w:fill="auto"/>
            <w:vAlign w:val="center"/>
          </w:tcPr>
          <w:p w14:paraId="31D090C7">
            <w:pPr>
              <w:spacing w:line="240" w:lineRule="auto"/>
              <w:jc w:val="center"/>
              <w:rPr>
                <w:rFonts w:ascii="宋体" w:hAnsi="宋体" w:cs="宋体"/>
                <w:color w:val="000000"/>
              </w:rPr>
            </w:pPr>
          </w:p>
        </w:tc>
        <w:tc>
          <w:tcPr>
            <w:tcW w:w="966" w:type="pct"/>
            <w:tcBorders>
              <w:top w:val="single" w:color="auto" w:sz="4" w:space="0"/>
              <w:left w:val="single" w:color="auto" w:sz="4" w:space="0"/>
              <w:bottom w:val="single" w:color="auto" w:sz="4" w:space="0"/>
              <w:right w:val="single" w:color="auto" w:sz="4" w:space="0"/>
            </w:tcBorders>
            <w:shd w:val="clear" w:color="auto" w:fill="auto"/>
            <w:vAlign w:val="center"/>
          </w:tcPr>
          <w:p w14:paraId="42C96C10">
            <w:pPr>
              <w:spacing w:line="240" w:lineRule="auto"/>
              <w:jc w:val="center"/>
              <w:rPr>
                <w:rFonts w:ascii="宋体" w:hAnsi="宋体" w:cs="宋体"/>
                <w:color w:val="000000"/>
              </w:rPr>
            </w:pPr>
            <w:r>
              <w:rPr>
                <w:rFonts w:hint="eastAsia" w:ascii="宋体" w:hAnsi="宋体" w:cs="宋体"/>
                <w:color w:val="000000"/>
              </w:rPr>
              <w:t>评估项分类</w:t>
            </w:r>
          </w:p>
        </w:tc>
        <w:tc>
          <w:tcPr>
            <w:tcW w:w="3134" w:type="pct"/>
            <w:tcBorders>
              <w:top w:val="single" w:color="auto" w:sz="4" w:space="0"/>
              <w:left w:val="single" w:color="auto" w:sz="4" w:space="0"/>
              <w:bottom w:val="single" w:color="auto" w:sz="4" w:space="0"/>
              <w:right w:val="single" w:color="auto" w:sz="4" w:space="0"/>
            </w:tcBorders>
            <w:shd w:val="clear" w:color="auto" w:fill="auto"/>
            <w:vAlign w:val="center"/>
          </w:tcPr>
          <w:p w14:paraId="74F92A61">
            <w:pPr>
              <w:spacing w:line="240" w:lineRule="auto"/>
              <w:jc w:val="left"/>
              <w:rPr>
                <w:rFonts w:ascii="宋体" w:hAnsi="宋体" w:cs="宋体"/>
              </w:rPr>
            </w:pPr>
            <w:r>
              <w:rPr>
                <w:rFonts w:hint="eastAsia" w:ascii="宋体" w:hAnsi="宋体" w:cs="宋体"/>
              </w:rPr>
              <w:t>对所有的评估项分类进行管理，评估项分类即为核心胜任力</w:t>
            </w:r>
          </w:p>
        </w:tc>
      </w:tr>
      <w:tr w14:paraId="599EF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pct"/>
            <w:vMerge w:val="continue"/>
            <w:tcBorders>
              <w:left w:val="single" w:color="auto" w:sz="4" w:space="0"/>
              <w:bottom w:val="single" w:color="auto" w:sz="4" w:space="0"/>
              <w:right w:val="single" w:color="auto" w:sz="4" w:space="0"/>
            </w:tcBorders>
            <w:shd w:val="clear" w:color="auto" w:fill="auto"/>
            <w:vAlign w:val="center"/>
          </w:tcPr>
          <w:p w14:paraId="684BB3B6">
            <w:pPr>
              <w:spacing w:line="240" w:lineRule="auto"/>
              <w:jc w:val="center"/>
              <w:rPr>
                <w:rFonts w:ascii="宋体" w:hAnsi="宋体" w:cs="宋体"/>
                <w:color w:val="000000"/>
              </w:rPr>
            </w:pPr>
          </w:p>
        </w:tc>
        <w:tc>
          <w:tcPr>
            <w:tcW w:w="966" w:type="pct"/>
            <w:tcBorders>
              <w:top w:val="single" w:color="auto" w:sz="4" w:space="0"/>
              <w:left w:val="single" w:color="auto" w:sz="4" w:space="0"/>
              <w:bottom w:val="single" w:color="auto" w:sz="4" w:space="0"/>
              <w:right w:val="single" w:color="auto" w:sz="4" w:space="0"/>
            </w:tcBorders>
            <w:shd w:val="clear" w:color="auto" w:fill="auto"/>
            <w:vAlign w:val="center"/>
          </w:tcPr>
          <w:p w14:paraId="0DB7B494">
            <w:pPr>
              <w:spacing w:line="240" w:lineRule="auto"/>
              <w:jc w:val="center"/>
              <w:rPr>
                <w:rFonts w:ascii="宋体" w:hAnsi="宋体" w:cs="宋体"/>
                <w:color w:val="000000"/>
              </w:rPr>
            </w:pPr>
            <w:r>
              <w:rPr>
                <w:rFonts w:hint="eastAsia" w:ascii="宋体" w:hAnsi="宋体" w:cs="宋体"/>
                <w:color w:val="000000"/>
              </w:rPr>
              <w:t>评估关系</w:t>
            </w:r>
          </w:p>
        </w:tc>
        <w:tc>
          <w:tcPr>
            <w:tcW w:w="3134" w:type="pct"/>
            <w:tcBorders>
              <w:top w:val="single" w:color="auto" w:sz="4" w:space="0"/>
              <w:left w:val="single" w:color="auto" w:sz="4" w:space="0"/>
              <w:bottom w:val="single" w:color="auto" w:sz="4" w:space="0"/>
              <w:right w:val="single" w:color="auto" w:sz="4" w:space="0"/>
            </w:tcBorders>
            <w:shd w:val="clear" w:color="auto" w:fill="auto"/>
            <w:vAlign w:val="center"/>
          </w:tcPr>
          <w:p w14:paraId="3E9FA58E">
            <w:pPr>
              <w:spacing w:line="240" w:lineRule="auto"/>
              <w:jc w:val="left"/>
              <w:rPr>
                <w:rFonts w:ascii="宋体" w:hAnsi="宋体" w:cs="宋体"/>
              </w:rPr>
            </w:pPr>
            <w:r>
              <w:rPr>
                <w:rFonts w:hint="eastAsia" w:ascii="宋体" w:hAnsi="宋体" w:cs="宋体"/>
              </w:rPr>
              <w:t>对所有评估关系进行管理，支持自定义评估关系；评估关系共分为三类：互评、单向评估和自评</w:t>
            </w:r>
          </w:p>
        </w:tc>
      </w:tr>
      <w:tr w14:paraId="3CD35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pct"/>
            <w:vMerge w:val="restart"/>
            <w:tcBorders>
              <w:top w:val="single" w:color="auto" w:sz="4" w:space="0"/>
              <w:left w:val="single" w:color="auto" w:sz="4" w:space="0"/>
              <w:right w:val="single" w:color="auto" w:sz="4" w:space="0"/>
            </w:tcBorders>
            <w:shd w:val="clear" w:color="auto" w:fill="auto"/>
            <w:vAlign w:val="center"/>
          </w:tcPr>
          <w:p w14:paraId="222E4394">
            <w:pPr>
              <w:spacing w:line="240" w:lineRule="auto"/>
              <w:jc w:val="center"/>
              <w:rPr>
                <w:rFonts w:ascii="宋体" w:hAnsi="宋体" w:cs="宋体"/>
                <w:color w:val="000000"/>
              </w:rPr>
            </w:pPr>
            <w:r>
              <w:rPr>
                <w:rFonts w:hint="eastAsia" w:ascii="宋体" w:hAnsi="宋体" w:cs="宋体"/>
                <w:color w:val="000000"/>
              </w:rPr>
              <w:t>基础设置</w:t>
            </w:r>
          </w:p>
        </w:tc>
        <w:tc>
          <w:tcPr>
            <w:tcW w:w="966" w:type="pct"/>
            <w:tcBorders>
              <w:top w:val="single" w:color="auto" w:sz="4" w:space="0"/>
              <w:left w:val="single" w:color="auto" w:sz="4" w:space="0"/>
              <w:bottom w:val="single" w:color="auto" w:sz="4" w:space="0"/>
              <w:right w:val="single" w:color="auto" w:sz="4" w:space="0"/>
            </w:tcBorders>
            <w:shd w:val="clear" w:color="auto" w:fill="auto"/>
            <w:vAlign w:val="center"/>
          </w:tcPr>
          <w:p w14:paraId="16B45C28">
            <w:pPr>
              <w:spacing w:line="240" w:lineRule="auto"/>
              <w:jc w:val="center"/>
              <w:rPr>
                <w:rFonts w:ascii="宋体" w:hAnsi="宋体" w:cs="宋体"/>
                <w:color w:val="000000"/>
              </w:rPr>
            </w:pPr>
            <w:r>
              <w:rPr>
                <w:rFonts w:hint="eastAsia" w:ascii="宋体" w:hAnsi="宋体" w:cs="宋体"/>
                <w:color w:val="000000"/>
              </w:rPr>
              <w:t>科室管理</w:t>
            </w:r>
          </w:p>
        </w:tc>
        <w:tc>
          <w:tcPr>
            <w:tcW w:w="3134" w:type="pct"/>
            <w:tcBorders>
              <w:top w:val="single" w:color="auto" w:sz="4" w:space="0"/>
              <w:left w:val="single" w:color="auto" w:sz="4" w:space="0"/>
              <w:bottom w:val="single" w:color="auto" w:sz="4" w:space="0"/>
              <w:right w:val="single" w:color="auto" w:sz="4" w:space="0"/>
            </w:tcBorders>
            <w:shd w:val="clear" w:color="auto" w:fill="auto"/>
            <w:vAlign w:val="center"/>
          </w:tcPr>
          <w:p w14:paraId="2A47723A">
            <w:pPr>
              <w:spacing w:line="240" w:lineRule="auto"/>
              <w:jc w:val="left"/>
              <w:rPr>
                <w:rFonts w:ascii="宋体" w:hAnsi="宋体" w:cs="宋体"/>
              </w:rPr>
            </w:pPr>
            <w:r>
              <w:rPr>
                <w:rFonts w:hint="eastAsia" w:ascii="宋体" w:hAnsi="宋体" w:cs="宋体"/>
              </w:rPr>
              <w:t>新增、修改科室信息，支持模板导入；可修改科室类别，分为临床和医技，不同类型的科室下的用户评估时自动适配不同类型的评估表</w:t>
            </w:r>
          </w:p>
        </w:tc>
      </w:tr>
      <w:tr w14:paraId="5CBC6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pct"/>
            <w:vMerge w:val="continue"/>
            <w:tcBorders>
              <w:left w:val="single" w:color="auto" w:sz="4" w:space="0"/>
              <w:right w:val="single" w:color="auto" w:sz="4" w:space="0"/>
            </w:tcBorders>
            <w:shd w:val="clear" w:color="auto" w:fill="auto"/>
            <w:vAlign w:val="center"/>
          </w:tcPr>
          <w:p w14:paraId="59F08F84">
            <w:pPr>
              <w:spacing w:line="240" w:lineRule="auto"/>
              <w:jc w:val="center"/>
              <w:rPr>
                <w:rFonts w:ascii="宋体" w:hAnsi="宋体" w:cs="宋体"/>
                <w:color w:val="000000"/>
              </w:rPr>
            </w:pPr>
          </w:p>
        </w:tc>
        <w:tc>
          <w:tcPr>
            <w:tcW w:w="966" w:type="pct"/>
            <w:tcBorders>
              <w:top w:val="single" w:color="auto" w:sz="4" w:space="0"/>
              <w:left w:val="single" w:color="auto" w:sz="4" w:space="0"/>
              <w:bottom w:val="single" w:color="auto" w:sz="4" w:space="0"/>
              <w:right w:val="single" w:color="auto" w:sz="4" w:space="0"/>
            </w:tcBorders>
            <w:shd w:val="clear" w:color="auto" w:fill="auto"/>
            <w:vAlign w:val="center"/>
          </w:tcPr>
          <w:p w14:paraId="577FA3EE">
            <w:pPr>
              <w:spacing w:line="240" w:lineRule="auto"/>
              <w:jc w:val="center"/>
              <w:rPr>
                <w:rFonts w:ascii="宋体" w:hAnsi="宋体" w:cs="宋体"/>
                <w:color w:val="000000"/>
              </w:rPr>
            </w:pPr>
            <w:r>
              <w:rPr>
                <w:rFonts w:hint="eastAsia" w:ascii="宋体" w:hAnsi="宋体" w:cs="宋体"/>
                <w:color w:val="000000"/>
              </w:rPr>
              <w:t>用户管理</w:t>
            </w:r>
          </w:p>
        </w:tc>
        <w:tc>
          <w:tcPr>
            <w:tcW w:w="3134" w:type="pct"/>
            <w:tcBorders>
              <w:top w:val="single" w:color="auto" w:sz="4" w:space="0"/>
              <w:left w:val="single" w:color="auto" w:sz="4" w:space="0"/>
              <w:bottom w:val="single" w:color="auto" w:sz="4" w:space="0"/>
              <w:right w:val="single" w:color="auto" w:sz="4" w:space="0"/>
            </w:tcBorders>
            <w:shd w:val="clear" w:color="auto" w:fill="auto"/>
            <w:vAlign w:val="center"/>
          </w:tcPr>
          <w:p w14:paraId="3C38F8C7">
            <w:pPr>
              <w:spacing w:line="240" w:lineRule="auto"/>
              <w:jc w:val="left"/>
              <w:rPr>
                <w:rFonts w:ascii="宋体" w:hAnsi="宋体" w:cs="宋体"/>
              </w:rPr>
            </w:pPr>
            <w:r>
              <w:rPr>
                <w:rFonts w:hint="eastAsia" w:ascii="宋体" w:hAnsi="宋体" w:cs="宋体"/>
              </w:rPr>
              <w:t>可以新增、修改、删除用户的角色信息，支持模板批量导入</w:t>
            </w:r>
          </w:p>
        </w:tc>
      </w:tr>
      <w:tr w14:paraId="3EEB9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pct"/>
            <w:vMerge w:val="continue"/>
            <w:tcBorders>
              <w:left w:val="single" w:color="auto" w:sz="4" w:space="0"/>
              <w:bottom w:val="single" w:color="auto" w:sz="4" w:space="0"/>
              <w:right w:val="single" w:color="auto" w:sz="4" w:space="0"/>
            </w:tcBorders>
            <w:shd w:val="clear" w:color="auto" w:fill="auto"/>
            <w:vAlign w:val="center"/>
          </w:tcPr>
          <w:p w14:paraId="21392825">
            <w:pPr>
              <w:spacing w:line="240" w:lineRule="auto"/>
              <w:jc w:val="center"/>
              <w:rPr>
                <w:rFonts w:ascii="宋体" w:hAnsi="宋体" w:cs="宋体"/>
                <w:color w:val="000000"/>
              </w:rPr>
            </w:pPr>
          </w:p>
        </w:tc>
        <w:tc>
          <w:tcPr>
            <w:tcW w:w="966" w:type="pct"/>
            <w:tcBorders>
              <w:top w:val="single" w:color="auto" w:sz="4" w:space="0"/>
              <w:left w:val="single" w:color="auto" w:sz="4" w:space="0"/>
              <w:bottom w:val="single" w:color="auto" w:sz="4" w:space="0"/>
              <w:right w:val="single" w:color="auto" w:sz="4" w:space="0"/>
            </w:tcBorders>
            <w:shd w:val="clear" w:color="auto" w:fill="auto"/>
            <w:vAlign w:val="center"/>
          </w:tcPr>
          <w:p w14:paraId="722E88F1">
            <w:pPr>
              <w:spacing w:line="240" w:lineRule="auto"/>
              <w:jc w:val="center"/>
              <w:rPr>
                <w:rFonts w:ascii="宋体" w:hAnsi="宋体" w:cs="宋体"/>
                <w:color w:val="000000"/>
              </w:rPr>
            </w:pPr>
            <w:r>
              <w:rPr>
                <w:rFonts w:hint="eastAsia" w:ascii="宋体" w:hAnsi="宋体" w:cs="宋体"/>
                <w:color w:val="000000"/>
              </w:rPr>
              <w:t>角色管理</w:t>
            </w:r>
          </w:p>
        </w:tc>
        <w:tc>
          <w:tcPr>
            <w:tcW w:w="3134" w:type="pct"/>
            <w:tcBorders>
              <w:top w:val="single" w:color="auto" w:sz="4" w:space="0"/>
              <w:left w:val="single" w:color="auto" w:sz="4" w:space="0"/>
              <w:bottom w:val="single" w:color="auto" w:sz="4" w:space="0"/>
              <w:right w:val="single" w:color="auto" w:sz="4" w:space="0"/>
            </w:tcBorders>
            <w:shd w:val="clear" w:color="auto" w:fill="auto"/>
            <w:vAlign w:val="center"/>
          </w:tcPr>
          <w:p w14:paraId="675A15EA">
            <w:pPr>
              <w:spacing w:line="240" w:lineRule="auto"/>
              <w:jc w:val="left"/>
              <w:rPr>
                <w:rFonts w:ascii="宋体" w:hAnsi="宋体" w:cs="宋体"/>
              </w:rPr>
            </w:pPr>
            <w:r>
              <w:rPr>
                <w:rFonts w:hint="eastAsia" w:ascii="宋体" w:hAnsi="宋体" w:cs="宋体"/>
              </w:rPr>
              <w:t xml:space="preserve">可根据需要自定义角色 </w:t>
            </w:r>
          </w:p>
        </w:tc>
      </w:tr>
      <w:tr w14:paraId="6F0CA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pct"/>
            <w:vMerge w:val="restart"/>
            <w:tcBorders>
              <w:top w:val="single" w:color="auto" w:sz="4" w:space="0"/>
              <w:left w:val="single" w:color="auto" w:sz="4" w:space="0"/>
              <w:right w:val="single" w:color="auto" w:sz="4" w:space="0"/>
            </w:tcBorders>
            <w:shd w:val="clear" w:color="auto" w:fill="auto"/>
            <w:vAlign w:val="center"/>
          </w:tcPr>
          <w:p w14:paraId="7D00912C">
            <w:pPr>
              <w:spacing w:line="240" w:lineRule="auto"/>
              <w:jc w:val="center"/>
              <w:rPr>
                <w:rFonts w:ascii="宋体" w:hAnsi="宋体" w:cs="宋体"/>
                <w:color w:val="000000"/>
              </w:rPr>
            </w:pPr>
            <w:r>
              <w:rPr>
                <w:rFonts w:hint="eastAsia" w:ascii="宋体" w:hAnsi="宋体" w:cs="宋体"/>
                <w:color w:val="000000"/>
              </w:rPr>
              <w:t>APP</w:t>
            </w:r>
          </w:p>
        </w:tc>
        <w:tc>
          <w:tcPr>
            <w:tcW w:w="966" w:type="pct"/>
            <w:tcBorders>
              <w:top w:val="single" w:color="auto" w:sz="4" w:space="0"/>
              <w:left w:val="single" w:color="auto" w:sz="4" w:space="0"/>
              <w:bottom w:val="single" w:color="auto" w:sz="4" w:space="0"/>
              <w:right w:val="single" w:color="auto" w:sz="4" w:space="0"/>
            </w:tcBorders>
            <w:shd w:val="clear" w:color="auto" w:fill="auto"/>
            <w:vAlign w:val="center"/>
          </w:tcPr>
          <w:p w14:paraId="43F7EF06">
            <w:pPr>
              <w:spacing w:line="240" w:lineRule="auto"/>
              <w:jc w:val="center"/>
              <w:rPr>
                <w:rFonts w:ascii="宋体" w:hAnsi="宋体" w:cs="宋体"/>
                <w:color w:val="000000"/>
              </w:rPr>
            </w:pPr>
            <w:r>
              <w:rPr>
                <w:rFonts w:hint="eastAsia" w:ascii="宋体" w:hAnsi="宋体" w:cs="宋体"/>
                <w:color w:val="000000"/>
              </w:rPr>
              <w:t>评估信息</w:t>
            </w:r>
          </w:p>
        </w:tc>
        <w:tc>
          <w:tcPr>
            <w:tcW w:w="3134" w:type="pct"/>
            <w:tcBorders>
              <w:top w:val="single" w:color="auto" w:sz="4" w:space="0"/>
              <w:left w:val="single" w:color="auto" w:sz="4" w:space="0"/>
              <w:bottom w:val="single" w:color="auto" w:sz="4" w:space="0"/>
              <w:right w:val="single" w:color="auto" w:sz="4" w:space="0"/>
            </w:tcBorders>
            <w:shd w:val="clear" w:color="auto" w:fill="auto"/>
            <w:vAlign w:val="center"/>
          </w:tcPr>
          <w:p w14:paraId="393C2903">
            <w:pPr>
              <w:spacing w:line="240" w:lineRule="auto"/>
              <w:jc w:val="left"/>
              <w:rPr>
                <w:rFonts w:ascii="宋体" w:hAnsi="宋体" w:cs="宋体"/>
              </w:rPr>
            </w:pPr>
            <w:r>
              <w:rPr>
                <w:rFonts w:hint="eastAsia" w:ascii="宋体" w:hAnsi="宋体" w:cs="宋体"/>
              </w:rPr>
              <w:t>用户在手机端进行评估，查看评估记录和历史数据</w:t>
            </w:r>
          </w:p>
        </w:tc>
      </w:tr>
      <w:tr w14:paraId="09BBC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pct"/>
            <w:vMerge w:val="continue"/>
            <w:tcBorders>
              <w:left w:val="single" w:color="auto" w:sz="4" w:space="0"/>
              <w:bottom w:val="single" w:color="auto" w:sz="4" w:space="0"/>
              <w:right w:val="single" w:color="auto" w:sz="4" w:space="0"/>
            </w:tcBorders>
            <w:shd w:val="clear" w:color="auto" w:fill="auto"/>
            <w:vAlign w:val="center"/>
          </w:tcPr>
          <w:p w14:paraId="3991F089">
            <w:pPr>
              <w:spacing w:line="240" w:lineRule="auto"/>
              <w:jc w:val="center"/>
              <w:rPr>
                <w:rFonts w:ascii="宋体" w:hAnsi="宋体" w:cs="宋体"/>
                <w:color w:val="000000"/>
              </w:rPr>
            </w:pPr>
          </w:p>
        </w:tc>
        <w:tc>
          <w:tcPr>
            <w:tcW w:w="966" w:type="pct"/>
            <w:tcBorders>
              <w:top w:val="single" w:color="auto" w:sz="4" w:space="0"/>
              <w:left w:val="single" w:color="auto" w:sz="4" w:space="0"/>
              <w:bottom w:val="single" w:color="auto" w:sz="4" w:space="0"/>
              <w:right w:val="single" w:color="auto" w:sz="4" w:space="0"/>
            </w:tcBorders>
            <w:shd w:val="clear" w:color="auto" w:fill="auto"/>
            <w:vAlign w:val="center"/>
          </w:tcPr>
          <w:p w14:paraId="06A47AEB">
            <w:pPr>
              <w:spacing w:line="240" w:lineRule="auto"/>
              <w:jc w:val="center"/>
              <w:rPr>
                <w:rFonts w:ascii="宋体" w:hAnsi="宋体" w:cs="宋体"/>
                <w:color w:val="000000"/>
              </w:rPr>
            </w:pPr>
            <w:r>
              <w:rPr>
                <w:rFonts w:hint="eastAsia" w:ascii="宋体" w:hAnsi="宋体" w:cs="宋体"/>
                <w:color w:val="000000"/>
              </w:rPr>
              <w:t>评估报告</w:t>
            </w:r>
          </w:p>
        </w:tc>
        <w:tc>
          <w:tcPr>
            <w:tcW w:w="3134" w:type="pct"/>
            <w:tcBorders>
              <w:top w:val="single" w:color="auto" w:sz="4" w:space="0"/>
              <w:left w:val="single" w:color="auto" w:sz="4" w:space="0"/>
              <w:bottom w:val="single" w:color="auto" w:sz="4" w:space="0"/>
              <w:right w:val="single" w:color="auto" w:sz="4" w:space="0"/>
            </w:tcBorders>
            <w:shd w:val="clear" w:color="auto" w:fill="auto"/>
            <w:vAlign w:val="center"/>
          </w:tcPr>
          <w:p w14:paraId="1237494D">
            <w:pPr>
              <w:spacing w:line="240" w:lineRule="auto"/>
              <w:jc w:val="left"/>
              <w:rPr>
                <w:rFonts w:ascii="宋体" w:hAnsi="宋体" w:cs="宋体"/>
              </w:rPr>
            </w:pPr>
            <w:r>
              <w:rPr>
                <w:rFonts w:hint="eastAsia" w:ascii="宋体" w:hAnsi="宋体" w:cs="宋体"/>
              </w:rPr>
              <w:t>手机端查看自己的评估报告</w:t>
            </w:r>
          </w:p>
        </w:tc>
      </w:tr>
      <w:tr w14:paraId="75DC1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pct"/>
            <w:tcBorders>
              <w:top w:val="single" w:color="auto" w:sz="4" w:space="0"/>
              <w:left w:val="single" w:color="auto" w:sz="4" w:space="0"/>
              <w:bottom w:val="single" w:color="auto" w:sz="4" w:space="0"/>
              <w:right w:val="single" w:color="auto" w:sz="4" w:space="0"/>
            </w:tcBorders>
            <w:shd w:val="clear" w:color="auto" w:fill="auto"/>
            <w:vAlign w:val="center"/>
          </w:tcPr>
          <w:p w14:paraId="7B001595">
            <w:pPr>
              <w:spacing w:line="240" w:lineRule="auto"/>
              <w:jc w:val="center"/>
              <w:rPr>
                <w:rFonts w:ascii="宋体" w:hAnsi="宋体" w:cs="宋体"/>
                <w:color w:val="000000"/>
              </w:rPr>
            </w:pPr>
            <w:r>
              <w:rPr>
                <w:rFonts w:hint="eastAsia" w:ascii="宋体" w:hAnsi="宋体" w:cs="宋体"/>
                <w:color w:val="000000"/>
              </w:rPr>
              <w:t>扫码评估</w:t>
            </w:r>
          </w:p>
        </w:tc>
        <w:tc>
          <w:tcPr>
            <w:tcW w:w="966" w:type="pct"/>
            <w:tcBorders>
              <w:top w:val="single" w:color="auto" w:sz="4" w:space="0"/>
              <w:left w:val="single" w:color="auto" w:sz="4" w:space="0"/>
              <w:bottom w:val="single" w:color="auto" w:sz="4" w:space="0"/>
              <w:right w:val="single" w:color="auto" w:sz="4" w:space="0"/>
            </w:tcBorders>
            <w:shd w:val="clear" w:color="auto" w:fill="auto"/>
            <w:vAlign w:val="center"/>
          </w:tcPr>
          <w:p w14:paraId="08849E5A">
            <w:pPr>
              <w:spacing w:line="240" w:lineRule="auto"/>
              <w:jc w:val="center"/>
              <w:rPr>
                <w:rFonts w:ascii="宋体" w:hAnsi="宋体" w:cs="宋体"/>
                <w:color w:val="000000"/>
              </w:rPr>
            </w:pPr>
            <w:r>
              <w:rPr>
                <w:rFonts w:hint="eastAsia" w:ascii="宋体" w:hAnsi="宋体" w:cs="宋体"/>
                <w:color w:val="000000"/>
              </w:rPr>
              <w:t>患者扫码评估</w:t>
            </w:r>
          </w:p>
        </w:tc>
        <w:tc>
          <w:tcPr>
            <w:tcW w:w="3134" w:type="pct"/>
            <w:tcBorders>
              <w:top w:val="single" w:color="auto" w:sz="4" w:space="0"/>
              <w:left w:val="single" w:color="auto" w:sz="4" w:space="0"/>
              <w:bottom w:val="single" w:color="auto" w:sz="4" w:space="0"/>
              <w:right w:val="single" w:color="auto" w:sz="4" w:space="0"/>
            </w:tcBorders>
            <w:shd w:val="clear" w:color="auto" w:fill="auto"/>
            <w:vAlign w:val="center"/>
          </w:tcPr>
          <w:p w14:paraId="42172469">
            <w:pPr>
              <w:spacing w:line="240" w:lineRule="auto"/>
              <w:jc w:val="left"/>
              <w:rPr>
                <w:rFonts w:ascii="宋体" w:hAnsi="宋体" w:cs="宋体"/>
              </w:rPr>
            </w:pPr>
            <w:r>
              <w:rPr>
                <w:rFonts w:hint="eastAsia" w:ascii="宋体" w:hAnsi="宋体" w:cs="宋体"/>
              </w:rPr>
              <w:t>患者可通过微信等扫描用户分享的二维码完成评估</w:t>
            </w:r>
          </w:p>
        </w:tc>
      </w:tr>
    </w:tbl>
    <w:p w14:paraId="7171F004">
      <w:pPr>
        <w:pStyle w:val="3"/>
        <w:bidi w:val="0"/>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4"/>
          <w:szCs w:val="24"/>
        </w:rPr>
        <w:br w:type="page"/>
      </w:r>
      <w:r>
        <w:rPr>
          <w:rFonts w:hint="eastAsia" w:asciiTheme="majorEastAsia" w:hAnsiTheme="majorEastAsia" w:eastAsiaTheme="majorEastAsia" w:cstheme="majorEastAsia"/>
          <w:sz w:val="28"/>
          <w:szCs w:val="28"/>
          <w:lang w:val="en-US" w:eastAsia="zh-CN"/>
        </w:rPr>
        <w:t>3、临床教学管理系统功能参数</w:t>
      </w:r>
    </w:p>
    <w:p w14:paraId="5E20382B">
      <w:pPr>
        <w:bidi w:val="0"/>
        <w:rPr>
          <w:b/>
          <w:bCs/>
          <w:sz w:val="28"/>
          <w:szCs w:val="28"/>
        </w:rPr>
      </w:pPr>
      <w:r>
        <w:rPr>
          <w:rFonts w:hint="eastAsia"/>
          <w:b/>
          <w:bCs/>
          <w:sz w:val="28"/>
          <w:szCs w:val="28"/>
        </w:rPr>
        <w:t>WEB端（管理后台）</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7"/>
        <w:gridCol w:w="6429"/>
      </w:tblGrid>
      <w:tr w14:paraId="5EDF4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8" w:type="pct"/>
            <w:shd w:val="clear" w:color="000000" w:fill="D9D9D9"/>
            <w:vAlign w:val="center"/>
          </w:tcPr>
          <w:p w14:paraId="5DAE75BF">
            <w:pPr>
              <w:widowControl/>
              <w:jc w:val="center"/>
              <w:rPr>
                <w:rFonts w:ascii="宋体" w:hAnsi="宋体" w:cs="宋体"/>
                <w:b/>
                <w:bCs/>
                <w:kern w:val="0"/>
              </w:rPr>
            </w:pPr>
            <w:r>
              <w:rPr>
                <w:rFonts w:hint="eastAsia" w:ascii="宋体" w:hAnsi="宋体" w:cs="宋体"/>
                <w:b/>
                <w:bCs/>
                <w:kern w:val="0"/>
              </w:rPr>
              <w:t>功能模块</w:t>
            </w:r>
          </w:p>
        </w:tc>
        <w:tc>
          <w:tcPr>
            <w:tcW w:w="749" w:type="pct"/>
            <w:shd w:val="clear" w:color="000000" w:fill="D9D9D9"/>
            <w:vAlign w:val="center"/>
          </w:tcPr>
          <w:p w14:paraId="68E3D9CE">
            <w:pPr>
              <w:widowControl/>
              <w:jc w:val="center"/>
              <w:rPr>
                <w:rFonts w:ascii="宋体" w:hAnsi="宋体" w:cs="宋体"/>
                <w:b/>
                <w:bCs/>
                <w:kern w:val="0"/>
              </w:rPr>
            </w:pPr>
            <w:r>
              <w:rPr>
                <w:rFonts w:hint="eastAsia" w:ascii="宋体" w:hAnsi="宋体" w:cs="宋体"/>
                <w:b/>
                <w:bCs/>
                <w:kern w:val="0"/>
              </w:rPr>
              <w:t>功能点</w:t>
            </w:r>
          </w:p>
        </w:tc>
        <w:tc>
          <w:tcPr>
            <w:tcW w:w="3772" w:type="pct"/>
            <w:shd w:val="clear" w:color="000000" w:fill="D9D9D9"/>
            <w:vAlign w:val="center"/>
          </w:tcPr>
          <w:p w14:paraId="74740C72">
            <w:pPr>
              <w:widowControl/>
              <w:jc w:val="center"/>
              <w:rPr>
                <w:rFonts w:ascii="宋体" w:hAnsi="宋体" w:cs="宋体"/>
                <w:b/>
                <w:bCs/>
                <w:kern w:val="0"/>
              </w:rPr>
            </w:pPr>
            <w:r>
              <w:rPr>
                <w:rFonts w:hint="eastAsia" w:ascii="宋体" w:hAnsi="宋体" w:cs="宋体"/>
                <w:b/>
                <w:bCs/>
                <w:kern w:val="0"/>
              </w:rPr>
              <w:t>功能描述</w:t>
            </w:r>
          </w:p>
        </w:tc>
      </w:tr>
      <w:tr w14:paraId="17BDF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8" w:type="pct"/>
            <w:vMerge w:val="restart"/>
            <w:vAlign w:val="center"/>
          </w:tcPr>
          <w:p w14:paraId="16E0EDD1">
            <w:pPr>
              <w:widowControl/>
              <w:jc w:val="center"/>
              <w:rPr>
                <w:rFonts w:ascii="宋体" w:hAnsi="宋体" w:cs="宋体"/>
                <w:kern w:val="0"/>
              </w:rPr>
            </w:pPr>
            <w:r>
              <w:rPr>
                <w:rFonts w:hint="eastAsia" w:ascii="宋体" w:hAnsi="宋体" w:cs="宋体"/>
                <w:kern w:val="0"/>
              </w:rPr>
              <w:t>系统设置</w:t>
            </w:r>
          </w:p>
        </w:tc>
        <w:tc>
          <w:tcPr>
            <w:tcW w:w="749" w:type="pct"/>
            <w:vMerge w:val="restart"/>
            <w:vAlign w:val="center"/>
          </w:tcPr>
          <w:p w14:paraId="1002B904">
            <w:pPr>
              <w:widowControl/>
              <w:jc w:val="left"/>
              <w:rPr>
                <w:rFonts w:ascii="宋体" w:hAnsi="宋体" w:cs="宋体"/>
                <w:kern w:val="0"/>
              </w:rPr>
            </w:pPr>
            <w:r>
              <w:rPr>
                <w:rFonts w:hint="eastAsia" w:ascii="宋体" w:hAnsi="宋体" w:cs="宋体"/>
                <w:kern w:val="0"/>
              </w:rPr>
              <w:t>组织架构管理</w:t>
            </w:r>
          </w:p>
        </w:tc>
        <w:tc>
          <w:tcPr>
            <w:tcW w:w="3772" w:type="pct"/>
            <w:vAlign w:val="center"/>
          </w:tcPr>
          <w:p w14:paraId="75303081">
            <w:pPr>
              <w:widowControl/>
              <w:snapToGrid w:val="0"/>
              <w:rPr>
                <w:rFonts w:ascii="宋体" w:hAnsi="宋体" w:cs="宋体"/>
                <w:kern w:val="0"/>
              </w:rPr>
            </w:pPr>
            <w:r>
              <w:rPr>
                <w:rFonts w:hint="eastAsia" w:ascii="宋体" w:hAnsi="宋体" w:cs="宋体"/>
                <w:kern w:val="0"/>
              </w:rPr>
              <w:t>支持医院自行设置和管理整体组织架构，可配置核心系统参数，自定义设置专业基地、科室等，支持自定义设置师资资历、院内职称、学生来源等数据字典，支持设置专培专业、分院区、教研室。</w:t>
            </w:r>
          </w:p>
        </w:tc>
      </w:tr>
      <w:tr w14:paraId="1F55C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8" w:type="pct"/>
            <w:vMerge w:val="continue"/>
            <w:vAlign w:val="center"/>
          </w:tcPr>
          <w:p w14:paraId="2430E79C">
            <w:pPr>
              <w:widowControl/>
              <w:jc w:val="center"/>
              <w:rPr>
                <w:rFonts w:ascii="宋体" w:hAnsi="宋体" w:cs="宋体"/>
                <w:kern w:val="0"/>
              </w:rPr>
            </w:pPr>
          </w:p>
        </w:tc>
        <w:tc>
          <w:tcPr>
            <w:tcW w:w="749" w:type="pct"/>
            <w:vMerge w:val="continue"/>
            <w:vAlign w:val="center"/>
          </w:tcPr>
          <w:p w14:paraId="37FD2E4E">
            <w:pPr>
              <w:widowControl/>
              <w:jc w:val="left"/>
              <w:rPr>
                <w:rFonts w:ascii="宋体" w:hAnsi="宋体" w:cs="宋体"/>
                <w:kern w:val="0"/>
              </w:rPr>
            </w:pPr>
          </w:p>
        </w:tc>
        <w:tc>
          <w:tcPr>
            <w:tcW w:w="3772" w:type="pct"/>
            <w:vAlign w:val="center"/>
          </w:tcPr>
          <w:p w14:paraId="617F3D21">
            <w:pPr>
              <w:widowControl/>
              <w:snapToGrid w:val="0"/>
              <w:rPr>
                <w:rFonts w:ascii="宋体" w:hAnsi="宋体" w:cs="宋体"/>
                <w:kern w:val="0"/>
              </w:rPr>
            </w:pPr>
            <w:r>
              <w:rPr>
                <w:rFonts w:hint="eastAsia" w:ascii="宋体" w:hAnsi="宋体" w:cs="宋体"/>
                <w:kern w:val="0"/>
              </w:rPr>
              <w:t>科室管理支持树形多层级结构分布，科室树结构至少支持到5层。可将科室分成多个带教组，可设置轮转容量，发布科室介绍，允许一个科室秘书管理多个不同科室。支持为管理人员配置不同的分管科室，方便管理不同的科室及人员。</w:t>
            </w:r>
          </w:p>
        </w:tc>
      </w:tr>
      <w:tr w14:paraId="56439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8" w:type="pct"/>
            <w:vMerge w:val="continue"/>
            <w:vAlign w:val="center"/>
          </w:tcPr>
          <w:p w14:paraId="3B7B5B1A">
            <w:pPr>
              <w:widowControl/>
              <w:jc w:val="center"/>
              <w:rPr>
                <w:rFonts w:ascii="宋体" w:hAnsi="宋体" w:cs="宋体"/>
                <w:kern w:val="0"/>
              </w:rPr>
            </w:pPr>
          </w:p>
        </w:tc>
        <w:tc>
          <w:tcPr>
            <w:tcW w:w="749" w:type="pct"/>
            <w:vMerge w:val="continue"/>
            <w:vAlign w:val="center"/>
          </w:tcPr>
          <w:p w14:paraId="11EA2498">
            <w:pPr>
              <w:widowControl/>
              <w:jc w:val="left"/>
              <w:rPr>
                <w:rFonts w:ascii="宋体" w:hAnsi="宋体" w:cs="宋体"/>
                <w:kern w:val="0"/>
              </w:rPr>
            </w:pPr>
          </w:p>
        </w:tc>
        <w:tc>
          <w:tcPr>
            <w:tcW w:w="3772" w:type="pct"/>
            <w:vAlign w:val="center"/>
          </w:tcPr>
          <w:p w14:paraId="462EE200">
            <w:pPr>
              <w:widowControl/>
              <w:snapToGrid w:val="0"/>
              <w:rPr>
                <w:rFonts w:ascii="宋体" w:hAnsi="宋体" w:cs="宋体"/>
                <w:kern w:val="0"/>
              </w:rPr>
            </w:pPr>
            <w:r>
              <w:rPr>
                <w:rFonts w:hint="eastAsia" w:ascii="宋体" w:hAnsi="宋体" w:cs="宋体"/>
                <w:kern w:val="0"/>
              </w:rPr>
              <w:t>支持基地和科室群组管理，可单独为基地、科室、督导建立不同群组，可将多个专业基地设为一个基地组，配置教学小组，将多个科室设置为一个科室组，配置带教小组。</w:t>
            </w:r>
          </w:p>
        </w:tc>
      </w:tr>
      <w:tr w14:paraId="22879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8" w:type="pct"/>
            <w:vMerge w:val="continue"/>
            <w:vAlign w:val="center"/>
          </w:tcPr>
          <w:p w14:paraId="4C1D8BAE">
            <w:pPr>
              <w:widowControl/>
              <w:jc w:val="center"/>
              <w:rPr>
                <w:rFonts w:ascii="宋体" w:hAnsi="宋体" w:cs="宋体"/>
                <w:kern w:val="0"/>
              </w:rPr>
            </w:pPr>
          </w:p>
        </w:tc>
        <w:tc>
          <w:tcPr>
            <w:tcW w:w="749" w:type="pct"/>
            <w:vMerge w:val="continue"/>
            <w:vAlign w:val="center"/>
          </w:tcPr>
          <w:p w14:paraId="04C8A231">
            <w:pPr>
              <w:widowControl/>
              <w:jc w:val="left"/>
              <w:rPr>
                <w:rFonts w:ascii="宋体" w:hAnsi="宋体" w:cs="宋体"/>
                <w:kern w:val="0"/>
              </w:rPr>
            </w:pPr>
          </w:p>
        </w:tc>
        <w:tc>
          <w:tcPr>
            <w:tcW w:w="3772" w:type="pct"/>
            <w:vAlign w:val="center"/>
          </w:tcPr>
          <w:p w14:paraId="45D6BD22">
            <w:pPr>
              <w:widowControl/>
              <w:snapToGrid w:val="0"/>
              <w:rPr>
                <w:rFonts w:ascii="宋体" w:hAnsi="宋体" w:cs="宋体"/>
                <w:kern w:val="0"/>
              </w:rPr>
            </w:pPr>
            <w:r>
              <w:rPr>
                <w:rFonts w:hint="eastAsia" w:ascii="宋体" w:hAnsi="宋体" w:cs="宋体"/>
                <w:kern w:val="0"/>
              </w:rPr>
              <w:t>支持配置督导群组，可将多个专家设为一个督导组，方便督导活动的开展。</w:t>
            </w:r>
          </w:p>
        </w:tc>
      </w:tr>
      <w:tr w14:paraId="3EB3C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8" w:type="pct"/>
            <w:vMerge w:val="continue"/>
            <w:vAlign w:val="center"/>
          </w:tcPr>
          <w:p w14:paraId="42FD65A0">
            <w:pPr>
              <w:widowControl/>
              <w:jc w:val="center"/>
              <w:rPr>
                <w:rFonts w:ascii="宋体" w:hAnsi="宋体" w:cs="宋体"/>
                <w:kern w:val="0"/>
              </w:rPr>
            </w:pPr>
          </w:p>
        </w:tc>
        <w:tc>
          <w:tcPr>
            <w:tcW w:w="749" w:type="pct"/>
            <w:vMerge w:val="continue"/>
            <w:vAlign w:val="center"/>
          </w:tcPr>
          <w:p w14:paraId="1A1E917E">
            <w:pPr>
              <w:widowControl/>
              <w:jc w:val="left"/>
              <w:rPr>
                <w:rFonts w:ascii="宋体" w:hAnsi="宋体" w:cs="宋体"/>
                <w:kern w:val="0"/>
              </w:rPr>
            </w:pPr>
          </w:p>
        </w:tc>
        <w:tc>
          <w:tcPr>
            <w:tcW w:w="3772" w:type="pct"/>
            <w:vAlign w:val="center"/>
          </w:tcPr>
          <w:p w14:paraId="6FE6F589">
            <w:pPr>
              <w:widowControl/>
              <w:snapToGrid w:val="0"/>
              <w:rPr>
                <w:rFonts w:ascii="宋体" w:hAnsi="宋体" w:cs="宋体"/>
                <w:kern w:val="0"/>
              </w:rPr>
            </w:pPr>
            <w:r>
              <w:rPr>
                <w:rFonts w:hint="eastAsia" w:ascii="宋体" w:hAnsi="宋体" w:cs="宋体"/>
                <w:kern w:val="0"/>
              </w:rPr>
              <w:t>支持在系统中配置多种学员类别，支持将住培生、实习生、进修生、专硕等多种学员类别融合在一套系统中进行统一管理。支持为管理人员配置不同的责任管理学员类别，方便科教管理部门不同人员分开管理各类学员。</w:t>
            </w:r>
          </w:p>
        </w:tc>
      </w:tr>
      <w:tr w14:paraId="05162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8" w:type="pct"/>
            <w:vMerge w:val="continue"/>
            <w:vAlign w:val="center"/>
          </w:tcPr>
          <w:p w14:paraId="6B7EC2F6">
            <w:pPr>
              <w:widowControl/>
              <w:jc w:val="center"/>
              <w:rPr>
                <w:rFonts w:ascii="宋体" w:hAnsi="宋体" w:cs="宋体"/>
                <w:kern w:val="0"/>
              </w:rPr>
            </w:pPr>
          </w:p>
        </w:tc>
        <w:tc>
          <w:tcPr>
            <w:tcW w:w="749" w:type="pct"/>
            <w:vMerge w:val="continue"/>
            <w:vAlign w:val="center"/>
          </w:tcPr>
          <w:p w14:paraId="158282FE">
            <w:pPr>
              <w:widowControl/>
              <w:jc w:val="left"/>
              <w:rPr>
                <w:rFonts w:ascii="宋体" w:hAnsi="宋体" w:cs="宋体"/>
                <w:kern w:val="0"/>
              </w:rPr>
            </w:pPr>
          </w:p>
        </w:tc>
        <w:tc>
          <w:tcPr>
            <w:tcW w:w="3772" w:type="pct"/>
            <w:vAlign w:val="center"/>
          </w:tcPr>
          <w:p w14:paraId="29268DA5">
            <w:pPr>
              <w:widowControl/>
              <w:snapToGrid w:val="0"/>
              <w:rPr>
                <w:rFonts w:ascii="宋体" w:hAnsi="宋体" w:cs="宋体"/>
                <w:kern w:val="0"/>
              </w:rPr>
            </w:pPr>
            <w:r>
              <w:rPr>
                <w:rFonts w:hint="eastAsia" w:ascii="宋体" w:hAnsi="宋体" w:cs="宋体"/>
                <w:kern w:val="0"/>
              </w:rPr>
              <w:t>支持开设小班，可创建小班班级，将学员归纳进入小班化管理，并支持配置小班班主任、班长。</w:t>
            </w:r>
          </w:p>
        </w:tc>
      </w:tr>
      <w:tr w14:paraId="51558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8" w:type="pct"/>
            <w:vMerge w:val="continue"/>
            <w:vAlign w:val="center"/>
          </w:tcPr>
          <w:p w14:paraId="7F07D187">
            <w:pPr>
              <w:widowControl/>
              <w:jc w:val="center"/>
              <w:rPr>
                <w:rFonts w:ascii="宋体" w:hAnsi="宋体" w:cs="宋体"/>
                <w:kern w:val="0"/>
              </w:rPr>
            </w:pPr>
          </w:p>
        </w:tc>
        <w:tc>
          <w:tcPr>
            <w:tcW w:w="749" w:type="pct"/>
            <w:vMerge w:val="restart"/>
            <w:vAlign w:val="center"/>
          </w:tcPr>
          <w:p w14:paraId="0D4FD4BD">
            <w:pPr>
              <w:widowControl/>
              <w:jc w:val="left"/>
              <w:rPr>
                <w:rFonts w:ascii="宋体" w:hAnsi="宋体" w:cs="宋体"/>
                <w:kern w:val="0"/>
              </w:rPr>
            </w:pPr>
            <w:r>
              <w:rPr>
                <w:rFonts w:hint="eastAsia" w:ascii="宋体" w:hAnsi="宋体" w:cs="宋体"/>
                <w:kern w:val="0"/>
              </w:rPr>
              <w:t>角色管理</w:t>
            </w:r>
          </w:p>
        </w:tc>
        <w:tc>
          <w:tcPr>
            <w:tcW w:w="3772" w:type="pct"/>
            <w:vAlign w:val="center"/>
          </w:tcPr>
          <w:p w14:paraId="4731FF12">
            <w:pPr>
              <w:widowControl/>
              <w:snapToGrid w:val="0"/>
              <w:rPr>
                <w:rFonts w:ascii="宋体" w:hAnsi="宋体" w:cs="宋体"/>
                <w:kern w:val="0"/>
              </w:rPr>
            </w:pPr>
            <w:r>
              <w:rPr>
                <w:rFonts w:hint="eastAsia" w:ascii="宋体" w:hAnsi="宋体" w:cs="宋体"/>
                <w:kern w:val="0"/>
              </w:rPr>
              <w:t>支持创建自定义角色，可设置和管理不同角色的权限和功能。至少支持设置住培管理员、科教干事、科室主任、教学主任、科室秘书、带教老师等管理角色，支持设置不同的学员角色，支持设置是否是责任导师。</w:t>
            </w:r>
          </w:p>
        </w:tc>
      </w:tr>
      <w:tr w14:paraId="644CB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8" w:type="pct"/>
            <w:vMerge w:val="continue"/>
            <w:vAlign w:val="center"/>
          </w:tcPr>
          <w:p w14:paraId="24499029">
            <w:pPr>
              <w:widowControl/>
              <w:jc w:val="center"/>
              <w:rPr>
                <w:rFonts w:ascii="宋体" w:hAnsi="宋体" w:cs="宋体"/>
                <w:kern w:val="0"/>
              </w:rPr>
            </w:pPr>
          </w:p>
        </w:tc>
        <w:tc>
          <w:tcPr>
            <w:tcW w:w="749" w:type="pct"/>
            <w:vMerge w:val="continue"/>
            <w:vAlign w:val="center"/>
          </w:tcPr>
          <w:p w14:paraId="68D1F0DC">
            <w:pPr>
              <w:widowControl/>
              <w:jc w:val="left"/>
              <w:rPr>
                <w:rFonts w:ascii="宋体" w:hAnsi="宋体" w:cs="宋体"/>
                <w:kern w:val="0"/>
              </w:rPr>
            </w:pPr>
          </w:p>
        </w:tc>
        <w:tc>
          <w:tcPr>
            <w:tcW w:w="3772" w:type="pct"/>
            <w:vAlign w:val="center"/>
          </w:tcPr>
          <w:p w14:paraId="4D8A8524">
            <w:pPr>
              <w:widowControl/>
              <w:snapToGrid w:val="0"/>
              <w:rPr>
                <w:rFonts w:ascii="宋体" w:hAnsi="宋体" w:cs="宋体"/>
                <w:kern w:val="0"/>
              </w:rPr>
            </w:pPr>
            <w:r>
              <w:rPr>
                <w:rFonts w:hint="eastAsia" w:ascii="宋体" w:hAnsi="宋体" w:cs="宋体"/>
                <w:kern w:val="0"/>
              </w:rPr>
              <w:t>支持按自定义角色配置手机端显示的功能，支持按自定义角色配置电脑管理端显示的菜单。</w:t>
            </w:r>
          </w:p>
        </w:tc>
      </w:tr>
      <w:tr w14:paraId="1CE3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8" w:type="pct"/>
            <w:vMerge w:val="continue"/>
            <w:vAlign w:val="center"/>
          </w:tcPr>
          <w:p w14:paraId="7A2805DB">
            <w:pPr>
              <w:widowControl/>
              <w:jc w:val="center"/>
              <w:rPr>
                <w:rFonts w:ascii="宋体" w:hAnsi="宋体" w:cs="宋体"/>
                <w:kern w:val="0"/>
              </w:rPr>
            </w:pPr>
          </w:p>
        </w:tc>
        <w:tc>
          <w:tcPr>
            <w:tcW w:w="749" w:type="pct"/>
            <w:vMerge w:val="restart"/>
            <w:vAlign w:val="center"/>
          </w:tcPr>
          <w:p w14:paraId="738B9D81">
            <w:pPr>
              <w:widowControl/>
              <w:jc w:val="left"/>
              <w:rPr>
                <w:rFonts w:ascii="宋体" w:hAnsi="宋体" w:cs="宋体"/>
                <w:kern w:val="0"/>
              </w:rPr>
            </w:pPr>
            <w:r>
              <w:rPr>
                <w:rFonts w:hint="eastAsia" w:ascii="宋体" w:hAnsi="宋体" w:cs="宋体"/>
                <w:kern w:val="0"/>
              </w:rPr>
              <w:t>用户管理</w:t>
            </w:r>
          </w:p>
        </w:tc>
        <w:tc>
          <w:tcPr>
            <w:tcW w:w="3772" w:type="pct"/>
            <w:vAlign w:val="center"/>
          </w:tcPr>
          <w:p w14:paraId="5E62DC64">
            <w:pPr>
              <w:widowControl/>
              <w:snapToGrid w:val="0"/>
              <w:rPr>
                <w:rFonts w:ascii="宋体" w:hAnsi="宋体" w:cs="宋体"/>
                <w:kern w:val="0"/>
              </w:rPr>
            </w:pPr>
            <w:r>
              <w:rPr>
                <w:rFonts w:hint="eastAsia" w:ascii="宋体" w:hAnsi="宋体" w:cs="宋体"/>
                <w:kern w:val="0"/>
              </w:rPr>
              <w:t>具备独立的用户管理功能，可以住培管理员权限单独设置学员的执业状态、是否可以带教学生，是否具备导师资格。可对所有用户进行导入、编辑、停用。</w:t>
            </w:r>
          </w:p>
        </w:tc>
      </w:tr>
      <w:tr w14:paraId="7A4A2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8" w:type="pct"/>
            <w:vMerge w:val="continue"/>
            <w:vAlign w:val="center"/>
          </w:tcPr>
          <w:p w14:paraId="58532B8E">
            <w:pPr>
              <w:widowControl/>
              <w:jc w:val="center"/>
              <w:rPr>
                <w:rFonts w:ascii="宋体" w:hAnsi="宋体" w:cs="宋体"/>
                <w:kern w:val="0"/>
              </w:rPr>
            </w:pPr>
          </w:p>
        </w:tc>
        <w:tc>
          <w:tcPr>
            <w:tcW w:w="749" w:type="pct"/>
            <w:vMerge w:val="continue"/>
            <w:vAlign w:val="center"/>
          </w:tcPr>
          <w:p w14:paraId="4129CB4D">
            <w:pPr>
              <w:widowControl/>
              <w:jc w:val="left"/>
              <w:rPr>
                <w:rFonts w:ascii="宋体" w:hAnsi="宋体" w:cs="宋体"/>
                <w:kern w:val="0"/>
              </w:rPr>
            </w:pPr>
          </w:p>
        </w:tc>
        <w:tc>
          <w:tcPr>
            <w:tcW w:w="3772" w:type="pct"/>
            <w:vAlign w:val="center"/>
          </w:tcPr>
          <w:p w14:paraId="044FEE63">
            <w:pPr>
              <w:widowControl/>
              <w:snapToGrid w:val="0"/>
              <w:rPr>
                <w:rFonts w:ascii="宋体" w:hAnsi="宋体" w:cs="宋体"/>
                <w:kern w:val="0"/>
              </w:rPr>
            </w:pPr>
            <w:r>
              <w:rPr>
                <w:rFonts w:hint="eastAsia" w:ascii="宋体" w:hAnsi="宋体" w:cs="宋体"/>
                <w:kern w:val="0"/>
              </w:rPr>
              <w:t>支持密码重置，可对用户的密码进行初始化。</w:t>
            </w:r>
          </w:p>
        </w:tc>
      </w:tr>
      <w:tr w14:paraId="0D3E9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8" w:type="pct"/>
            <w:vMerge w:val="continue"/>
            <w:vAlign w:val="center"/>
          </w:tcPr>
          <w:p w14:paraId="0CEA8A2F">
            <w:pPr>
              <w:widowControl/>
              <w:jc w:val="center"/>
              <w:rPr>
                <w:rFonts w:ascii="宋体" w:hAnsi="宋体" w:cs="宋体"/>
                <w:kern w:val="0"/>
              </w:rPr>
            </w:pPr>
          </w:p>
        </w:tc>
        <w:tc>
          <w:tcPr>
            <w:tcW w:w="749" w:type="pct"/>
            <w:vMerge w:val="continue"/>
            <w:vAlign w:val="center"/>
          </w:tcPr>
          <w:p w14:paraId="414DEE4C">
            <w:pPr>
              <w:widowControl/>
              <w:jc w:val="left"/>
              <w:rPr>
                <w:rFonts w:ascii="宋体" w:hAnsi="宋体" w:cs="宋体"/>
                <w:kern w:val="0"/>
              </w:rPr>
            </w:pPr>
          </w:p>
        </w:tc>
        <w:tc>
          <w:tcPr>
            <w:tcW w:w="3772" w:type="pct"/>
            <w:vAlign w:val="center"/>
          </w:tcPr>
          <w:p w14:paraId="1183EE69">
            <w:pPr>
              <w:widowControl/>
              <w:snapToGrid w:val="0"/>
              <w:rPr>
                <w:rFonts w:ascii="宋体" w:hAnsi="宋体" w:cs="宋体"/>
                <w:kern w:val="0"/>
              </w:rPr>
            </w:pPr>
            <w:r>
              <w:rPr>
                <w:rFonts w:hint="eastAsia" w:ascii="宋体" w:hAnsi="宋体" w:cs="宋体"/>
                <w:kern w:val="0"/>
              </w:rPr>
              <w:t>支持自定义用户类别，可在系统中创建全新的用户类别，从而在教学管理中加以区分，例如系统中原先没有某一类学员，可自行创建某类人员的用户类别，在教学活动中单独通知该类人员这个自定义类别，包括消息通知、值班、考勤等。</w:t>
            </w:r>
          </w:p>
        </w:tc>
      </w:tr>
      <w:tr w14:paraId="09D02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8" w:type="pct"/>
            <w:vMerge w:val="continue"/>
            <w:vAlign w:val="center"/>
          </w:tcPr>
          <w:p w14:paraId="1D476C0C">
            <w:pPr>
              <w:widowControl/>
              <w:jc w:val="center"/>
              <w:rPr>
                <w:rFonts w:ascii="宋体" w:hAnsi="宋体" w:cs="宋体"/>
                <w:kern w:val="0"/>
              </w:rPr>
            </w:pPr>
          </w:p>
        </w:tc>
        <w:tc>
          <w:tcPr>
            <w:tcW w:w="749" w:type="pct"/>
            <w:vMerge w:val="continue"/>
            <w:vAlign w:val="center"/>
          </w:tcPr>
          <w:p w14:paraId="3086791D">
            <w:pPr>
              <w:widowControl/>
              <w:jc w:val="left"/>
              <w:rPr>
                <w:rFonts w:ascii="宋体" w:hAnsi="宋体" w:cs="宋体"/>
                <w:kern w:val="0"/>
              </w:rPr>
            </w:pPr>
          </w:p>
        </w:tc>
        <w:tc>
          <w:tcPr>
            <w:tcW w:w="3772" w:type="pct"/>
            <w:vAlign w:val="center"/>
          </w:tcPr>
          <w:p w14:paraId="31E88AB2">
            <w:pPr>
              <w:widowControl/>
              <w:snapToGrid w:val="0"/>
              <w:rPr>
                <w:rFonts w:ascii="宋体" w:hAnsi="宋体" w:cs="宋体"/>
                <w:kern w:val="0"/>
              </w:rPr>
            </w:pPr>
            <w:r>
              <w:rPr>
                <w:rFonts w:hint="eastAsia" w:ascii="宋体" w:hAnsi="宋体" w:cs="宋体"/>
                <w:kern w:val="0"/>
              </w:rPr>
              <w:t>除单独给住培管理员的用户管理功能外，还额外提供可下放到科室的独立学员管理、科室教员管理功能，用于科室权限内对人员信息的编辑、导入、停用。</w:t>
            </w:r>
          </w:p>
        </w:tc>
      </w:tr>
      <w:tr w14:paraId="54355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8" w:type="pct"/>
            <w:vMerge w:val="continue"/>
            <w:vAlign w:val="center"/>
          </w:tcPr>
          <w:p w14:paraId="1B9C8406">
            <w:pPr>
              <w:widowControl/>
              <w:jc w:val="center"/>
              <w:rPr>
                <w:rFonts w:ascii="宋体" w:hAnsi="宋体" w:cs="宋体"/>
                <w:kern w:val="0"/>
              </w:rPr>
            </w:pPr>
          </w:p>
        </w:tc>
        <w:tc>
          <w:tcPr>
            <w:tcW w:w="749" w:type="pct"/>
            <w:vAlign w:val="center"/>
          </w:tcPr>
          <w:p w14:paraId="1AC6AFF2">
            <w:pPr>
              <w:widowControl/>
              <w:jc w:val="left"/>
              <w:rPr>
                <w:rFonts w:ascii="宋体" w:hAnsi="宋体" w:cs="宋体"/>
                <w:kern w:val="0"/>
              </w:rPr>
            </w:pPr>
            <w:r>
              <w:rPr>
                <w:rFonts w:hint="eastAsia" w:ascii="宋体" w:hAnsi="宋体" w:cs="宋体"/>
                <w:kern w:val="0"/>
              </w:rPr>
              <w:t>菜单设置</w:t>
            </w:r>
          </w:p>
        </w:tc>
        <w:tc>
          <w:tcPr>
            <w:tcW w:w="3772" w:type="pct"/>
            <w:vAlign w:val="center"/>
          </w:tcPr>
          <w:p w14:paraId="4C6D069D">
            <w:pPr>
              <w:widowControl/>
              <w:snapToGrid w:val="0"/>
              <w:rPr>
                <w:rFonts w:ascii="宋体" w:hAnsi="宋体" w:cs="宋体"/>
                <w:kern w:val="0"/>
                <w:lang w:eastAsia="zh-Hans"/>
              </w:rPr>
            </w:pPr>
            <w:r>
              <w:rPr>
                <w:rFonts w:hint="eastAsia" w:ascii="宋体" w:hAnsi="宋体" w:cs="宋体"/>
                <w:kern w:val="0"/>
              </w:rPr>
              <w:t>自定义菜单名称，编辑各个子菜单的组织关系</w:t>
            </w:r>
          </w:p>
        </w:tc>
      </w:tr>
      <w:tr w14:paraId="0A7E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8" w:type="pct"/>
            <w:vMerge w:val="continue"/>
            <w:vAlign w:val="center"/>
          </w:tcPr>
          <w:p w14:paraId="71CAF52D">
            <w:pPr>
              <w:widowControl/>
              <w:jc w:val="center"/>
              <w:rPr>
                <w:rFonts w:ascii="宋体" w:hAnsi="宋体" w:cs="宋体"/>
                <w:kern w:val="0"/>
              </w:rPr>
            </w:pPr>
          </w:p>
        </w:tc>
        <w:tc>
          <w:tcPr>
            <w:tcW w:w="749" w:type="pct"/>
            <w:vAlign w:val="center"/>
          </w:tcPr>
          <w:p w14:paraId="528369D6">
            <w:pPr>
              <w:widowControl/>
              <w:jc w:val="left"/>
              <w:rPr>
                <w:rFonts w:ascii="宋体" w:hAnsi="宋体" w:cs="宋体"/>
                <w:kern w:val="0"/>
              </w:rPr>
            </w:pPr>
            <w:r>
              <w:rPr>
                <w:rFonts w:hint="eastAsia" w:ascii="宋体" w:hAnsi="宋体" w:cs="宋体"/>
                <w:kern w:val="0"/>
              </w:rPr>
              <w:t>短信登录</w:t>
            </w:r>
          </w:p>
        </w:tc>
        <w:tc>
          <w:tcPr>
            <w:tcW w:w="3772" w:type="pct"/>
            <w:vAlign w:val="center"/>
          </w:tcPr>
          <w:p w14:paraId="0ED2E90E">
            <w:pPr>
              <w:widowControl/>
              <w:snapToGrid w:val="0"/>
              <w:rPr>
                <w:rFonts w:ascii="宋体" w:hAnsi="宋体" w:cs="宋体"/>
                <w:kern w:val="0"/>
              </w:rPr>
            </w:pPr>
            <w:r>
              <w:rPr>
                <w:rFonts w:hint="eastAsia" w:ascii="宋体" w:hAnsi="宋体" w:cs="宋体"/>
                <w:kern w:val="0"/>
              </w:rPr>
              <w:t>可通过获取短信验证码的方式，登录管理端系统，增强短信登录安全性</w:t>
            </w:r>
          </w:p>
        </w:tc>
      </w:tr>
      <w:tr w14:paraId="7CADA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8" w:type="pct"/>
            <w:vMerge w:val="continue"/>
            <w:vAlign w:val="center"/>
          </w:tcPr>
          <w:p w14:paraId="74E8059A">
            <w:pPr>
              <w:widowControl/>
              <w:jc w:val="center"/>
              <w:rPr>
                <w:rFonts w:ascii="宋体" w:hAnsi="宋体" w:cs="宋体"/>
                <w:kern w:val="0"/>
              </w:rPr>
            </w:pPr>
          </w:p>
        </w:tc>
        <w:tc>
          <w:tcPr>
            <w:tcW w:w="749" w:type="pct"/>
            <w:vMerge w:val="restart"/>
            <w:vAlign w:val="center"/>
          </w:tcPr>
          <w:p w14:paraId="30754706">
            <w:pPr>
              <w:widowControl/>
              <w:jc w:val="left"/>
              <w:rPr>
                <w:rFonts w:ascii="宋体" w:hAnsi="宋体" w:cs="宋体"/>
                <w:kern w:val="0"/>
              </w:rPr>
            </w:pPr>
            <w:r>
              <w:rPr>
                <w:rFonts w:hint="eastAsia" w:ascii="宋体" w:hAnsi="宋体" w:cs="宋体"/>
                <w:kern w:val="0"/>
              </w:rPr>
              <w:t>日志记录</w:t>
            </w:r>
          </w:p>
        </w:tc>
        <w:tc>
          <w:tcPr>
            <w:tcW w:w="3772" w:type="pct"/>
            <w:vAlign w:val="center"/>
          </w:tcPr>
          <w:p w14:paraId="4A90F1DE">
            <w:pPr>
              <w:widowControl/>
              <w:snapToGrid w:val="0"/>
              <w:rPr>
                <w:rFonts w:ascii="宋体" w:hAnsi="宋体" w:cs="宋体"/>
                <w:kern w:val="0"/>
              </w:rPr>
            </w:pPr>
            <w:r>
              <w:rPr>
                <w:rFonts w:hint="eastAsia" w:ascii="宋体" w:hAnsi="宋体" w:cs="宋体"/>
                <w:kern w:val="0"/>
              </w:rPr>
              <w:t>登录量月统计图，以柱状图等方式展现管理端各个月份的使用情况</w:t>
            </w:r>
          </w:p>
        </w:tc>
      </w:tr>
      <w:tr w14:paraId="1CEAF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8" w:type="pct"/>
            <w:vMerge w:val="continue"/>
            <w:vAlign w:val="center"/>
          </w:tcPr>
          <w:p w14:paraId="3DFCD1BF">
            <w:pPr>
              <w:widowControl/>
              <w:jc w:val="center"/>
              <w:rPr>
                <w:rFonts w:ascii="宋体" w:hAnsi="宋体" w:cs="宋体"/>
                <w:kern w:val="0"/>
              </w:rPr>
            </w:pPr>
          </w:p>
        </w:tc>
        <w:tc>
          <w:tcPr>
            <w:tcW w:w="749" w:type="pct"/>
            <w:vMerge w:val="continue"/>
            <w:vAlign w:val="center"/>
          </w:tcPr>
          <w:p w14:paraId="7A10F764">
            <w:pPr>
              <w:widowControl/>
              <w:jc w:val="left"/>
              <w:rPr>
                <w:rFonts w:ascii="宋体" w:hAnsi="宋体" w:cs="宋体"/>
                <w:kern w:val="0"/>
              </w:rPr>
            </w:pPr>
          </w:p>
        </w:tc>
        <w:tc>
          <w:tcPr>
            <w:tcW w:w="3772" w:type="pct"/>
            <w:vAlign w:val="center"/>
          </w:tcPr>
          <w:p w14:paraId="0A336359">
            <w:pPr>
              <w:widowControl/>
              <w:snapToGrid w:val="0"/>
              <w:rPr>
                <w:rFonts w:ascii="宋体" w:hAnsi="宋体" w:cs="宋体"/>
                <w:kern w:val="0"/>
              </w:rPr>
            </w:pPr>
            <w:r>
              <w:rPr>
                <w:rFonts w:hint="eastAsia" w:ascii="宋体" w:hAnsi="宋体" w:cs="宋体"/>
                <w:kern w:val="0"/>
              </w:rPr>
              <w:t>系统登录日志，详细记录每个登录用户的登录类型、用户名、登录账号、登录IP地址、是否登录成功等信息</w:t>
            </w:r>
          </w:p>
        </w:tc>
      </w:tr>
      <w:tr w14:paraId="74EB4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8" w:type="pct"/>
            <w:vMerge w:val="continue"/>
            <w:vAlign w:val="center"/>
          </w:tcPr>
          <w:p w14:paraId="08334EAF">
            <w:pPr>
              <w:widowControl/>
              <w:jc w:val="center"/>
              <w:rPr>
                <w:rFonts w:ascii="宋体" w:hAnsi="宋体" w:cs="宋体"/>
                <w:kern w:val="0"/>
              </w:rPr>
            </w:pPr>
          </w:p>
        </w:tc>
        <w:tc>
          <w:tcPr>
            <w:tcW w:w="749" w:type="pct"/>
            <w:vMerge w:val="continue"/>
            <w:vAlign w:val="center"/>
          </w:tcPr>
          <w:p w14:paraId="379CF594">
            <w:pPr>
              <w:widowControl/>
              <w:jc w:val="left"/>
              <w:rPr>
                <w:rFonts w:ascii="宋体" w:hAnsi="宋体" w:cs="宋体"/>
                <w:kern w:val="0"/>
              </w:rPr>
            </w:pPr>
          </w:p>
        </w:tc>
        <w:tc>
          <w:tcPr>
            <w:tcW w:w="3772" w:type="pct"/>
            <w:vAlign w:val="center"/>
          </w:tcPr>
          <w:p w14:paraId="741B7B61">
            <w:pPr>
              <w:widowControl/>
              <w:snapToGrid w:val="0"/>
              <w:rPr>
                <w:rFonts w:ascii="宋体" w:hAnsi="宋体" w:cs="宋体"/>
                <w:kern w:val="0"/>
              </w:rPr>
            </w:pPr>
            <w:r>
              <w:rPr>
                <w:rFonts w:hint="eastAsia" w:ascii="宋体" w:hAnsi="宋体" w:cs="宋体"/>
                <w:kern w:val="0"/>
              </w:rPr>
              <w:t>短信发送日志，记录短信发送的内容、发送时间、接收方用户类型、用户名、电话号码、是否发送成功</w:t>
            </w:r>
          </w:p>
        </w:tc>
      </w:tr>
      <w:tr w14:paraId="2704F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8" w:type="pct"/>
            <w:vMerge w:val="continue"/>
            <w:vAlign w:val="center"/>
          </w:tcPr>
          <w:p w14:paraId="71ECED18">
            <w:pPr>
              <w:widowControl/>
              <w:jc w:val="center"/>
              <w:rPr>
                <w:rFonts w:ascii="宋体" w:hAnsi="宋体" w:cs="宋体"/>
                <w:kern w:val="0"/>
              </w:rPr>
            </w:pPr>
          </w:p>
        </w:tc>
        <w:tc>
          <w:tcPr>
            <w:tcW w:w="749" w:type="pct"/>
            <w:vMerge w:val="continue"/>
            <w:vAlign w:val="center"/>
          </w:tcPr>
          <w:p w14:paraId="332A1054">
            <w:pPr>
              <w:widowControl/>
              <w:jc w:val="left"/>
              <w:rPr>
                <w:rFonts w:ascii="宋体" w:hAnsi="宋体" w:cs="宋体"/>
                <w:kern w:val="0"/>
              </w:rPr>
            </w:pPr>
          </w:p>
        </w:tc>
        <w:tc>
          <w:tcPr>
            <w:tcW w:w="3772" w:type="pct"/>
            <w:vAlign w:val="center"/>
          </w:tcPr>
          <w:p w14:paraId="66102115">
            <w:pPr>
              <w:widowControl/>
              <w:snapToGrid w:val="0"/>
              <w:rPr>
                <w:rFonts w:ascii="宋体" w:hAnsi="宋体" w:cs="宋体"/>
                <w:kern w:val="0"/>
              </w:rPr>
            </w:pPr>
            <w:r>
              <w:rPr>
                <w:rFonts w:hint="eastAsia" w:ascii="宋体" w:hAnsi="宋体" w:cs="宋体"/>
                <w:kern w:val="0"/>
              </w:rPr>
              <w:t>用户操作日志，日志记录用户所有重要的操作内容和时间</w:t>
            </w:r>
          </w:p>
        </w:tc>
      </w:tr>
      <w:tr w14:paraId="78E9D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78" w:type="pct"/>
            <w:vMerge w:val="continue"/>
            <w:vAlign w:val="center"/>
          </w:tcPr>
          <w:p w14:paraId="6BF16AA1">
            <w:pPr>
              <w:widowControl/>
              <w:jc w:val="center"/>
              <w:rPr>
                <w:rFonts w:ascii="宋体" w:hAnsi="宋体" w:cs="宋体"/>
                <w:kern w:val="0"/>
              </w:rPr>
            </w:pPr>
          </w:p>
        </w:tc>
        <w:tc>
          <w:tcPr>
            <w:tcW w:w="749" w:type="pct"/>
            <w:vMerge w:val="restart"/>
            <w:vAlign w:val="center"/>
          </w:tcPr>
          <w:p w14:paraId="7DA6E465">
            <w:pPr>
              <w:widowControl/>
              <w:jc w:val="left"/>
              <w:rPr>
                <w:rFonts w:ascii="宋体" w:hAnsi="宋体" w:cs="宋体"/>
                <w:kern w:val="0"/>
              </w:rPr>
            </w:pPr>
            <w:r>
              <w:rPr>
                <w:rFonts w:hint="eastAsia" w:ascii="宋体" w:hAnsi="宋体" w:cs="宋体"/>
                <w:kern w:val="0"/>
              </w:rPr>
              <w:t>自动批处理</w:t>
            </w:r>
          </w:p>
        </w:tc>
        <w:tc>
          <w:tcPr>
            <w:tcW w:w="3772" w:type="pct"/>
            <w:vAlign w:val="center"/>
          </w:tcPr>
          <w:p w14:paraId="436E7818">
            <w:pPr>
              <w:widowControl/>
              <w:snapToGrid w:val="0"/>
              <w:rPr>
                <w:rFonts w:ascii="宋体" w:hAnsi="宋体" w:cs="宋体"/>
                <w:kern w:val="0"/>
              </w:rPr>
            </w:pPr>
            <w:r>
              <w:rPr>
                <w:rFonts w:hint="eastAsia" w:ascii="宋体" w:hAnsi="宋体" w:cs="宋体"/>
                <w:kern w:val="0"/>
              </w:rPr>
              <w:t>支持自动调度任务执行模块，提供自动更新学员状态、出入科状态等自动批处理业务，能实现到期自动批量将目标学员转为结业状态，每天自动计算学员登记手册完成率等</w:t>
            </w:r>
          </w:p>
        </w:tc>
      </w:tr>
      <w:tr w14:paraId="05F2C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78" w:type="pct"/>
            <w:vMerge w:val="continue"/>
            <w:vAlign w:val="center"/>
          </w:tcPr>
          <w:p w14:paraId="15984D82">
            <w:pPr>
              <w:widowControl/>
              <w:jc w:val="center"/>
              <w:rPr>
                <w:rFonts w:ascii="宋体" w:hAnsi="宋体" w:cs="宋体"/>
                <w:kern w:val="0"/>
              </w:rPr>
            </w:pPr>
          </w:p>
        </w:tc>
        <w:tc>
          <w:tcPr>
            <w:tcW w:w="749" w:type="pct"/>
            <w:vMerge w:val="continue"/>
            <w:vAlign w:val="center"/>
          </w:tcPr>
          <w:p w14:paraId="198AA427">
            <w:pPr>
              <w:widowControl/>
              <w:jc w:val="left"/>
              <w:rPr>
                <w:rFonts w:ascii="宋体" w:hAnsi="宋体" w:cs="宋体"/>
                <w:kern w:val="0"/>
              </w:rPr>
            </w:pPr>
          </w:p>
        </w:tc>
        <w:tc>
          <w:tcPr>
            <w:tcW w:w="3772" w:type="pct"/>
            <w:vAlign w:val="center"/>
          </w:tcPr>
          <w:p w14:paraId="1F17676A">
            <w:pPr>
              <w:widowControl/>
              <w:snapToGrid w:val="0"/>
              <w:rPr>
                <w:rFonts w:ascii="宋体" w:hAnsi="宋体" w:cs="宋体"/>
                <w:kern w:val="0"/>
              </w:rPr>
            </w:pPr>
            <w:r>
              <w:rPr>
                <w:rFonts w:hint="eastAsia" w:ascii="宋体" w:hAnsi="宋体" w:cs="宋体"/>
                <w:kern w:val="0"/>
              </w:rPr>
              <w:t>支持手工自动调度任务执行功能，用于应急处置及临时补救处理，例如学员补勤补签到后手工计算完成率等。</w:t>
            </w:r>
          </w:p>
        </w:tc>
      </w:tr>
      <w:tr w14:paraId="63C35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78" w:type="pct"/>
            <w:vMerge w:val="continue"/>
            <w:vAlign w:val="center"/>
          </w:tcPr>
          <w:p w14:paraId="3608104C">
            <w:pPr>
              <w:widowControl/>
              <w:jc w:val="center"/>
              <w:rPr>
                <w:rFonts w:ascii="宋体" w:hAnsi="宋体" w:cs="宋体"/>
                <w:kern w:val="0"/>
              </w:rPr>
            </w:pPr>
          </w:p>
        </w:tc>
        <w:tc>
          <w:tcPr>
            <w:tcW w:w="749" w:type="pct"/>
            <w:vMerge w:val="restart"/>
            <w:vAlign w:val="center"/>
          </w:tcPr>
          <w:p w14:paraId="10696AA7">
            <w:pPr>
              <w:jc w:val="left"/>
              <w:rPr>
                <w:rFonts w:ascii="宋体" w:hAnsi="宋体" w:cs="宋体"/>
                <w:kern w:val="0"/>
              </w:rPr>
            </w:pPr>
            <w:r>
              <w:rPr>
                <w:rFonts w:hint="eastAsia" w:ascii="宋体" w:hAnsi="宋体" w:cs="宋体"/>
                <w:kern w:val="0"/>
              </w:rPr>
              <w:t>设置提醒</w:t>
            </w:r>
          </w:p>
        </w:tc>
        <w:tc>
          <w:tcPr>
            <w:tcW w:w="3772" w:type="pct"/>
            <w:vAlign w:val="center"/>
          </w:tcPr>
          <w:p w14:paraId="3F79BCEF">
            <w:pPr>
              <w:snapToGrid w:val="0"/>
            </w:pPr>
            <w:r>
              <w:rPr>
                <w:rFonts w:hint="eastAsia"/>
              </w:rPr>
              <w:t>支持配置各类提醒功能的开关起停用状态，配置是发送短信提醒还是微信提醒，亦或手机端红点提醒。需要支持对学员、带教老师、科室秘书等多种角色进行提醒。</w:t>
            </w:r>
          </w:p>
        </w:tc>
      </w:tr>
      <w:tr w14:paraId="12160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78" w:type="pct"/>
            <w:vMerge w:val="continue"/>
            <w:vAlign w:val="center"/>
          </w:tcPr>
          <w:p w14:paraId="5A514774">
            <w:pPr>
              <w:widowControl/>
              <w:jc w:val="center"/>
              <w:rPr>
                <w:rFonts w:ascii="宋体" w:hAnsi="宋体" w:cs="宋体"/>
                <w:kern w:val="0"/>
              </w:rPr>
            </w:pPr>
          </w:p>
        </w:tc>
        <w:tc>
          <w:tcPr>
            <w:tcW w:w="749" w:type="pct"/>
            <w:vMerge w:val="continue"/>
            <w:vAlign w:val="center"/>
          </w:tcPr>
          <w:p w14:paraId="33376CE2">
            <w:pPr>
              <w:widowControl/>
              <w:jc w:val="left"/>
              <w:rPr>
                <w:rFonts w:ascii="宋体" w:hAnsi="宋体" w:cs="宋体"/>
                <w:kern w:val="0"/>
              </w:rPr>
            </w:pPr>
          </w:p>
        </w:tc>
        <w:tc>
          <w:tcPr>
            <w:tcW w:w="3772" w:type="pct"/>
            <w:vAlign w:val="center"/>
          </w:tcPr>
          <w:p w14:paraId="47E7D33C">
            <w:pPr>
              <w:snapToGrid w:val="0"/>
            </w:pPr>
            <w:r>
              <w:rPr>
                <w:rFonts w:hint="eastAsia"/>
              </w:rPr>
              <w:t>自动提醒功能应全面且实用，教学活动方面应支持提醒主讲人开课、参加人签到；出入科方面应支持提醒入科、提醒指定带教、提醒出科、提醒填写带教评语；考勤请假方面应支持提醒考勤、提醒缺勤、提醒销假。</w:t>
            </w:r>
          </w:p>
        </w:tc>
      </w:tr>
      <w:tr w14:paraId="4BF4D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8" w:type="pct"/>
            <w:vMerge w:val="restart"/>
            <w:vAlign w:val="center"/>
          </w:tcPr>
          <w:p w14:paraId="7B01EB47">
            <w:pPr>
              <w:widowControl/>
              <w:jc w:val="center"/>
              <w:rPr>
                <w:rFonts w:ascii="宋体" w:hAnsi="宋体" w:cs="宋体"/>
                <w:kern w:val="0"/>
              </w:rPr>
            </w:pPr>
            <w:r>
              <w:rPr>
                <w:rFonts w:hint="eastAsia" w:ascii="宋体" w:hAnsi="宋体" w:cs="宋体"/>
                <w:kern w:val="0"/>
              </w:rPr>
              <w:t>系统首页</w:t>
            </w:r>
          </w:p>
        </w:tc>
        <w:tc>
          <w:tcPr>
            <w:tcW w:w="749" w:type="pct"/>
            <w:vAlign w:val="center"/>
          </w:tcPr>
          <w:p w14:paraId="1B2B8E96">
            <w:pPr>
              <w:widowControl/>
              <w:jc w:val="left"/>
              <w:rPr>
                <w:rFonts w:ascii="宋体" w:hAnsi="宋体" w:cs="宋体"/>
                <w:kern w:val="0"/>
              </w:rPr>
            </w:pPr>
            <w:r>
              <w:rPr>
                <w:rFonts w:hint="eastAsia" w:ascii="宋体" w:hAnsi="宋体" w:cs="宋体"/>
                <w:kern w:val="0"/>
              </w:rPr>
              <w:t>待办工作</w:t>
            </w:r>
          </w:p>
        </w:tc>
        <w:tc>
          <w:tcPr>
            <w:tcW w:w="3772" w:type="pct"/>
            <w:vAlign w:val="center"/>
          </w:tcPr>
          <w:p w14:paraId="15ED3943">
            <w:pPr>
              <w:widowControl/>
              <w:snapToGrid w:val="0"/>
              <w:rPr>
                <w:rFonts w:ascii="宋体" w:hAnsi="宋体" w:cs="宋体"/>
                <w:kern w:val="0"/>
              </w:rPr>
            </w:pPr>
            <w:r>
              <w:rPr>
                <w:rFonts w:hint="eastAsia" w:ascii="宋体" w:hAnsi="宋体" w:cs="宋体"/>
                <w:kern w:val="0"/>
              </w:rPr>
              <w:t>根据不同的角色在首页显示不同的待办工作，应包含今日日程、待办工作、审核待办功能，方便管理人员及时掌握自己应处理的工作事项。</w:t>
            </w:r>
          </w:p>
        </w:tc>
      </w:tr>
      <w:tr w14:paraId="14FEE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8" w:type="pct"/>
            <w:vMerge w:val="continue"/>
            <w:vAlign w:val="center"/>
          </w:tcPr>
          <w:p w14:paraId="65ECEF3E">
            <w:pPr>
              <w:widowControl/>
              <w:jc w:val="center"/>
              <w:rPr>
                <w:rFonts w:ascii="宋体" w:hAnsi="宋体" w:cs="宋体"/>
                <w:kern w:val="0"/>
              </w:rPr>
            </w:pPr>
          </w:p>
        </w:tc>
        <w:tc>
          <w:tcPr>
            <w:tcW w:w="749" w:type="pct"/>
            <w:vAlign w:val="center"/>
          </w:tcPr>
          <w:p w14:paraId="6CFD1AEA">
            <w:pPr>
              <w:widowControl/>
              <w:jc w:val="left"/>
              <w:rPr>
                <w:rFonts w:ascii="宋体" w:hAnsi="宋体" w:cs="宋体"/>
                <w:kern w:val="0"/>
              </w:rPr>
            </w:pPr>
            <w:r>
              <w:rPr>
                <w:rFonts w:hint="eastAsia" w:ascii="宋体" w:hAnsi="宋体" w:cs="宋体"/>
                <w:kern w:val="0"/>
              </w:rPr>
              <w:t>首页课程表</w:t>
            </w:r>
          </w:p>
        </w:tc>
        <w:tc>
          <w:tcPr>
            <w:tcW w:w="3772" w:type="pct"/>
            <w:vAlign w:val="center"/>
          </w:tcPr>
          <w:p w14:paraId="39371279">
            <w:pPr>
              <w:widowControl/>
              <w:snapToGrid w:val="0"/>
              <w:rPr>
                <w:rFonts w:ascii="宋体" w:hAnsi="宋体" w:cs="宋体"/>
                <w:kern w:val="0"/>
              </w:rPr>
            </w:pPr>
            <w:r>
              <w:rPr>
                <w:rFonts w:hint="eastAsia" w:ascii="宋体" w:hAnsi="宋体" w:cs="宋体"/>
                <w:kern w:val="0"/>
              </w:rPr>
              <w:t>首页支持按天、按周显示教学活动课程表，并通过不同颜色体现教学活动的举办状态，可按上下午区分需要参加的课程以示紧急程度。</w:t>
            </w:r>
          </w:p>
        </w:tc>
      </w:tr>
      <w:tr w14:paraId="4D096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8" w:type="pct"/>
            <w:vMerge w:val="continue"/>
            <w:vAlign w:val="center"/>
          </w:tcPr>
          <w:p w14:paraId="4BA5CE14">
            <w:pPr>
              <w:widowControl/>
              <w:jc w:val="center"/>
              <w:rPr>
                <w:rFonts w:ascii="宋体" w:hAnsi="宋体" w:cs="宋体"/>
                <w:kern w:val="0"/>
              </w:rPr>
            </w:pPr>
          </w:p>
        </w:tc>
        <w:tc>
          <w:tcPr>
            <w:tcW w:w="749" w:type="pct"/>
            <w:vMerge w:val="restart"/>
            <w:vAlign w:val="center"/>
          </w:tcPr>
          <w:p w14:paraId="386F1FD0">
            <w:pPr>
              <w:widowControl/>
              <w:jc w:val="left"/>
              <w:rPr>
                <w:rFonts w:ascii="宋体" w:hAnsi="宋体" w:cs="宋体"/>
                <w:kern w:val="0"/>
              </w:rPr>
            </w:pPr>
            <w:r>
              <w:rPr>
                <w:rFonts w:hint="eastAsia" w:ascii="宋体" w:hAnsi="宋体" w:cs="宋体"/>
                <w:kern w:val="0"/>
              </w:rPr>
              <w:t>通知公告</w:t>
            </w:r>
          </w:p>
        </w:tc>
        <w:tc>
          <w:tcPr>
            <w:tcW w:w="3772" w:type="pct"/>
            <w:vAlign w:val="center"/>
          </w:tcPr>
          <w:p w14:paraId="373A517C">
            <w:pPr>
              <w:widowControl/>
              <w:snapToGrid w:val="0"/>
              <w:rPr>
                <w:rFonts w:ascii="宋体" w:hAnsi="宋体" w:cs="宋体"/>
                <w:kern w:val="0"/>
              </w:rPr>
            </w:pPr>
            <w:r>
              <w:rPr>
                <w:rFonts w:hint="eastAsia" w:ascii="宋体" w:hAnsi="宋体" w:cs="宋体"/>
                <w:kern w:val="0"/>
              </w:rPr>
              <w:t>首页应包含通知公告模块，用于发布各类通知和公告提醒。提供明显的使用帮助模块，并列明系统的升级更新内容。</w:t>
            </w:r>
          </w:p>
        </w:tc>
      </w:tr>
      <w:tr w14:paraId="5136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8" w:type="pct"/>
            <w:vMerge w:val="continue"/>
            <w:vAlign w:val="center"/>
          </w:tcPr>
          <w:p w14:paraId="575A05EC">
            <w:pPr>
              <w:widowControl/>
              <w:jc w:val="center"/>
              <w:rPr>
                <w:rFonts w:ascii="宋体" w:hAnsi="宋体" w:cs="宋体"/>
                <w:kern w:val="0"/>
              </w:rPr>
            </w:pPr>
          </w:p>
        </w:tc>
        <w:tc>
          <w:tcPr>
            <w:tcW w:w="749" w:type="pct"/>
            <w:vMerge w:val="continue"/>
            <w:vAlign w:val="center"/>
          </w:tcPr>
          <w:p w14:paraId="067522BF">
            <w:pPr>
              <w:widowControl/>
              <w:jc w:val="left"/>
              <w:rPr>
                <w:rFonts w:ascii="宋体" w:hAnsi="宋体" w:cs="宋体"/>
                <w:kern w:val="0"/>
              </w:rPr>
            </w:pPr>
          </w:p>
        </w:tc>
        <w:tc>
          <w:tcPr>
            <w:tcW w:w="3772" w:type="pct"/>
            <w:vAlign w:val="center"/>
          </w:tcPr>
          <w:p w14:paraId="70B2091C">
            <w:pPr>
              <w:widowControl/>
              <w:snapToGrid w:val="0"/>
              <w:rPr>
                <w:rFonts w:ascii="宋体" w:hAnsi="宋体" w:cs="宋体"/>
                <w:kern w:val="0"/>
              </w:rPr>
            </w:pPr>
            <w:r>
              <w:rPr>
                <w:rFonts w:hint="eastAsia" w:ascii="宋体" w:hAnsi="宋体" w:cs="宋体"/>
                <w:kern w:val="0"/>
              </w:rPr>
              <w:t>支持各种类型的消息通知，可指定通知类型、通知人群、通知科室、上传附件等。</w:t>
            </w:r>
          </w:p>
        </w:tc>
      </w:tr>
      <w:tr w14:paraId="09D87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8" w:type="pct"/>
            <w:vMerge w:val="continue"/>
            <w:vAlign w:val="center"/>
          </w:tcPr>
          <w:p w14:paraId="335E6F9E">
            <w:pPr>
              <w:widowControl/>
              <w:jc w:val="center"/>
              <w:rPr>
                <w:rFonts w:ascii="宋体" w:hAnsi="宋体" w:cs="宋体"/>
                <w:kern w:val="0"/>
              </w:rPr>
            </w:pPr>
          </w:p>
        </w:tc>
        <w:tc>
          <w:tcPr>
            <w:tcW w:w="749" w:type="pct"/>
            <w:vAlign w:val="center"/>
          </w:tcPr>
          <w:p w14:paraId="469FE16D">
            <w:pPr>
              <w:widowControl/>
              <w:jc w:val="left"/>
              <w:rPr>
                <w:rFonts w:ascii="宋体" w:hAnsi="宋体" w:cs="宋体"/>
                <w:kern w:val="0"/>
              </w:rPr>
            </w:pPr>
            <w:r>
              <w:rPr>
                <w:rFonts w:hint="eastAsia" w:ascii="宋体" w:hAnsi="宋体" w:cs="宋体"/>
                <w:kern w:val="0"/>
              </w:rPr>
              <w:t>统计图表</w:t>
            </w:r>
          </w:p>
        </w:tc>
        <w:tc>
          <w:tcPr>
            <w:tcW w:w="3772" w:type="pct"/>
            <w:vAlign w:val="center"/>
          </w:tcPr>
          <w:p w14:paraId="6EE96036">
            <w:pPr>
              <w:widowControl/>
              <w:snapToGrid w:val="0"/>
              <w:rPr>
                <w:rFonts w:ascii="宋体" w:hAnsi="宋体" w:cs="宋体"/>
                <w:kern w:val="0"/>
              </w:rPr>
            </w:pPr>
            <w:r>
              <w:rPr>
                <w:rFonts w:hint="eastAsia" w:ascii="宋体" w:hAnsi="宋体" w:cs="宋体"/>
                <w:kern w:val="0"/>
              </w:rPr>
              <w:t>各业务模块均包含详细的统计图表模块，包括饼图、柱图、线图等</w:t>
            </w:r>
          </w:p>
        </w:tc>
      </w:tr>
      <w:tr w14:paraId="43765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8" w:type="pct"/>
            <w:vMerge w:val="restart"/>
            <w:vAlign w:val="center"/>
          </w:tcPr>
          <w:p w14:paraId="35321FE6">
            <w:pPr>
              <w:widowControl/>
              <w:jc w:val="center"/>
              <w:rPr>
                <w:rFonts w:ascii="宋体" w:hAnsi="宋体" w:cs="宋体"/>
                <w:kern w:val="0"/>
              </w:rPr>
            </w:pPr>
            <w:r>
              <w:rPr>
                <w:rFonts w:hint="eastAsia" w:ascii="宋体" w:hAnsi="宋体" w:cs="宋体"/>
                <w:kern w:val="0"/>
              </w:rPr>
              <w:t>通知提醒</w:t>
            </w:r>
          </w:p>
        </w:tc>
        <w:tc>
          <w:tcPr>
            <w:tcW w:w="749" w:type="pct"/>
            <w:vAlign w:val="center"/>
          </w:tcPr>
          <w:p w14:paraId="27BF7AB9">
            <w:pPr>
              <w:widowControl/>
              <w:jc w:val="left"/>
              <w:rPr>
                <w:rFonts w:ascii="宋体" w:hAnsi="宋体" w:cs="宋体"/>
                <w:kern w:val="0"/>
                <w:lang w:eastAsia="zh-Hans"/>
              </w:rPr>
            </w:pPr>
            <w:r>
              <w:rPr>
                <w:rFonts w:hint="eastAsia" w:ascii="宋体" w:hAnsi="宋体" w:cs="宋体"/>
                <w:kern w:val="0"/>
              </w:rPr>
              <w:t>微信通知服务</w:t>
            </w:r>
          </w:p>
        </w:tc>
        <w:tc>
          <w:tcPr>
            <w:tcW w:w="3772" w:type="pct"/>
            <w:vAlign w:val="center"/>
          </w:tcPr>
          <w:p w14:paraId="5B44AE5B">
            <w:pPr>
              <w:widowControl/>
              <w:snapToGrid w:val="0"/>
              <w:rPr>
                <w:rFonts w:ascii="宋体" w:hAnsi="宋体" w:cs="宋体"/>
                <w:kern w:val="0"/>
              </w:rPr>
            </w:pPr>
            <w:r>
              <w:rPr>
                <w:rFonts w:hint="eastAsia" w:ascii="宋体" w:hAnsi="宋体" w:cs="宋体"/>
                <w:kern w:val="0"/>
              </w:rPr>
              <w:t>支持微信服务通知模式，支持教学活动、考勤、出科申请等至少1</w:t>
            </w:r>
            <w:r>
              <w:rPr>
                <w:rFonts w:hint="eastAsia" w:ascii="宋体" w:hAnsi="宋体" w:cs="宋体"/>
                <w:kern w:val="0"/>
                <w:lang w:val="en-US" w:eastAsia="zh-CN"/>
              </w:rPr>
              <w:t>0</w:t>
            </w:r>
            <w:r>
              <w:rPr>
                <w:rFonts w:hint="eastAsia" w:ascii="宋体" w:hAnsi="宋体" w:cs="宋体"/>
                <w:kern w:val="0"/>
              </w:rPr>
              <w:t>种业务的微信通知服务，是否使用微信通知可逐项开关设置起停用状态，方便院方自定义选用。</w:t>
            </w:r>
          </w:p>
        </w:tc>
      </w:tr>
      <w:tr w14:paraId="56003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8" w:type="pct"/>
            <w:vMerge w:val="continue"/>
            <w:vAlign w:val="center"/>
          </w:tcPr>
          <w:p w14:paraId="20C2030A">
            <w:pPr>
              <w:widowControl/>
              <w:jc w:val="center"/>
              <w:rPr>
                <w:rFonts w:ascii="宋体" w:hAnsi="宋体" w:cs="宋体"/>
                <w:kern w:val="0"/>
              </w:rPr>
            </w:pPr>
          </w:p>
        </w:tc>
        <w:tc>
          <w:tcPr>
            <w:tcW w:w="749" w:type="pct"/>
            <w:vAlign w:val="center"/>
          </w:tcPr>
          <w:p w14:paraId="66E51CCD">
            <w:pPr>
              <w:widowControl/>
              <w:jc w:val="left"/>
              <w:rPr>
                <w:rFonts w:ascii="宋体" w:hAnsi="宋体" w:cs="宋体"/>
                <w:kern w:val="0"/>
                <w:lang w:eastAsia="zh-Hans"/>
              </w:rPr>
            </w:pPr>
            <w:r>
              <w:rPr>
                <w:rFonts w:hint="eastAsia" w:ascii="宋体" w:hAnsi="宋体" w:cs="宋体"/>
                <w:kern w:val="0"/>
              </w:rPr>
              <w:t>短信通知服务</w:t>
            </w:r>
          </w:p>
        </w:tc>
        <w:tc>
          <w:tcPr>
            <w:tcW w:w="3772" w:type="pct"/>
            <w:vAlign w:val="center"/>
          </w:tcPr>
          <w:p w14:paraId="071F36EF">
            <w:pPr>
              <w:widowControl/>
              <w:snapToGrid w:val="0"/>
              <w:rPr>
                <w:rFonts w:ascii="宋体" w:hAnsi="宋体" w:cs="宋体"/>
                <w:kern w:val="0"/>
              </w:rPr>
            </w:pPr>
            <w:r>
              <w:rPr>
                <w:rFonts w:hint="eastAsia" w:ascii="宋体" w:hAnsi="宋体" w:cs="宋体"/>
                <w:kern w:val="0"/>
              </w:rPr>
              <w:t>支持短信服务通知模式，通过短信的方式进行各类通知。是否使用短信通知可逐项开关设置起停用状态，方便院方自定义选用。</w:t>
            </w:r>
          </w:p>
        </w:tc>
      </w:tr>
      <w:tr w14:paraId="2816E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78" w:type="pct"/>
            <w:vMerge w:val="restart"/>
            <w:vAlign w:val="center"/>
          </w:tcPr>
          <w:p w14:paraId="26DA4302">
            <w:pPr>
              <w:widowControl/>
              <w:jc w:val="center"/>
              <w:rPr>
                <w:rFonts w:ascii="宋体" w:hAnsi="宋体" w:cs="宋体"/>
                <w:kern w:val="0"/>
              </w:rPr>
            </w:pPr>
            <w:r>
              <w:rPr>
                <w:rFonts w:hint="eastAsia" w:ascii="宋体" w:hAnsi="宋体" w:cs="宋体"/>
                <w:kern w:val="0"/>
              </w:rPr>
              <w:t>人员管理</w:t>
            </w:r>
          </w:p>
        </w:tc>
        <w:tc>
          <w:tcPr>
            <w:tcW w:w="749" w:type="pct"/>
            <w:vMerge w:val="restart"/>
            <w:vAlign w:val="center"/>
          </w:tcPr>
          <w:p w14:paraId="51009E65">
            <w:pPr>
              <w:widowControl/>
              <w:jc w:val="left"/>
              <w:rPr>
                <w:rFonts w:ascii="宋体" w:hAnsi="宋体" w:cs="宋体"/>
                <w:kern w:val="0"/>
              </w:rPr>
            </w:pPr>
            <w:r>
              <w:rPr>
                <w:rFonts w:hint="eastAsia" w:ascii="宋体" w:hAnsi="宋体" w:cs="宋体"/>
                <w:kern w:val="0"/>
              </w:rPr>
              <w:t>学员档案</w:t>
            </w:r>
          </w:p>
        </w:tc>
        <w:tc>
          <w:tcPr>
            <w:tcW w:w="3772" w:type="pct"/>
            <w:vAlign w:val="center"/>
          </w:tcPr>
          <w:p w14:paraId="689D31BB">
            <w:pPr>
              <w:widowControl/>
              <w:snapToGrid w:val="0"/>
              <w:rPr>
                <w:rFonts w:ascii="宋体" w:hAnsi="宋体" w:cs="宋体"/>
                <w:kern w:val="0"/>
              </w:rPr>
            </w:pPr>
            <w:r>
              <w:rPr>
                <w:rFonts w:hint="eastAsia" w:ascii="宋体" w:hAnsi="宋体" w:cs="宋体"/>
                <w:kern w:val="0"/>
              </w:rPr>
              <w:t>支持各科室管理轮转学员档案。支持学员档案的录入、批量导入、查询功能，支持批量导出。可维护和管理包括基本信息、证件照、个人签名、学员证书、受教育经历、工作经历、执业医师证、医师资格证等各类信息。</w:t>
            </w:r>
          </w:p>
        </w:tc>
      </w:tr>
      <w:tr w14:paraId="7E705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8" w:type="pct"/>
            <w:vMerge w:val="continue"/>
            <w:vAlign w:val="center"/>
          </w:tcPr>
          <w:p w14:paraId="7DD4AB34">
            <w:pPr>
              <w:widowControl/>
              <w:jc w:val="center"/>
              <w:rPr>
                <w:rFonts w:ascii="宋体" w:hAnsi="宋体" w:cs="宋体"/>
                <w:kern w:val="0"/>
              </w:rPr>
            </w:pPr>
          </w:p>
        </w:tc>
        <w:tc>
          <w:tcPr>
            <w:tcW w:w="749" w:type="pct"/>
            <w:vMerge w:val="continue"/>
            <w:vAlign w:val="center"/>
          </w:tcPr>
          <w:p w14:paraId="304C2579">
            <w:pPr>
              <w:widowControl/>
              <w:jc w:val="left"/>
              <w:rPr>
                <w:rFonts w:ascii="宋体" w:hAnsi="宋体" w:cs="宋体"/>
                <w:kern w:val="0"/>
              </w:rPr>
            </w:pPr>
          </w:p>
        </w:tc>
        <w:tc>
          <w:tcPr>
            <w:tcW w:w="3772" w:type="pct"/>
            <w:vAlign w:val="center"/>
          </w:tcPr>
          <w:p w14:paraId="1C77E6A6">
            <w:pPr>
              <w:widowControl/>
              <w:snapToGrid w:val="0"/>
              <w:rPr>
                <w:rFonts w:ascii="宋体" w:hAnsi="宋体" w:cs="宋体"/>
                <w:kern w:val="0"/>
              </w:rPr>
            </w:pPr>
            <w:r>
              <w:rPr>
                <w:rFonts w:hint="eastAsia" w:ascii="宋体" w:hAnsi="宋体" w:cs="宋体"/>
                <w:kern w:val="0"/>
              </w:rPr>
              <w:t>轮转生涯：汇总记录学员的详细轮转生涯情况，除轮转科室、出入科时间、带教老师等信息外，还能记录学员的毕结业情况、表彰奖励情况、差错事故情况、论文文章及证书记录等。同时需记录与导师的师生定期互动记录。</w:t>
            </w:r>
          </w:p>
        </w:tc>
      </w:tr>
      <w:tr w14:paraId="405DD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8" w:type="pct"/>
            <w:vMerge w:val="continue"/>
            <w:vAlign w:val="center"/>
          </w:tcPr>
          <w:p w14:paraId="7AA6B49D">
            <w:pPr>
              <w:widowControl/>
              <w:jc w:val="center"/>
              <w:rPr>
                <w:rFonts w:ascii="宋体" w:hAnsi="宋体" w:cs="宋体"/>
                <w:kern w:val="0"/>
              </w:rPr>
            </w:pPr>
          </w:p>
        </w:tc>
        <w:tc>
          <w:tcPr>
            <w:tcW w:w="749" w:type="pct"/>
            <w:vMerge w:val="continue"/>
            <w:vAlign w:val="center"/>
          </w:tcPr>
          <w:p w14:paraId="1477258A">
            <w:pPr>
              <w:widowControl/>
              <w:jc w:val="left"/>
              <w:rPr>
                <w:rFonts w:ascii="宋体" w:hAnsi="宋体" w:cs="宋体"/>
                <w:kern w:val="0"/>
              </w:rPr>
            </w:pPr>
          </w:p>
        </w:tc>
        <w:tc>
          <w:tcPr>
            <w:tcW w:w="3772" w:type="pct"/>
            <w:vAlign w:val="center"/>
          </w:tcPr>
          <w:p w14:paraId="15FD26C5">
            <w:pPr>
              <w:widowControl/>
              <w:snapToGrid w:val="0"/>
              <w:rPr>
                <w:rFonts w:ascii="宋体" w:hAnsi="宋体" w:cs="宋体"/>
                <w:color w:val="000000"/>
                <w:kern w:val="0"/>
                <w:lang w:bidi="ar"/>
              </w:rPr>
            </w:pPr>
            <w:r>
              <w:rPr>
                <w:rFonts w:hint="eastAsia" w:ascii="宋体" w:hAnsi="宋体" w:cs="宋体"/>
                <w:color w:val="000000"/>
                <w:kern w:val="0"/>
                <w:lang w:bidi="ar"/>
              </w:rPr>
              <w:t>支持登记学员各类平时成绩，可单独登记学员年度考核、季度考核、月度考核分项成绩，支持单独登记执业医师资格证考试成绩，支持自定义分类考试成绩登记。</w:t>
            </w:r>
          </w:p>
        </w:tc>
      </w:tr>
      <w:tr w14:paraId="3DA0A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8" w:type="pct"/>
            <w:vMerge w:val="continue"/>
            <w:vAlign w:val="center"/>
          </w:tcPr>
          <w:p w14:paraId="6BA8000C">
            <w:pPr>
              <w:widowControl/>
              <w:jc w:val="center"/>
              <w:rPr>
                <w:rFonts w:ascii="宋体" w:hAnsi="宋体" w:cs="宋体"/>
                <w:kern w:val="0"/>
              </w:rPr>
            </w:pPr>
          </w:p>
        </w:tc>
        <w:tc>
          <w:tcPr>
            <w:tcW w:w="749" w:type="pct"/>
            <w:vMerge w:val="continue"/>
            <w:vAlign w:val="center"/>
          </w:tcPr>
          <w:p w14:paraId="73554593">
            <w:pPr>
              <w:widowControl/>
              <w:jc w:val="left"/>
              <w:rPr>
                <w:rFonts w:ascii="宋体" w:hAnsi="宋体" w:cs="宋体"/>
                <w:kern w:val="0"/>
              </w:rPr>
            </w:pPr>
          </w:p>
        </w:tc>
        <w:tc>
          <w:tcPr>
            <w:tcW w:w="3772" w:type="pct"/>
            <w:vAlign w:val="center"/>
          </w:tcPr>
          <w:p w14:paraId="0007FB2D">
            <w:pPr>
              <w:widowControl/>
              <w:snapToGrid w:val="0"/>
              <w:rPr>
                <w:rFonts w:ascii="宋体" w:hAnsi="宋体" w:cs="宋体"/>
                <w:kern w:val="0"/>
              </w:rPr>
            </w:pPr>
            <w:r>
              <w:rPr>
                <w:rFonts w:ascii="宋体" w:hAnsi="宋体" w:cs="宋体"/>
                <w:color w:val="000000"/>
                <w:kern w:val="0"/>
                <w:lang w:bidi="ar"/>
              </w:rPr>
              <w:t>支持管理部门批量导出多学员的照片附件，</w:t>
            </w:r>
            <w:r>
              <w:rPr>
                <w:rFonts w:hint="eastAsia" w:ascii="宋体" w:hAnsi="宋体" w:cs="宋体"/>
                <w:color w:val="000000"/>
                <w:kern w:val="0"/>
                <w:lang w:bidi="ar"/>
              </w:rPr>
              <w:t>批量</w:t>
            </w:r>
            <w:r>
              <w:rPr>
                <w:rFonts w:ascii="宋体" w:hAnsi="宋体" w:cs="宋体"/>
                <w:color w:val="000000"/>
                <w:kern w:val="0"/>
                <w:lang w:bidi="ar"/>
              </w:rPr>
              <w:t>导出的人员名单可筛选</w:t>
            </w:r>
            <w:r>
              <w:rPr>
                <w:rFonts w:hint="eastAsia" w:ascii="宋体" w:hAnsi="宋体" w:cs="宋体"/>
                <w:color w:val="000000"/>
                <w:kern w:val="0"/>
                <w:lang w:bidi="ar"/>
              </w:rPr>
              <w:t>范围</w:t>
            </w:r>
            <w:r>
              <w:rPr>
                <w:rFonts w:ascii="宋体" w:hAnsi="宋体" w:cs="宋体"/>
                <w:color w:val="000000"/>
                <w:kern w:val="0"/>
                <w:lang w:bidi="ar"/>
              </w:rPr>
              <w:t>，导出的压缩包文件中包含的照片文件名需支持管理人员自定义</w:t>
            </w:r>
            <w:r>
              <w:rPr>
                <w:rFonts w:hint="eastAsia" w:ascii="宋体" w:hAnsi="宋体" w:cs="宋体"/>
                <w:color w:val="000000"/>
                <w:kern w:val="0"/>
                <w:lang w:bidi="ar"/>
              </w:rPr>
              <w:t>。</w:t>
            </w:r>
          </w:p>
        </w:tc>
      </w:tr>
      <w:tr w14:paraId="34048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8" w:type="pct"/>
            <w:vMerge w:val="continue"/>
            <w:vAlign w:val="center"/>
          </w:tcPr>
          <w:p w14:paraId="1CF0C6EB">
            <w:pPr>
              <w:widowControl/>
              <w:jc w:val="center"/>
              <w:rPr>
                <w:rFonts w:ascii="宋体" w:hAnsi="宋体" w:cs="宋体"/>
                <w:kern w:val="0"/>
              </w:rPr>
            </w:pPr>
          </w:p>
        </w:tc>
        <w:tc>
          <w:tcPr>
            <w:tcW w:w="749" w:type="pct"/>
            <w:vMerge w:val="continue"/>
            <w:vAlign w:val="center"/>
          </w:tcPr>
          <w:p w14:paraId="2133047F">
            <w:pPr>
              <w:widowControl/>
              <w:jc w:val="left"/>
              <w:rPr>
                <w:rFonts w:ascii="宋体" w:hAnsi="宋体" w:cs="宋体"/>
                <w:kern w:val="0"/>
              </w:rPr>
            </w:pPr>
          </w:p>
        </w:tc>
        <w:tc>
          <w:tcPr>
            <w:tcW w:w="3772" w:type="pct"/>
            <w:vAlign w:val="center"/>
          </w:tcPr>
          <w:p w14:paraId="63AEE16A">
            <w:pPr>
              <w:widowControl/>
              <w:snapToGrid w:val="0"/>
              <w:rPr>
                <w:rFonts w:ascii="宋体" w:hAnsi="宋体" w:cs="宋体"/>
                <w:kern w:val="0"/>
              </w:rPr>
            </w:pPr>
            <w:r>
              <w:rPr>
                <w:rFonts w:hint="eastAsia" w:ascii="宋体" w:hAnsi="宋体" w:cs="宋体"/>
                <w:kern w:val="0"/>
              </w:rPr>
              <w:t>支持学员档案汇总生涯页面，在一个页面中显示学员档案综合信息。支持将学员档案直接导出生成在一份word文档中，该文档需包含学员的完整轮转生涯，以及参加的教学活动清单。</w:t>
            </w:r>
          </w:p>
        </w:tc>
      </w:tr>
      <w:tr w14:paraId="1DFD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8" w:type="pct"/>
            <w:vMerge w:val="continue"/>
            <w:vAlign w:val="center"/>
          </w:tcPr>
          <w:p w14:paraId="26BF3024">
            <w:pPr>
              <w:widowControl/>
              <w:jc w:val="center"/>
              <w:rPr>
                <w:rFonts w:ascii="宋体" w:hAnsi="宋体" w:cs="宋体"/>
                <w:kern w:val="0"/>
              </w:rPr>
            </w:pPr>
          </w:p>
        </w:tc>
        <w:tc>
          <w:tcPr>
            <w:tcW w:w="749" w:type="pct"/>
            <w:vMerge w:val="restart"/>
            <w:vAlign w:val="center"/>
          </w:tcPr>
          <w:p w14:paraId="3254878F">
            <w:pPr>
              <w:widowControl/>
              <w:jc w:val="left"/>
              <w:rPr>
                <w:rFonts w:ascii="宋体" w:hAnsi="宋体" w:cs="宋体"/>
                <w:kern w:val="0"/>
              </w:rPr>
            </w:pPr>
            <w:r>
              <w:rPr>
                <w:rFonts w:hint="eastAsia" w:ascii="宋体" w:hAnsi="宋体" w:cs="宋体"/>
                <w:kern w:val="0"/>
              </w:rPr>
              <w:t>教员档案</w:t>
            </w:r>
          </w:p>
        </w:tc>
        <w:tc>
          <w:tcPr>
            <w:tcW w:w="3772" w:type="pct"/>
            <w:vAlign w:val="center"/>
          </w:tcPr>
          <w:p w14:paraId="0DAEA6A9">
            <w:pPr>
              <w:widowControl/>
              <w:snapToGrid w:val="0"/>
              <w:rPr>
                <w:rFonts w:ascii="宋体" w:hAnsi="宋体" w:cs="宋体"/>
                <w:kern w:val="0"/>
              </w:rPr>
            </w:pPr>
            <w:r>
              <w:rPr>
                <w:rFonts w:hint="eastAsia" w:ascii="宋体" w:hAnsi="宋体" w:cs="宋体"/>
                <w:kern w:val="0"/>
              </w:rPr>
              <w:t>支持各科室管理科室下的师资档案信息，支持师资档案的录入、批量导入、查询功能，支持批量导出。可维护和管理包括基本信息、证件照、个人签名、受教育经历、工作经历、执业证、资格证、职称等。可上传师资培训证书、师资聘用证书、导师聘用证书等。</w:t>
            </w:r>
          </w:p>
        </w:tc>
      </w:tr>
      <w:tr w14:paraId="02F52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8" w:type="pct"/>
            <w:vMerge w:val="continue"/>
            <w:vAlign w:val="center"/>
          </w:tcPr>
          <w:p w14:paraId="21B91A16">
            <w:pPr>
              <w:widowControl/>
              <w:jc w:val="center"/>
              <w:rPr>
                <w:rFonts w:ascii="宋体" w:hAnsi="宋体" w:cs="宋体"/>
                <w:kern w:val="0"/>
              </w:rPr>
            </w:pPr>
          </w:p>
        </w:tc>
        <w:tc>
          <w:tcPr>
            <w:tcW w:w="749" w:type="pct"/>
            <w:vMerge w:val="continue"/>
            <w:vAlign w:val="center"/>
          </w:tcPr>
          <w:p w14:paraId="58D95487">
            <w:pPr>
              <w:widowControl/>
              <w:jc w:val="left"/>
              <w:rPr>
                <w:rFonts w:ascii="宋体" w:hAnsi="宋体" w:cs="宋体"/>
                <w:kern w:val="0"/>
              </w:rPr>
            </w:pPr>
          </w:p>
        </w:tc>
        <w:tc>
          <w:tcPr>
            <w:tcW w:w="3772" w:type="pct"/>
            <w:vAlign w:val="center"/>
          </w:tcPr>
          <w:p w14:paraId="4465DE85">
            <w:pPr>
              <w:widowControl/>
              <w:snapToGrid w:val="0"/>
              <w:rPr>
                <w:rFonts w:ascii="宋体" w:hAnsi="宋体" w:cs="宋体"/>
                <w:kern w:val="0"/>
              </w:rPr>
            </w:pPr>
            <w:r>
              <w:rPr>
                <w:rFonts w:hint="eastAsia" w:ascii="宋体" w:hAnsi="宋体" w:cs="宋体"/>
                <w:kern w:val="0"/>
              </w:rPr>
              <w:t>师资生涯：汇总记录师资的详细师资聘用解聘及教学情况，除带教学员记录、导师指导记录外，还能记录师资的培训进修情况、教学聘任情况、表彰奖励情况、差错事故情况、论文文章及证书记录等。同时需记录与指导学生的师生定期互动记录。</w:t>
            </w:r>
          </w:p>
        </w:tc>
      </w:tr>
      <w:tr w14:paraId="78310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8" w:type="pct"/>
            <w:vMerge w:val="continue"/>
            <w:vAlign w:val="center"/>
          </w:tcPr>
          <w:p w14:paraId="47A80111">
            <w:pPr>
              <w:widowControl/>
              <w:jc w:val="center"/>
              <w:rPr>
                <w:rFonts w:ascii="宋体" w:hAnsi="宋体" w:cs="宋体"/>
                <w:kern w:val="0"/>
              </w:rPr>
            </w:pPr>
          </w:p>
        </w:tc>
        <w:tc>
          <w:tcPr>
            <w:tcW w:w="749" w:type="pct"/>
            <w:vMerge w:val="continue"/>
            <w:vAlign w:val="center"/>
          </w:tcPr>
          <w:p w14:paraId="60E9B28B">
            <w:pPr>
              <w:widowControl/>
              <w:jc w:val="left"/>
              <w:rPr>
                <w:rFonts w:ascii="宋体" w:hAnsi="宋体" w:cs="宋体"/>
                <w:kern w:val="0"/>
              </w:rPr>
            </w:pPr>
          </w:p>
        </w:tc>
        <w:tc>
          <w:tcPr>
            <w:tcW w:w="3772" w:type="pct"/>
            <w:vAlign w:val="center"/>
          </w:tcPr>
          <w:p w14:paraId="159A22D6">
            <w:pPr>
              <w:widowControl/>
              <w:snapToGrid w:val="0"/>
              <w:rPr>
                <w:rFonts w:ascii="宋体" w:hAnsi="宋体" w:cs="宋体"/>
                <w:kern w:val="0"/>
              </w:rPr>
            </w:pPr>
            <w:r>
              <w:rPr>
                <w:rFonts w:hint="eastAsia" w:ascii="宋体" w:hAnsi="宋体" w:cs="宋体"/>
                <w:kern w:val="0"/>
              </w:rPr>
              <w:t>支持教员档案汇总生涯页面，在一个页面中显示师资档案综合信息。支持将师资档案直接导出生成在一份word文档中。</w:t>
            </w:r>
          </w:p>
        </w:tc>
      </w:tr>
      <w:tr w14:paraId="377F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8" w:type="pct"/>
            <w:vMerge w:val="continue"/>
            <w:vAlign w:val="center"/>
          </w:tcPr>
          <w:p w14:paraId="23F81429">
            <w:pPr>
              <w:widowControl/>
              <w:jc w:val="center"/>
              <w:rPr>
                <w:rFonts w:ascii="宋体" w:hAnsi="宋体" w:cs="宋体"/>
                <w:kern w:val="0"/>
              </w:rPr>
            </w:pPr>
          </w:p>
        </w:tc>
        <w:tc>
          <w:tcPr>
            <w:tcW w:w="749" w:type="pct"/>
            <w:vAlign w:val="center"/>
          </w:tcPr>
          <w:p w14:paraId="5F0F56C1">
            <w:pPr>
              <w:widowControl/>
              <w:jc w:val="left"/>
              <w:rPr>
                <w:rFonts w:ascii="宋体" w:hAnsi="宋体" w:cs="宋体"/>
                <w:kern w:val="0"/>
              </w:rPr>
            </w:pPr>
            <w:r>
              <w:rPr>
                <w:rFonts w:hint="eastAsia" w:ascii="宋体" w:hAnsi="宋体" w:cs="宋体"/>
                <w:color w:val="000000"/>
                <w:kern w:val="0"/>
                <w:lang w:bidi="ar"/>
              </w:rPr>
              <w:t>审核常用语管理</w:t>
            </w:r>
          </w:p>
        </w:tc>
        <w:tc>
          <w:tcPr>
            <w:tcW w:w="3772" w:type="pct"/>
            <w:vAlign w:val="center"/>
          </w:tcPr>
          <w:p w14:paraId="57B7CC31">
            <w:pPr>
              <w:widowControl/>
              <w:snapToGrid w:val="0"/>
              <w:rPr>
                <w:rFonts w:ascii="宋体" w:hAnsi="宋体" w:cs="宋体"/>
                <w:kern w:val="0"/>
              </w:rPr>
            </w:pPr>
            <w:r>
              <w:rPr>
                <w:rFonts w:hint="eastAsia" w:ascii="宋体" w:hAnsi="宋体" w:cs="宋体"/>
                <w:color w:val="000000"/>
                <w:kern w:val="0"/>
                <w:lang w:bidi="ar"/>
              </w:rPr>
              <w:t>支持审核常用语配置及使用。管理人员可按照不同业务模块配置各自的审核常用语，在审核时可一键选择并使用，并能按照使用频度自动调整显示顺序。</w:t>
            </w:r>
          </w:p>
        </w:tc>
      </w:tr>
      <w:tr w14:paraId="434B5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8" w:type="pct"/>
            <w:vMerge w:val="continue"/>
            <w:vAlign w:val="center"/>
          </w:tcPr>
          <w:p w14:paraId="4C6CA0D6">
            <w:pPr>
              <w:widowControl/>
              <w:jc w:val="center"/>
              <w:rPr>
                <w:rFonts w:ascii="宋体" w:hAnsi="宋体" w:cs="宋体"/>
                <w:kern w:val="0"/>
              </w:rPr>
            </w:pPr>
          </w:p>
        </w:tc>
        <w:tc>
          <w:tcPr>
            <w:tcW w:w="749" w:type="pct"/>
            <w:vAlign w:val="center"/>
          </w:tcPr>
          <w:p w14:paraId="2B876E85">
            <w:pPr>
              <w:widowControl/>
              <w:jc w:val="left"/>
              <w:rPr>
                <w:rFonts w:ascii="宋体" w:hAnsi="宋体" w:cs="宋体"/>
                <w:kern w:val="0"/>
              </w:rPr>
            </w:pPr>
            <w:r>
              <w:rPr>
                <w:rFonts w:hint="eastAsia" w:ascii="宋体" w:hAnsi="宋体" w:cs="宋体"/>
                <w:kern w:val="0"/>
              </w:rPr>
              <w:t>人员统计报表</w:t>
            </w:r>
          </w:p>
        </w:tc>
        <w:tc>
          <w:tcPr>
            <w:tcW w:w="3772" w:type="pct"/>
            <w:vAlign w:val="center"/>
          </w:tcPr>
          <w:p w14:paraId="0D233327">
            <w:pPr>
              <w:widowControl/>
              <w:snapToGrid w:val="0"/>
              <w:rPr>
                <w:rFonts w:ascii="宋体" w:hAnsi="宋体" w:cs="宋体"/>
                <w:kern w:val="0"/>
              </w:rPr>
            </w:pPr>
            <w:r>
              <w:rPr>
                <w:rFonts w:hint="eastAsia" w:ascii="宋体" w:hAnsi="宋体" w:cs="宋体"/>
                <w:kern w:val="0"/>
              </w:rPr>
              <w:t>支持各类人员统计报表，需支持统计在岗的学员人数、师资人数，能按月显示人员进出和变化情况，支持汇总学员的轮转生涯统计，汇总师资的带教生涯统计。</w:t>
            </w:r>
          </w:p>
        </w:tc>
      </w:tr>
      <w:tr w14:paraId="6802C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8" w:type="pct"/>
            <w:vMerge w:val="continue"/>
            <w:vAlign w:val="center"/>
          </w:tcPr>
          <w:p w14:paraId="2459E418">
            <w:pPr>
              <w:widowControl/>
              <w:jc w:val="center"/>
              <w:rPr>
                <w:rFonts w:ascii="宋体" w:hAnsi="宋体" w:cs="宋体"/>
                <w:kern w:val="0"/>
              </w:rPr>
            </w:pPr>
          </w:p>
        </w:tc>
        <w:tc>
          <w:tcPr>
            <w:tcW w:w="749" w:type="pct"/>
            <w:vAlign w:val="center"/>
          </w:tcPr>
          <w:p w14:paraId="541923A4">
            <w:pPr>
              <w:widowControl/>
              <w:jc w:val="left"/>
              <w:rPr>
                <w:rFonts w:ascii="宋体" w:hAnsi="宋体" w:cs="宋体"/>
                <w:kern w:val="0"/>
              </w:rPr>
            </w:pPr>
            <w:r>
              <w:rPr>
                <w:rFonts w:hint="eastAsia" w:ascii="宋体" w:hAnsi="宋体" w:cs="宋体"/>
                <w:kern w:val="0"/>
              </w:rPr>
              <w:t>责导申请</w:t>
            </w:r>
          </w:p>
        </w:tc>
        <w:tc>
          <w:tcPr>
            <w:tcW w:w="3772" w:type="pct"/>
            <w:vAlign w:val="center"/>
          </w:tcPr>
          <w:p w14:paraId="0B73B8C3">
            <w:pPr>
              <w:widowControl/>
              <w:snapToGrid w:val="0"/>
              <w:rPr>
                <w:rFonts w:ascii="宋体" w:hAnsi="宋体" w:cs="宋体"/>
                <w:kern w:val="0"/>
              </w:rPr>
            </w:pPr>
            <w:r>
              <w:rPr>
                <w:rFonts w:hint="eastAsia" w:ascii="宋体" w:hAnsi="宋体" w:cs="宋体"/>
                <w:kern w:val="0"/>
              </w:rPr>
              <w:t>支持学员自行申请责任导师，支持申请优先第一人、顺位第二人，支持调剂，可统计各个导师的申请热度。</w:t>
            </w:r>
          </w:p>
        </w:tc>
      </w:tr>
      <w:tr w14:paraId="255DD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78" w:type="pct"/>
            <w:vMerge w:val="restart"/>
            <w:vAlign w:val="center"/>
          </w:tcPr>
          <w:p w14:paraId="37837B7F">
            <w:pPr>
              <w:widowControl/>
              <w:jc w:val="center"/>
              <w:rPr>
                <w:rFonts w:ascii="宋体" w:hAnsi="宋体" w:cs="宋体"/>
                <w:kern w:val="0"/>
              </w:rPr>
            </w:pPr>
            <w:r>
              <w:rPr>
                <w:rFonts w:hint="eastAsia" w:ascii="宋体" w:hAnsi="宋体" w:cs="宋体"/>
                <w:kern w:val="0"/>
              </w:rPr>
              <w:t>轮转管理</w:t>
            </w:r>
          </w:p>
        </w:tc>
        <w:tc>
          <w:tcPr>
            <w:tcW w:w="749" w:type="pct"/>
            <w:vMerge w:val="restart"/>
            <w:vAlign w:val="center"/>
          </w:tcPr>
          <w:p w14:paraId="77244931">
            <w:pPr>
              <w:widowControl/>
              <w:jc w:val="left"/>
              <w:rPr>
                <w:rFonts w:ascii="宋体" w:hAnsi="宋体" w:cs="宋体"/>
                <w:kern w:val="0"/>
              </w:rPr>
            </w:pPr>
            <w:r>
              <w:rPr>
                <w:rFonts w:hint="eastAsia" w:ascii="宋体" w:hAnsi="宋体" w:cs="宋体"/>
                <w:kern w:val="0"/>
              </w:rPr>
              <w:t>轮转设置</w:t>
            </w:r>
          </w:p>
        </w:tc>
        <w:tc>
          <w:tcPr>
            <w:tcW w:w="3772" w:type="pct"/>
            <w:vAlign w:val="center"/>
          </w:tcPr>
          <w:p w14:paraId="7BE8E89E">
            <w:pPr>
              <w:widowControl/>
              <w:snapToGrid w:val="0"/>
              <w:rPr>
                <w:rFonts w:ascii="宋体" w:hAnsi="宋体" w:cs="宋体"/>
                <w:kern w:val="0"/>
              </w:rPr>
            </w:pPr>
            <w:r>
              <w:rPr>
                <w:rFonts w:hint="eastAsia" w:ascii="宋体" w:hAnsi="宋体" w:cs="宋体"/>
                <w:kern w:val="0"/>
              </w:rPr>
              <w:t>系统内置国家轮转大纲及细则模块，支持不同参培年份的学员使用不同标准，可适配国家、省及自定义培训细则内容</w:t>
            </w:r>
          </w:p>
        </w:tc>
      </w:tr>
      <w:tr w14:paraId="53B90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78" w:type="pct"/>
            <w:vMerge w:val="continue"/>
            <w:vAlign w:val="center"/>
          </w:tcPr>
          <w:p w14:paraId="3FF17B66">
            <w:pPr>
              <w:widowControl/>
              <w:jc w:val="center"/>
              <w:rPr>
                <w:rFonts w:ascii="宋体" w:hAnsi="宋体" w:cs="宋体"/>
                <w:kern w:val="0"/>
              </w:rPr>
            </w:pPr>
          </w:p>
        </w:tc>
        <w:tc>
          <w:tcPr>
            <w:tcW w:w="749" w:type="pct"/>
            <w:vMerge w:val="continue"/>
            <w:vAlign w:val="center"/>
          </w:tcPr>
          <w:p w14:paraId="2176E483">
            <w:pPr>
              <w:widowControl/>
              <w:jc w:val="left"/>
              <w:rPr>
                <w:rFonts w:ascii="宋体" w:hAnsi="宋体" w:cs="宋体"/>
                <w:kern w:val="0"/>
              </w:rPr>
            </w:pPr>
          </w:p>
        </w:tc>
        <w:tc>
          <w:tcPr>
            <w:tcW w:w="3772" w:type="pct"/>
            <w:vAlign w:val="center"/>
          </w:tcPr>
          <w:p w14:paraId="26F7F2B0">
            <w:pPr>
              <w:widowControl/>
              <w:snapToGrid w:val="0"/>
              <w:rPr>
                <w:rFonts w:ascii="宋体" w:hAnsi="宋体" w:cs="宋体"/>
                <w:kern w:val="0"/>
              </w:rPr>
            </w:pPr>
            <w:r>
              <w:rPr>
                <w:rFonts w:hint="eastAsia" w:ascii="宋体" w:hAnsi="宋体" w:cs="宋体"/>
                <w:kern w:val="0"/>
              </w:rPr>
              <w:t>系统内置西医2022国家标准、西医2014国家标准、西医2020重症医学科标准、西医2020助理全科国家标准、西医2019全科标准、西医2019全科转岗标准</w:t>
            </w:r>
          </w:p>
        </w:tc>
      </w:tr>
      <w:tr w14:paraId="253E3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78" w:type="pct"/>
            <w:vMerge w:val="continue"/>
            <w:vAlign w:val="center"/>
          </w:tcPr>
          <w:p w14:paraId="738CE96C">
            <w:pPr>
              <w:widowControl/>
              <w:jc w:val="center"/>
              <w:rPr>
                <w:rFonts w:ascii="宋体" w:hAnsi="宋体" w:cs="宋体"/>
                <w:kern w:val="0"/>
              </w:rPr>
            </w:pPr>
          </w:p>
        </w:tc>
        <w:tc>
          <w:tcPr>
            <w:tcW w:w="749" w:type="pct"/>
            <w:vMerge w:val="continue"/>
            <w:vAlign w:val="center"/>
          </w:tcPr>
          <w:p w14:paraId="54726A59">
            <w:pPr>
              <w:widowControl/>
              <w:jc w:val="left"/>
              <w:rPr>
                <w:rFonts w:ascii="宋体" w:hAnsi="宋体" w:cs="宋体"/>
                <w:kern w:val="0"/>
              </w:rPr>
            </w:pPr>
          </w:p>
        </w:tc>
        <w:tc>
          <w:tcPr>
            <w:tcW w:w="3772" w:type="pct"/>
            <w:vAlign w:val="center"/>
          </w:tcPr>
          <w:p w14:paraId="4F7C0A1B">
            <w:pPr>
              <w:widowControl/>
              <w:snapToGrid w:val="0"/>
              <w:rPr>
                <w:rFonts w:ascii="宋体" w:hAnsi="宋体" w:cs="宋体"/>
                <w:kern w:val="0"/>
              </w:rPr>
            </w:pPr>
            <w:r>
              <w:rPr>
                <w:rFonts w:hint="eastAsia" w:ascii="宋体" w:hAnsi="宋体" w:cs="宋体"/>
                <w:kern w:val="0"/>
              </w:rPr>
              <w:t>智能排班：系统内置智能排版模块，支持按周/半月/月进行轮转排班；支持结合轮转排班模板、科室负载情况自动排班。支持排班结果微调后再发布，支持备份/还原/调整排班结果，支持批量调整后一次性发布。</w:t>
            </w:r>
          </w:p>
        </w:tc>
      </w:tr>
      <w:tr w14:paraId="5E64D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78" w:type="pct"/>
            <w:vMerge w:val="continue"/>
            <w:vAlign w:val="center"/>
          </w:tcPr>
          <w:p w14:paraId="085BFB78">
            <w:pPr>
              <w:widowControl/>
              <w:jc w:val="center"/>
              <w:rPr>
                <w:rFonts w:ascii="宋体" w:hAnsi="宋体" w:cs="宋体"/>
                <w:kern w:val="0"/>
              </w:rPr>
            </w:pPr>
          </w:p>
        </w:tc>
        <w:tc>
          <w:tcPr>
            <w:tcW w:w="749" w:type="pct"/>
            <w:vMerge w:val="continue"/>
            <w:vAlign w:val="center"/>
          </w:tcPr>
          <w:p w14:paraId="5CA36470">
            <w:pPr>
              <w:widowControl/>
              <w:jc w:val="left"/>
              <w:rPr>
                <w:rFonts w:ascii="宋体" w:hAnsi="宋体" w:cs="宋体"/>
                <w:kern w:val="0"/>
              </w:rPr>
            </w:pPr>
          </w:p>
        </w:tc>
        <w:tc>
          <w:tcPr>
            <w:tcW w:w="3772" w:type="pct"/>
            <w:vAlign w:val="center"/>
          </w:tcPr>
          <w:p w14:paraId="0375F15D">
            <w:pPr>
              <w:widowControl/>
              <w:snapToGrid w:val="0"/>
              <w:rPr>
                <w:rFonts w:ascii="宋体" w:hAnsi="宋体" w:cs="宋体"/>
                <w:kern w:val="0"/>
              </w:rPr>
            </w:pPr>
            <w:r>
              <w:rPr>
                <w:rFonts w:hint="eastAsia" w:ascii="宋体" w:hAnsi="宋体" w:cs="宋体"/>
                <w:kern w:val="0"/>
              </w:rPr>
              <w:t>支持按专业创建单独的轮转排班模板，支持多专业同时排班。</w:t>
            </w:r>
          </w:p>
        </w:tc>
      </w:tr>
      <w:tr w14:paraId="1258A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8" w:type="pct"/>
            <w:vMerge w:val="continue"/>
            <w:vAlign w:val="center"/>
          </w:tcPr>
          <w:p w14:paraId="05CA0D51">
            <w:pPr>
              <w:widowControl/>
              <w:jc w:val="center"/>
              <w:rPr>
                <w:rFonts w:ascii="宋体" w:hAnsi="宋体" w:cs="宋体"/>
                <w:kern w:val="0"/>
              </w:rPr>
            </w:pPr>
          </w:p>
        </w:tc>
        <w:tc>
          <w:tcPr>
            <w:tcW w:w="749" w:type="pct"/>
            <w:vMerge w:val="continue"/>
            <w:vAlign w:val="center"/>
          </w:tcPr>
          <w:p w14:paraId="43288B9C">
            <w:pPr>
              <w:widowControl/>
              <w:jc w:val="left"/>
              <w:rPr>
                <w:rFonts w:ascii="宋体" w:hAnsi="宋体" w:cs="宋体"/>
                <w:kern w:val="0"/>
              </w:rPr>
            </w:pPr>
          </w:p>
        </w:tc>
        <w:tc>
          <w:tcPr>
            <w:tcW w:w="3772" w:type="pct"/>
            <w:noWrap/>
            <w:vAlign w:val="center"/>
          </w:tcPr>
          <w:p w14:paraId="0318980A">
            <w:pPr>
              <w:widowControl/>
              <w:snapToGrid w:val="0"/>
              <w:rPr>
                <w:rFonts w:ascii="宋体" w:hAnsi="宋体" w:cs="宋体"/>
                <w:kern w:val="0"/>
              </w:rPr>
            </w:pPr>
            <w:r>
              <w:rPr>
                <w:rFonts w:hint="eastAsia" w:ascii="宋体" w:hAnsi="宋体" w:cs="宋体"/>
                <w:kern w:val="0"/>
              </w:rPr>
              <w:t>支持轮转计划批量导入，支持横排轮转计划格式导入，支持竖排轮转计划格式导入，支持导入时由用户自行选择是否覆盖亦或清除，支持导入时由用户自行确定是否需要合并相同的轮转计划为一条。</w:t>
            </w:r>
          </w:p>
        </w:tc>
      </w:tr>
      <w:tr w14:paraId="107F8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8" w:type="pct"/>
            <w:vMerge w:val="continue"/>
            <w:vAlign w:val="center"/>
          </w:tcPr>
          <w:p w14:paraId="5B290CA9">
            <w:pPr>
              <w:widowControl/>
              <w:jc w:val="center"/>
              <w:rPr>
                <w:rFonts w:ascii="宋体" w:hAnsi="宋体" w:cs="宋体"/>
                <w:kern w:val="0"/>
              </w:rPr>
            </w:pPr>
          </w:p>
        </w:tc>
        <w:tc>
          <w:tcPr>
            <w:tcW w:w="749" w:type="pct"/>
            <w:vMerge w:val="restart"/>
            <w:vAlign w:val="center"/>
          </w:tcPr>
          <w:p w14:paraId="32BBB82A">
            <w:pPr>
              <w:widowControl/>
              <w:jc w:val="left"/>
              <w:rPr>
                <w:rFonts w:ascii="宋体" w:hAnsi="宋体" w:cs="宋体"/>
                <w:kern w:val="0"/>
              </w:rPr>
            </w:pPr>
            <w:r>
              <w:rPr>
                <w:rFonts w:hint="eastAsia" w:ascii="宋体" w:hAnsi="宋体" w:cs="宋体"/>
                <w:kern w:val="0"/>
              </w:rPr>
              <w:t>轮转管理</w:t>
            </w:r>
          </w:p>
        </w:tc>
        <w:tc>
          <w:tcPr>
            <w:tcW w:w="3772" w:type="pct"/>
            <w:vAlign w:val="center"/>
          </w:tcPr>
          <w:p w14:paraId="7DE8A014">
            <w:pPr>
              <w:widowControl/>
              <w:snapToGrid w:val="0"/>
              <w:rPr>
                <w:rFonts w:ascii="宋体" w:hAnsi="宋体" w:cs="宋体"/>
                <w:kern w:val="0"/>
              </w:rPr>
            </w:pPr>
            <w:r>
              <w:rPr>
                <w:rFonts w:hint="eastAsia" w:ascii="宋体" w:hAnsi="宋体" w:cs="宋体"/>
                <w:kern w:val="0"/>
              </w:rPr>
              <w:t>管理人员可管理和维护学员的轮转计划，可按照开始和结束时间、科室、学生类型及轮转状态对科室当前人数进行查询和统计。</w:t>
            </w:r>
          </w:p>
        </w:tc>
      </w:tr>
      <w:tr w14:paraId="7DC5C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8" w:type="pct"/>
            <w:vMerge w:val="continue"/>
            <w:vAlign w:val="center"/>
          </w:tcPr>
          <w:p w14:paraId="0E4D1232">
            <w:pPr>
              <w:widowControl/>
              <w:jc w:val="center"/>
              <w:rPr>
                <w:rFonts w:ascii="宋体" w:hAnsi="宋体" w:cs="宋体"/>
                <w:kern w:val="0"/>
              </w:rPr>
            </w:pPr>
          </w:p>
        </w:tc>
        <w:tc>
          <w:tcPr>
            <w:tcW w:w="749" w:type="pct"/>
            <w:vMerge w:val="continue"/>
            <w:vAlign w:val="center"/>
          </w:tcPr>
          <w:p w14:paraId="2D565E11">
            <w:pPr>
              <w:widowControl/>
              <w:jc w:val="left"/>
              <w:rPr>
                <w:rFonts w:ascii="宋体" w:hAnsi="宋体" w:cs="宋体"/>
                <w:kern w:val="0"/>
              </w:rPr>
            </w:pPr>
          </w:p>
        </w:tc>
        <w:tc>
          <w:tcPr>
            <w:tcW w:w="3772" w:type="pct"/>
            <w:vAlign w:val="center"/>
          </w:tcPr>
          <w:p w14:paraId="2D431267">
            <w:pPr>
              <w:widowControl/>
              <w:snapToGrid w:val="0"/>
              <w:rPr>
                <w:rFonts w:ascii="宋体" w:hAnsi="宋体" w:cs="宋体"/>
                <w:kern w:val="0"/>
              </w:rPr>
            </w:pPr>
            <w:r>
              <w:rPr>
                <w:rFonts w:hint="eastAsia" w:ascii="宋体" w:hAnsi="宋体" w:cs="宋体"/>
                <w:kern w:val="0"/>
              </w:rPr>
              <w:t>支持按周、按半月、按月、分阶段生成或导入轮转计划。支持开关配置是否允许学员或带教老师看到未来的轮转计划。支持查看轮转计划的所有变动历史记录。支持将一批轮转计划归组到一个轮转表，支持轮转计划拆分、合并。</w:t>
            </w:r>
          </w:p>
        </w:tc>
      </w:tr>
      <w:tr w14:paraId="71FBF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8" w:type="pct"/>
            <w:vMerge w:val="continue"/>
            <w:vAlign w:val="center"/>
          </w:tcPr>
          <w:p w14:paraId="2495B47B">
            <w:pPr>
              <w:widowControl/>
              <w:jc w:val="center"/>
              <w:rPr>
                <w:rFonts w:ascii="宋体" w:hAnsi="宋体" w:cs="宋体"/>
                <w:kern w:val="0"/>
              </w:rPr>
            </w:pPr>
          </w:p>
        </w:tc>
        <w:tc>
          <w:tcPr>
            <w:tcW w:w="749" w:type="pct"/>
            <w:vMerge w:val="continue"/>
            <w:vAlign w:val="center"/>
          </w:tcPr>
          <w:p w14:paraId="4D99AFD4">
            <w:pPr>
              <w:widowControl/>
              <w:jc w:val="left"/>
              <w:rPr>
                <w:rFonts w:ascii="宋体" w:hAnsi="宋体" w:cs="宋体"/>
                <w:kern w:val="0"/>
              </w:rPr>
            </w:pPr>
          </w:p>
        </w:tc>
        <w:tc>
          <w:tcPr>
            <w:tcW w:w="3772" w:type="pct"/>
            <w:vAlign w:val="center"/>
          </w:tcPr>
          <w:p w14:paraId="735F47D6">
            <w:pPr>
              <w:widowControl/>
              <w:snapToGrid w:val="0"/>
              <w:rPr>
                <w:rFonts w:ascii="宋体" w:hAnsi="宋体" w:cs="宋体"/>
                <w:kern w:val="0"/>
              </w:rPr>
            </w:pPr>
            <w:r>
              <w:rPr>
                <w:rFonts w:hint="eastAsia" w:ascii="宋体" w:hAnsi="宋体" w:cs="宋体"/>
                <w:kern w:val="0"/>
              </w:rPr>
              <w:t>支持按月度、按时点查询出、入科人员名单，可统计科室有哪些学员即将出科，用于教学秘书可提前准备和组织出、入科业务。</w:t>
            </w:r>
          </w:p>
        </w:tc>
      </w:tr>
      <w:tr w14:paraId="065DD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8" w:type="pct"/>
            <w:vMerge w:val="continue"/>
            <w:vAlign w:val="center"/>
          </w:tcPr>
          <w:p w14:paraId="6FD33F10">
            <w:pPr>
              <w:widowControl/>
              <w:jc w:val="center"/>
              <w:rPr>
                <w:rFonts w:ascii="宋体" w:hAnsi="宋体" w:cs="宋体"/>
                <w:kern w:val="0"/>
              </w:rPr>
            </w:pPr>
          </w:p>
        </w:tc>
        <w:tc>
          <w:tcPr>
            <w:tcW w:w="749" w:type="pct"/>
            <w:vMerge w:val="continue"/>
            <w:vAlign w:val="center"/>
          </w:tcPr>
          <w:p w14:paraId="67C27A5D">
            <w:pPr>
              <w:widowControl/>
              <w:jc w:val="left"/>
              <w:rPr>
                <w:rFonts w:ascii="宋体" w:hAnsi="宋体" w:cs="宋体"/>
                <w:kern w:val="0"/>
              </w:rPr>
            </w:pPr>
          </w:p>
        </w:tc>
        <w:tc>
          <w:tcPr>
            <w:tcW w:w="3772" w:type="pct"/>
            <w:vAlign w:val="center"/>
          </w:tcPr>
          <w:p w14:paraId="2A013AA7">
            <w:pPr>
              <w:widowControl/>
              <w:snapToGrid w:val="0"/>
              <w:rPr>
                <w:rFonts w:ascii="宋体" w:hAnsi="宋体" w:cs="宋体"/>
                <w:kern w:val="0"/>
              </w:rPr>
            </w:pPr>
            <w:r>
              <w:rPr>
                <w:rFonts w:hint="eastAsia" w:ascii="宋体" w:hAnsi="宋体" w:cs="宋体"/>
                <w:color w:val="000000"/>
                <w:kern w:val="0"/>
                <w:lang w:bidi="ar"/>
              </w:rPr>
              <w:t>轮转计划支持</w:t>
            </w:r>
            <w:r>
              <w:rPr>
                <w:rFonts w:ascii="宋体" w:hAnsi="宋体" w:cs="宋体"/>
                <w:color w:val="000000"/>
                <w:kern w:val="0"/>
                <w:lang w:bidi="ar"/>
              </w:rPr>
              <w:t>标记为</w:t>
            </w:r>
            <w:r>
              <w:rPr>
                <w:rFonts w:hint="eastAsia" w:ascii="宋体" w:hAnsi="宋体" w:cs="宋体"/>
                <w:color w:val="000000"/>
                <w:kern w:val="0"/>
                <w:lang w:bidi="ar"/>
              </w:rPr>
              <w:t>机动</w:t>
            </w:r>
            <w:r>
              <w:rPr>
                <w:rFonts w:ascii="宋体" w:hAnsi="宋体" w:cs="宋体"/>
                <w:color w:val="000000"/>
                <w:kern w:val="0"/>
                <w:lang w:bidi="ar"/>
              </w:rPr>
              <w:t>轮转计划，标记是否是</w:t>
            </w:r>
            <w:r>
              <w:rPr>
                <w:rFonts w:hint="eastAsia" w:ascii="宋体" w:hAnsi="宋体" w:cs="宋体"/>
                <w:color w:val="000000"/>
                <w:kern w:val="0"/>
                <w:lang w:bidi="ar"/>
              </w:rPr>
              <w:t>外院轮转</w:t>
            </w:r>
            <w:r>
              <w:rPr>
                <w:rFonts w:ascii="宋体" w:hAnsi="宋体" w:cs="宋体"/>
                <w:color w:val="000000"/>
                <w:kern w:val="0"/>
                <w:lang w:bidi="ar"/>
              </w:rPr>
              <w:t>的轮转计划</w:t>
            </w:r>
          </w:p>
        </w:tc>
      </w:tr>
      <w:tr w14:paraId="406D2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8" w:type="pct"/>
            <w:vMerge w:val="continue"/>
            <w:vAlign w:val="center"/>
          </w:tcPr>
          <w:p w14:paraId="6E58C2F8">
            <w:pPr>
              <w:widowControl/>
              <w:jc w:val="center"/>
              <w:rPr>
                <w:rFonts w:ascii="宋体" w:hAnsi="宋体" w:cs="宋体"/>
                <w:kern w:val="0"/>
              </w:rPr>
            </w:pPr>
          </w:p>
        </w:tc>
        <w:tc>
          <w:tcPr>
            <w:tcW w:w="749" w:type="pct"/>
            <w:vMerge w:val="continue"/>
            <w:vAlign w:val="center"/>
          </w:tcPr>
          <w:p w14:paraId="2F4C9490">
            <w:pPr>
              <w:widowControl/>
              <w:jc w:val="left"/>
              <w:rPr>
                <w:rFonts w:ascii="宋体" w:hAnsi="宋体" w:cs="宋体"/>
                <w:kern w:val="0"/>
              </w:rPr>
            </w:pPr>
          </w:p>
        </w:tc>
        <w:tc>
          <w:tcPr>
            <w:tcW w:w="3772" w:type="pct"/>
            <w:vAlign w:val="center"/>
          </w:tcPr>
          <w:p w14:paraId="2F923FE2">
            <w:pPr>
              <w:widowControl/>
              <w:snapToGrid w:val="0"/>
              <w:rPr>
                <w:rFonts w:ascii="宋体" w:hAnsi="宋体" w:cs="宋体"/>
                <w:color w:val="000000"/>
                <w:kern w:val="0"/>
                <w:lang w:bidi="ar"/>
              </w:rPr>
            </w:pPr>
            <w:r>
              <w:rPr>
                <w:rFonts w:hint="eastAsia" w:ascii="宋体" w:hAnsi="宋体" w:cs="宋体"/>
                <w:color w:val="000000"/>
                <w:kern w:val="0"/>
                <w:lang w:bidi="ar"/>
              </w:rPr>
              <w:t>支持微调轮转计划，通过上下移或拖拽方式进行调整，支持批量生效，微调完毕未保存之前即可预查询调整后产生的效果，体现对科室轮转人数及是否超容量的影响。支持轮转计划拆分、合并。</w:t>
            </w:r>
          </w:p>
        </w:tc>
      </w:tr>
      <w:tr w14:paraId="19E77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8" w:type="pct"/>
            <w:vMerge w:val="continue"/>
            <w:vAlign w:val="center"/>
          </w:tcPr>
          <w:p w14:paraId="0446F975">
            <w:pPr>
              <w:widowControl/>
              <w:jc w:val="center"/>
              <w:rPr>
                <w:rFonts w:ascii="宋体" w:hAnsi="宋体" w:cs="宋体"/>
                <w:kern w:val="0"/>
              </w:rPr>
            </w:pPr>
          </w:p>
        </w:tc>
        <w:tc>
          <w:tcPr>
            <w:tcW w:w="749" w:type="pct"/>
            <w:vMerge w:val="continue"/>
            <w:vAlign w:val="center"/>
          </w:tcPr>
          <w:p w14:paraId="27C04374">
            <w:pPr>
              <w:widowControl/>
              <w:jc w:val="left"/>
              <w:rPr>
                <w:rFonts w:ascii="宋体" w:hAnsi="宋体" w:cs="宋体"/>
                <w:kern w:val="0"/>
              </w:rPr>
            </w:pPr>
          </w:p>
        </w:tc>
        <w:tc>
          <w:tcPr>
            <w:tcW w:w="3772" w:type="pct"/>
            <w:vAlign w:val="center"/>
          </w:tcPr>
          <w:p w14:paraId="2BE48CBC">
            <w:pPr>
              <w:widowControl/>
              <w:snapToGrid w:val="0"/>
              <w:rPr>
                <w:rFonts w:ascii="宋体" w:hAnsi="宋体" w:cs="宋体"/>
                <w:kern w:val="0"/>
              </w:rPr>
            </w:pPr>
            <w:r>
              <w:rPr>
                <w:rFonts w:hint="eastAsia" w:ascii="宋体" w:hAnsi="宋体" w:cs="宋体"/>
                <w:kern w:val="0"/>
              </w:rPr>
              <w:t>支持学员轮转过程中阶段出科。</w:t>
            </w:r>
          </w:p>
        </w:tc>
      </w:tr>
      <w:tr w14:paraId="54E45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8" w:type="pct"/>
            <w:vMerge w:val="continue"/>
            <w:vAlign w:val="center"/>
          </w:tcPr>
          <w:p w14:paraId="2AD0A7AD">
            <w:pPr>
              <w:widowControl/>
              <w:jc w:val="center"/>
              <w:rPr>
                <w:rFonts w:ascii="宋体" w:hAnsi="宋体" w:cs="宋体"/>
                <w:kern w:val="0"/>
              </w:rPr>
            </w:pPr>
          </w:p>
        </w:tc>
        <w:tc>
          <w:tcPr>
            <w:tcW w:w="749" w:type="pct"/>
            <w:vMerge w:val="continue"/>
            <w:vAlign w:val="center"/>
          </w:tcPr>
          <w:p w14:paraId="12BC413B">
            <w:pPr>
              <w:widowControl/>
              <w:jc w:val="left"/>
              <w:rPr>
                <w:rFonts w:ascii="宋体" w:hAnsi="宋体" w:cs="宋体"/>
                <w:kern w:val="0"/>
              </w:rPr>
            </w:pPr>
          </w:p>
        </w:tc>
        <w:tc>
          <w:tcPr>
            <w:tcW w:w="3772" w:type="pct"/>
            <w:vAlign w:val="center"/>
          </w:tcPr>
          <w:p w14:paraId="263DDD83">
            <w:pPr>
              <w:widowControl/>
              <w:snapToGrid w:val="0"/>
              <w:rPr>
                <w:rFonts w:ascii="宋体" w:hAnsi="宋体" w:cs="宋体"/>
                <w:kern w:val="0"/>
              </w:rPr>
            </w:pPr>
            <w:r>
              <w:rPr>
                <w:rFonts w:ascii="宋体" w:hAnsi="宋体" w:cs="宋体"/>
                <w:color w:val="000000"/>
                <w:kern w:val="0"/>
                <w:lang w:bidi="ar"/>
              </w:rPr>
              <w:t>支持自行配置出科的各类成绩项，可设置成绩项是否使用、是否必填才允许出科。支持设置成绩项权重，支持按权重自动计算出科总成绩。支持设置自定义成绩项</w:t>
            </w:r>
            <w:r>
              <w:rPr>
                <w:rFonts w:hint="eastAsia" w:ascii="宋体" w:hAnsi="宋体" w:cs="宋体"/>
                <w:color w:val="000000"/>
                <w:kern w:val="0"/>
                <w:lang w:bidi="ar"/>
              </w:rPr>
              <w:t>，</w:t>
            </w:r>
            <w:r>
              <w:rPr>
                <w:rFonts w:hint="eastAsia" w:ascii="宋体" w:hAnsi="宋体" w:cs="宋体"/>
                <w:kern w:val="0"/>
              </w:rPr>
              <w:t>学员综合成绩只显示启用的成绩项，出科鉴定表能直观实时体现自定义成绩项</w:t>
            </w:r>
          </w:p>
        </w:tc>
      </w:tr>
      <w:tr w14:paraId="7807D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8" w:type="pct"/>
            <w:vMerge w:val="continue"/>
            <w:vAlign w:val="center"/>
          </w:tcPr>
          <w:p w14:paraId="1E5B0612">
            <w:pPr>
              <w:widowControl/>
              <w:jc w:val="center"/>
              <w:rPr>
                <w:rFonts w:ascii="宋体" w:hAnsi="宋体" w:cs="宋体"/>
                <w:kern w:val="0"/>
              </w:rPr>
            </w:pPr>
          </w:p>
        </w:tc>
        <w:tc>
          <w:tcPr>
            <w:tcW w:w="749" w:type="pct"/>
            <w:vMerge w:val="continue"/>
            <w:vAlign w:val="center"/>
          </w:tcPr>
          <w:p w14:paraId="6A5CEB03">
            <w:pPr>
              <w:widowControl/>
              <w:jc w:val="left"/>
              <w:rPr>
                <w:rFonts w:ascii="宋体" w:hAnsi="宋体" w:cs="宋体"/>
                <w:kern w:val="0"/>
              </w:rPr>
            </w:pPr>
          </w:p>
        </w:tc>
        <w:tc>
          <w:tcPr>
            <w:tcW w:w="3772" w:type="pct"/>
            <w:vAlign w:val="center"/>
          </w:tcPr>
          <w:p w14:paraId="7D77CECC">
            <w:pPr>
              <w:widowControl/>
              <w:snapToGrid w:val="0"/>
              <w:rPr>
                <w:rFonts w:ascii="宋体" w:hAnsi="宋体" w:cs="宋体"/>
                <w:color w:val="000000"/>
                <w:kern w:val="0"/>
                <w:lang w:bidi="ar"/>
              </w:rPr>
            </w:pPr>
            <w:r>
              <w:t>支持每个成绩项都可以上传佐证附件，并支持上传多个附件</w:t>
            </w:r>
            <w:r>
              <w:rPr>
                <w:rFonts w:hint="eastAsia"/>
              </w:rPr>
              <w:t>。</w:t>
            </w:r>
          </w:p>
        </w:tc>
      </w:tr>
      <w:tr w14:paraId="21D59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8" w:type="pct"/>
            <w:vMerge w:val="continue"/>
            <w:vAlign w:val="center"/>
          </w:tcPr>
          <w:p w14:paraId="33DA323F">
            <w:pPr>
              <w:widowControl/>
              <w:jc w:val="center"/>
              <w:rPr>
                <w:rFonts w:ascii="宋体" w:hAnsi="宋体" w:cs="宋体"/>
                <w:kern w:val="0"/>
              </w:rPr>
            </w:pPr>
          </w:p>
        </w:tc>
        <w:tc>
          <w:tcPr>
            <w:tcW w:w="749" w:type="pct"/>
            <w:vMerge w:val="continue"/>
            <w:vAlign w:val="center"/>
          </w:tcPr>
          <w:p w14:paraId="1AA07E54">
            <w:pPr>
              <w:widowControl/>
              <w:jc w:val="left"/>
              <w:rPr>
                <w:rFonts w:ascii="宋体" w:hAnsi="宋体" w:cs="宋体"/>
                <w:kern w:val="0"/>
              </w:rPr>
            </w:pPr>
          </w:p>
        </w:tc>
        <w:tc>
          <w:tcPr>
            <w:tcW w:w="3772" w:type="pct"/>
            <w:vAlign w:val="center"/>
          </w:tcPr>
          <w:p w14:paraId="42625D64">
            <w:pPr>
              <w:widowControl/>
              <w:snapToGrid w:val="0"/>
              <w:rPr>
                <w:rFonts w:ascii="宋体" w:hAnsi="宋体" w:cs="宋体"/>
                <w:color w:val="000000"/>
                <w:kern w:val="0"/>
                <w:lang w:bidi="ar"/>
              </w:rPr>
            </w:pPr>
            <w:r>
              <w:rPr>
                <w:rFonts w:ascii="宋体" w:hAnsi="宋体" w:cs="宋体"/>
                <w:color w:val="000000"/>
                <w:kern w:val="0"/>
                <w:lang w:bidi="ar"/>
              </w:rPr>
              <w:t>支持配置教学小组并指定组长，支持配置签名，导出学员的轮转记录Word文档自动附带教学小组组长签字</w:t>
            </w:r>
          </w:p>
        </w:tc>
      </w:tr>
      <w:tr w14:paraId="380DB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8" w:type="pct"/>
            <w:vMerge w:val="continue"/>
            <w:vAlign w:val="center"/>
          </w:tcPr>
          <w:p w14:paraId="23671CFE">
            <w:pPr>
              <w:widowControl/>
              <w:jc w:val="center"/>
              <w:rPr>
                <w:rFonts w:ascii="宋体" w:hAnsi="宋体" w:cs="宋体"/>
                <w:kern w:val="0"/>
              </w:rPr>
            </w:pPr>
          </w:p>
        </w:tc>
        <w:tc>
          <w:tcPr>
            <w:tcW w:w="749" w:type="pct"/>
            <w:vAlign w:val="center"/>
          </w:tcPr>
          <w:p w14:paraId="56EA2821">
            <w:pPr>
              <w:widowControl/>
              <w:jc w:val="left"/>
              <w:rPr>
                <w:rFonts w:ascii="宋体" w:hAnsi="宋体" w:cs="宋体"/>
                <w:kern w:val="0"/>
              </w:rPr>
            </w:pPr>
            <w:r>
              <w:rPr>
                <w:rFonts w:ascii="宋体" w:hAnsi="宋体" w:cs="宋体"/>
                <w:color w:val="000000"/>
                <w:kern w:val="0"/>
                <w:lang w:bidi="ar"/>
              </w:rPr>
              <w:t>电子轮转手册</w:t>
            </w:r>
          </w:p>
        </w:tc>
        <w:tc>
          <w:tcPr>
            <w:tcW w:w="3772" w:type="pct"/>
            <w:vAlign w:val="center"/>
          </w:tcPr>
          <w:p w14:paraId="3F36AB0D">
            <w:pPr>
              <w:widowControl/>
              <w:snapToGrid w:val="0"/>
              <w:rPr>
                <w:rFonts w:ascii="宋体" w:hAnsi="宋体" w:cs="宋体"/>
                <w:color w:val="000000"/>
                <w:kern w:val="0"/>
                <w:lang w:bidi="ar"/>
              </w:rPr>
            </w:pPr>
            <w:r>
              <w:rPr>
                <w:rFonts w:ascii="宋体" w:hAnsi="宋体" w:cs="宋体"/>
                <w:color w:val="000000"/>
                <w:kern w:val="0"/>
                <w:lang w:bidi="ar"/>
              </w:rPr>
              <w:t>支持学员自行登录管理后台维护和管理电子轮转手册，支持自行录入和批量导入电子轮转手册记录，支持学员直接查看轮转是否已经达到国家轮转大纲及细则规定的数量要求，支持直接查看国家轮转大纲及细则的手册</w:t>
            </w:r>
          </w:p>
        </w:tc>
      </w:tr>
      <w:tr w14:paraId="7F041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8" w:type="pct"/>
            <w:vMerge w:val="continue"/>
            <w:vAlign w:val="center"/>
          </w:tcPr>
          <w:p w14:paraId="5E138299">
            <w:pPr>
              <w:widowControl/>
              <w:jc w:val="center"/>
              <w:rPr>
                <w:rFonts w:ascii="宋体" w:hAnsi="宋体" w:cs="宋体"/>
                <w:kern w:val="0"/>
              </w:rPr>
            </w:pPr>
          </w:p>
        </w:tc>
        <w:tc>
          <w:tcPr>
            <w:tcW w:w="749" w:type="pct"/>
            <w:vAlign w:val="center"/>
          </w:tcPr>
          <w:p w14:paraId="5F394F6A">
            <w:pPr>
              <w:widowControl/>
              <w:jc w:val="left"/>
              <w:rPr>
                <w:rFonts w:ascii="宋体" w:hAnsi="宋体" w:cs="宋体"/>
                <w:kern w:val="0"/>
              </w:rPr>
            </w:pPr>
            <w:r>
              <w:rPr>
                <w:rFonts w:hint="eastAsia" w:ascii="宋体" w:hAnsi="宋体" w:cs="宋体"/>
                <w:kern w:val="0"/>
              </w:rPr>
              <w:t>指定带教</w:t>
            </w:r>
          </w:p>
        </w:tc>
        <w:tc>
          <w:tcPr>
            <w:tcW w:w="3772" w:type="pct"/>
            <w:vAlign w:val="center"/>
          </w:tcPr>
          <w:p w14:paraId="58976368">
            <w:pPr>
              <w:widowControl/>
              <w:snapToGrid w:val="0"/>
              <w:rPr>
                <w:rFonts w:ascii="宋体" w:hAnsi="宋体" w:cs="宋体"/>
                <w:kern w:val="0"/>
              </w:rPr>
            </w:pPr>
            <w:r>
              <w:rPr>
                <w:rFonts w:hint="eastAsia" w:ascii="宋体" w:hAnsi="宋体" w:cs="宋体"/>
                <w:kern w:val="0"/>
              </w:rPr>
              <w:t>支持给学员直接指定具体的带教老师，支持在科室中查询并选择合适的带教老师。支持二次分配入科。</w:t>
            </w:r>
          </w:p>
        </w:tc>
      </w:tr>
      <w:tr w14:paraId="64E49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8" w:type="pct"/>
            <w:vMerge w:val="continue"/>
            <w:vAlign w:val="center"/>
          </w:tcPr>
          <w:p w14:paraId="322A7819">
            <w:pPr>
              <w:widowControl/>
              <w:jc w:val="center"/>
              <w:rPr>
                <w:rFonts w:ascii="宋体" w:hAnsi="宋体" w:cs="宋体"/>
                <w:kern w:val="0"/>
              </w:rPr>
            </w:pPr>
          </w:p>
        </w:tc>
        <w:tc>
          <w:tcPr>
            <w:tcW w:w="749" w:type="pct"/>
            <w:vAlign w:val="center"/>
          </w:tcPr>
          <w:p w14:paraId="403F387E">
            <w:pPr>
              <w:widowControl/>
              <w:jc w:val="left"/>
              <w:rPr>
                <w:rFonts w:ascii="宋体" w:hAnsi="宋体" w:cs="宋体"/>
                <w:kern w:val="0"/>
              </w:rPr>
            </w:pPr>
            <w:r>
              <w:rPr>
                <w:rFonts w:hint="eastAsia" w:ascii="宋体" w:hAnsi="宋体" w:cs="宋体"/>
                <w:kern w:val="0"/>
              </w:rPr>
              <w:t>匹配带教</w:t>
            </w:r>
          </w:p>
        </w:tc>
        <w:tc>
          <w:tcPr>
            <w:tcW w:w="3772" w:type="pct"/>
            <w:vAlign w:val="center"/>
          </w:tcPr>
          <w:p w14:paraId="3977EE38">
            <w:pPr>
              <w:widowControl/>
              <w:snapToGrid w:val="0"/>
              <w:rPr>
                <w:rFonts w:ascii="宋体" w:hAnsi="宋体" w:cs="宋体"/>
                <w:kern w:val="0"/>
              </w:rPr>
            </w:pPr>
            <w:r>
              <w:rPr>
                <w:rFonts w:hint="eastAsia" w:ascii="宋体" w:hAnsi="宋体" w:cs="宋体"/>
                <w:kern w:val="0"/>
              </w:rPr>
              <w:t>根据学员提出的带教选择申请，对学教员进行最优匹配。</w:t>
            </w:r>
          </w:p>
        </w:tc>
      </w:tr>
      <w:tr w14:paraId="4D4E4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8" w:type="pct"/>
            <w:vMerge w:val="continue"/>
            <w:vAlign w:val="center"/>
          </w:tcPr>
          <w:p w14:paraId="127757C8">
            <w:pPr>
              <w:widowControl/>
              <w:jc w:val="center"/>
              <w:rPr>
                <w:rFonts w:ascii="宋体" w:hAnsi="宋体" w:cs="宋体"/>
                <w:kern w:val="0"/>
              </w:rPr>
            </w:pPr>
          </w:p>
        </w:tc>
        <w:tc>
          <w:tcPr>
            <w:tcW w:w="749" w:type="pct"/>
            <w:vMerge w:val="restart"/>
            <w:vAlign w:val="center"/>
          </w:tcPr>
          <w:p w14:paraId="78B4C853">
            <w:pPr>
              <w:widowControl/>
              <w:jc w:val="left"/>
              <w:rPr>
                <w:rFonts w:ascii="宋体" w:hAnsi="宋体" w:cs="宋体"/>
                <w:kern w:val="0"/>
              </w:rPr>
            </w:pPr>
            <w:r>
              <w:rPr>
                <w:rFonts w:ascii="宋体" w:hAnsi="宋体" w:cs="宋体"/>
                <w:color w:val="000000"/>
                <w:kern w:val="0"/>
                <w:lang w:bidi="ar"/>
              </w:rPr>
              <w:t>轮转导出</w:t>
            </w:r>
          </w:p>
        </w:tc>
        <w:tc>
          <w:tcPr>
            <w:tcW w:w="3772" w:type="pct"/>
            <w:vAlign w:val="center"/>
          </w:tcPr>
          <w:p w14:paraId="16D17B06">
            <w:pPr>
              <w:widowControl/>
              <w:snapToGrid w:val="0"/>
              <w:rPr>
                <w:rFonts w:ascii="宋体" w:hAnsi="宋体" w:cs="宋体"/>
                <w:kern w:val="0"/>
              </w:rPr>
            </w:pPr>
            <w:r>
              <w:rPr>
                <w:rFonts w:ascii="宋体" w:hAnsi="宋体" w:cs="宋体"/>
                <w:color w:val="000000"/>
                <w:kern w:val="0"/>
                <w:lang w:bidi="ar"/>
              </w:rPr>
              <w:t>支持批量导出学员的全部轮转记录为一份Word，用于向相关单位申请结业。导出的具体章节内容可自行选择，至少应包含出科申请、出科小结、带教评语、出科考核结果、过程记录、教学活动记录，出科附件、病历书写照片等，支持自行选择是否导出全部轮转记录</w:t>
            </w:r>
          </w:p>
        </w:tc>
      </w:tr>
      <w:tr w14:paraId="1CD47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8" w:type="pct"/>
            <w:vMerge w:val="continue"/>
            <w:vAlign w:val="center"/>
          </w:tcPr>
          <w:p w14:paraId="7237FB5C">
            <w:pPr>
              <w:widowControl/>
              <w:jc w:val="center"/>
              <w:rPr>
                <w:rFonts w:ascii="宋体" w:hAnsi="宋体" w:cs="宋体"/>
                <w:kern w:val="0"/>
              </w:rPr>
            </w:pPr>
          </w:p>
        </w:tc>
        <w:tc>
          <w:tcPr>
            <w:tcW w:w="749" w:type="pct"/>
            <w:vMerge w:val="continue"/>
            <w:vAlign w:val="center"/>
          </w:tcPr>
          <w:p w14:paraId="0929430D">
            <w:pPr>
              <w:widowControl/>
              <w:jc w:val="left"/>
              <w:rPr>
                <w:rFonts w:ascii="宋体" w:hAnsi="宋体" w:cs="宋体"/>
                <w:kern w:val="0"/>
              </w:rPr>
            </w:pPr>
          </w:p>
        </w:tc>
        <w:tc>
          <w:tcPr>
            <w:tcW w:w="3772" w:type="pct"/>
            <w:vAlign w:val="center"/>
          </w:tcPr>
          <w:p w14:paraId="0B16EE9B">
            <w:pPr>
              <w:widowControl/>
              <w:snapToGrid w:val="0"/>
              <w:rPr>
                <w:rFonts w:ascii="宋体" w:hAnsi="宋体" w:cs="宋体"/>
                <w:kern w:val="0"/>
              </w:rPr>
            </w:pPr>
            <w:r>
              <w:rPr>
                <w:rFonts w:hint="eastAsia" w:ascii="宋体" w:hAnsi="宋体" w:cs="宋体"/>
                <w:kern w:val="0"/>
              </w:rPr>
              <w:t>支持导出包含学员姓名/轮转周期/轮转科室等全部轮转计划信息的大型汇总Excel表，并支持按科室设置的颜色分区块显示。</w:t>
            </w:r>
          </w:p>
        </w:tc>
      </w:tr>
      <w:tr w14:paraId="2E918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78" w:type="pct"/>
            <w:vMerge w:val="continue"/>
            <w:vAlign w:val="center"/>
          </w:tcPr>
          <w:p w14:paraId="452A1B75">
            <w:pPr>
              <w:widowControl/>
              <w:jc w:val="center"/>
              <w:rPr>
                <w:rFonts w:ascii="宋体" w:hAnsi="宋体" w:cs="宋体"/>
                <w:kern w:val="0"/>
              </w:rPr>
            </w:pPr>
          </w:p>
        </w:tc>
        <w:tc>
          <w:tcPr>
            <w:tcW w:w="749" w:type="pct"/>
            <w:vAlign w:val="center"/>
          </w:tcPr>
          <w:p w14:paraId="0AC011DD">
            <w:pPr>
              <w:widowControl/>
              <w:jc w:val="left"/>
              <w:rPr>
                <w:rFonts w:ascii="宋体" w:hAnsi="宋体" w:cs="宋体"/>
                <w:kern w:val="0"/>
              </w:rPr>
            </w:pPr>
            <w:r>
              <w:rPr>
                <w:rFonts w:hint="eastAsia" w:ascii="宋体" w:hAnsi="宋体" w:cs="宋体"/>
                <w:kern w:val="0"/>
              </w:rPr>
              <w:t>轮转统计报表</w:t>
            </w:r>
          </w:p>
        </w:tc>
        <w:tc>
          <w:tcPr>
            <w:tcW w:w="3772" w:type="pct"/>
            <w:vAlign w:val="center"/>
          </w:tcPr>
          <w:p w14:paraId="74A56CAF">
            <w:pPr>
              <w:widowControl/>
              <w:snapToGrid w:val="0"/>
              <w:rPr>
                <w:rFonts w:ascii="宋体" w:hAnsi="宋体" w:cs="宋体"/>
                <w:kern w:val="0"/>
              </w:rPr>
            </w:pPr>
            <w:r>
              <w:rPr>
                <w:rFonts w:hint="eastAsia" w:ascii="宋体" w:hAnsi="宋体" w:cs="宋体"/>
                <w:kern w:val="0"/>
              </w:rPr>
              <w:t>内置统计报表模块，可按学员、科室、基地等维度统计轮转情况。轮转管理支持老师带教人数、科室/基地/学校轮转人数、科室轮转带教天数、带教老师申请热等各类轮转统计报表。支持统计学员登记手册填写的要求数、填写数、完成率。</w:t>
            </w:r>
          </w:p>
        </w:tc>
      </w:tr>
      <w:tr w14:paraId="7194E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78" w:type="pct"/>
            <w:vMerge w:val="restart"/>
            <w:vAlign w:val="center"/>
          </w:tcPr>
          <w:p w14:paraId="5CF9054F">
            <w:pPr>
              <w:widowControl/>
              <w:jc w:val="center"/>
              <w:rPr>
                <w:rFonts w:ascii="宋体" w:hAnsi="宋体" w:cs="宋体"/>
                <w:kern w:val="0"/>
              </w:rPr>
            </w:pPr>
            <w:r>
              <w:rPr>
                <w:rFonts w:hint="eastAsia" w:ascii="宋体" w:hAnsi="宋体" w:cs="宋体"/>
                <w:kern w:val="0"/>
              </w:rPr>
              <w:t>数据统计</w:t>
            </w:r>
          </w:p>
        </w:tc>
        <w:tc>
          <w:tcPr>
            <w:tcW w:w="749" w:type="pct"/>
            <w:vMerge w:val="restart"/>
            <w:vAlign w:val="center"/>
          </w:tcPr>
          <w:p w14:paraId="246B734A">
            <w:pPr>
              <w:widowControl/>
              <w:jc w:val="left"/>
              <w:rPr>
                <w:rFonts w:ascii="宋体" w:hAnsi="宋体" w:cs="宋体"/>
                <w:kern w:val="0"/>
              </w:rPr>
            </w:pPr>
            <w:r>
              <w:rPr>
                <w:rFonts w:hint="eastAsia" w:ascii="宋体" w:hAnsi="宋体" w:cs="宋体"/>
                <w:kern w:val="0"/>
              </w:rPr>
              <w:t>过程数据上报</w:t>
            </w:r>
          </w:p>
        </w:tc>
        <w:tc>
          <w:tcPr>
            <w:tcW w:w="3772" w:type="pct"/>
            <w:vAlign w:val="center"/>
          </w:tcPr>
          <w:p w14:paraId="14640F9D">
            <w:pPr>
              <w:widowControl/>
              <w:snapToGrid w:val="0"/>
              <w:rPr>
                <w:rFonts w:ascii="宋体" w:hAnsi="宋体" w:cs="宋体"/>
                <w:kern w:val="0"/>
              </w:rPr>
            </w:pPr>
            <w:r>
              <w:rPr>
                <w:rFonts w:hint="eastAsia" w:ascii="宋体" w:hAnsi="宋体" w:cs="宋体"/>
                <w:kern w:val="0"/>
              </w:rPr>
              <w:t>支持学员自行登记电子轮转手册（登记手册），支持登记病种、技能、手术，用于过程数据上报。支持批量导入登记手册。支持因轮转计划调整导致的异常数据手工调整重新匹配到国家标准的细则要求项目。</w:t>
            </w:r>
          </w:p>
        </w:tc>
      </w:tr>
      <w:tr w14:paraId="67605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78" w:type="pct"/>
            <w:vMerge w:val="continue"/>
            <w:vAlign w:val="center"/>
          </w:tcPr>
          <w:p w14:paraId="57827DA8">
            <w:pPr>
              <w:widowControl/>
              <w:jc w:val="center"/>
              <w:rPr>
                <w:rFonts w:ascii="宋体" w:hAnsi="宋体" w:cs="宋体"/>
                <w:kern w:val="0"/>
              </w:rPr>
            </w:pPr>
          </w:p>
        </w:tc>
        <w:tc>
          <w:tcPr>
            <w:tcW w:w="749" w:type="pct"/>
            <w:vMerge w:val="continue"/>
            <w:vAlign w:val="center"/>
          </w:tcPr>
          <w:p w14:paraId="3676B901">
            <w:pPr>
              <w:widowControl/>
              <w:jc w:val="left"/>
              <w:rPr>
                <w:rFonts w:ascii="宋体" w:hAnsi="宋体" w:cs="宋体"/>
                <w:kern w:val="0"/>
              </w:rPr>
            </w:pPr>
          </w:p>
        </w:tc>
        <w:tc>
          <w:tcPr>
            <w:tcW w:w="3772" w:type="pct"/>
            <w:vAlign w:val="center"/>
          </w:tcPr>
          <w:p w14:paraId="76429382">
            <w:pPr>
              <w:widowControl/>
              <w:snapToGrid w:val="0"/>
              <w:rPr>
                <w:rFonts w:ascii="宋体" w:hAnsi="宋体" w:cs="宋体"/>
                <w:kern w:val="0"/>
              </w:rPr>
            </w:pPr>
            <w:r>
              <w:rPr>
                <w:rFonts w:hint="eastAsia" w:ascii="宋体" w:hAnsi="宋体" w:cs="宋体"/>
                <w:kern w:val="0"/>
              </w:rPr>
              <w:t>支持数据直接上报，减少学员需多次填写电子轮转手册（登记手册）并上报的工作量。</w:t>
            </w:r>
          </w:p>
        </w:tc>
      </w:tr>
      <w:tr w14:paraId="0C276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78" w:type="pct"/>
            <w:vMerge w:val="continue"/>
            <w:vAlign w:val="center"/>
          </w:tcPr>
          <w:p w14:paraId="05B717B5">
            <w:pPr>
              <w:widowControl/>
              <w:jc w:val="center"/>
              <w:rPr>
                <w:rFonts w:ascii="宋体" w:hAnsi="宋体" w:cs="宋体"/>
                <w:kern w:val="0"/>
              </w:rPr>
            </w:pPr>
          </w:p>
        </w:tc>
        <w:tc>
          <w:tcPr>
            <w:tcW w:w="749" w:type="pct"/>
            <w:vMerge w:val="continue"/>
            <w:vAlign w:val="center"/>
          </w:tcPr>
          <w:p w14:paraId="77A0BD07">
            <w:pPr>
              <w:widowControl/>
              <w:jc w:val="left"/>
              <w:rPr>
                <w:rFonts w:ascii="宋体" w:hAnsi="宋体" w:cs="宋体"/>
                <w:kern w:val="0"/>
              </w:rPr>
            </w:pPr>
          </w:p>
        </w:tc>
        <w:tc>
          <w:tcPr>
            <w:tcW w:w="3772" w:type="pct"/>
            <w:vAlign w:val="center"/>
          </w:tcPr>
          <w:p w14:paraId="7FEE7564">
            <w:pPr>
              <w:widowControl/>
              <w:snapToGrid w:val="0"/>
              <w:rPr>
                <w:rFonts w:ascii="宋体" w:hAnsi="宋体" w:cs="宋体"/>
                <w:kern w:val="0"/>
              </w:rPr>
            </w:pPr>
            <w:r>
              <w:rPr>
                <w:rFonts w:hint="eastAsia" w:ascii="宋体" w:hAnsi="宋体" w:cs="宋体"/>
                <w:kern w:val="0"/>
              </w:rPr>
              <w:t>支持住培过程数据自动上报功能，满足主管单位数据收集要求，支持异常数据更新维护及重新上报。</w:t>
            </w:r>
          </w:p>
        </w:tc>
      </w:tr>
      <w:tr w14:paraId="6AF92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78" w:type="pct"/>
            <w:vMerge w:val="continue"/>
            <w:vAlign w:val="center"/>
          </w:tcPr>
          <w:p w14:paraId="19923026">
            <w:pPr>
              <w:widowControl/>
              <w:jc w:val="center"/>
              <w:rPr>
                <w:rFonts w:ascii="宋体" w:hAnsi="宋体" w:cs="宋体"/>
                <w:kern w:val="0"/>
              </w:rPr>
            </w:pPr>
          </w:p>
        </w:tc>
        <w:tc>
          <w:tcPr>
            <w:tcW w:w="749" w:type="pct"/>
            <w:vAlign w:val="center"/>
          </w:tcPr>
          <w:p w14:paraId="0423F8F2">
            <w:pPr>
              <w:widowControl/>
              <w:jc w:val="left"/>
              <w:rPr>
                <w:rFonts w:ascii="宋体" w:hAnsi="宋体" w:cs="宋体"/>
                <w:kern w:val="0"/>
              </w:rPr>
            </w:pPr>
            <w:r>
              <w:rPr>
                <w:rFonts w:hint="eastAsia" w:ascii="宋体" w:hAnsi="宋体" w:cs="宋体"/>
                <w:kern w:val="0"/>
              </w:rPr>
              <w:t>统计要求</w:t>
            </w:r>
          </w:p>
        </w:tc>
        <w:tc>
          <w:tcPr>
            <w:tcW w:w="3772" w:type="pct"/>
            <w:vAlign w:val="center"/>
          </w:tcPr>
          <w:p w14:paraId="14A6CE5A">
            <w:pPr>
              <w:widowControl/>
              <w:snapToGrid w:val="0"/>
              <w:rPr>
                <w:rFonts w:ascii="宋体" w:hAnsi="宋体" w:cs="宋体"/>
                <w:kern w:val="0"/>
              </w:rPr>
            </w:pPr>
            <w:r>
              <w:rPr>
                <w:rFonts w:hint="eastAsia" w:ascii="宋体" w:hAnsi="宋体" w:cs="宋体"/>
                <w:kern w:val="0"/>
              </w:rPr>
              <w:t>根据树形科室上下级报表统计需要，应支持下级科室的统计数据合并到上级科室数据、下级科室的数据单独体现与上级科室数据相互独立、上级数据自动虚拟为下一级单列数据上级数据合并下级所有科室数据等3种统计结果。</w:t>
            </w:r>
          </w:p>
        </w:tc>
      </w:tr>
      <w:tr w14:paraId="0964B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78" w:type="pct"/>
            <w:vMerge w:val="restart"/>
            <w:vAlign w:val="center"/>
          </w:tcPr>
          <w:p w14:paraId="2C1BAA3F">
            <w:pPr>
              <w:widowControl/>
              <w:jc w:val="center"/>
              <w:rPr>
                <w:rFonts w:ascii="宋体" w:hAnsi="宋体" w:cs="宋体"/>
                <w:kern w:val="0"/>
              </w:rPr>
            </w:pPr>
            <w:r>
              <w:rPr>
                <w:rFonts w:hint="eastAsia" w:ascii="宋体" w:hAnsi="宋体" w:cs="宋体"/>
                <w:kern w:val="0"/>
              </w:rPr>
              <w:t>教学活动管理</w:t>
            </w:r>
          </w:p>
        </w:tc>
        <w:tc>
          <w:tcPr>
            <w:tcW w:w="749" w:type="pct"/>
            <w:vAlign w:val="center"/>
          </w:tcPr>
          <w:p w14:paraId="3ACE6BF8">
            <w:pPr>
              <w:widowControl/>
              <w:jc w:val="left"/>
              <w:rPr>
                <w:rFonts w:ascii="宋体" w:hAnsi="宋体" w:cs="宋体"/>
                <w:kern w:val="0"/>
              </w:rPr>
            </w:pPr>
            <w:r>
              <w:rPr>
                <w:rFonts w:hint="eastAsia" w:ascii="宋体" w:hAnsi="宋体" w:cs="宋体"/>
                <w:kern w:val="0"/>
              </w:rPr>
              <w:t>教学活动级别</w:t>
            </w:r>
          </w:p>
        </w:tc>
        <w:tc>
          <w:tcPr>
            <w:tcW w:w="3772" w:type="pct"/>
            <w:vAlign w:val="center"/>
          </w:tcPr>
          <w:p w14:paraId="5AD048F1">
            <w:pPr>
              <w:widowControl/>
              <w:snapToGrid w:val="0"/>
              <w:rPr>
                <w:rFonts w:ascii="宋体" w:hAnsi="宋体" w:cs="宋体"/>
                <w:kern w:val="0"/>
              </w:rPr>
            </w:pPr>
            <w:r>
              <w:rPr>
                <w:rFonts w:hint="eastAsia" w:ascii="宋体" w:hAnsi="宋体" w:cs="宋体"/>
                <w:kern w:val="0"/>
              </w:rPr>
              <w:t>支持定义教学活动级别，支持科室级、基地级、全院级等多种教学活动级别。</w:t>
            </w:r>
          </w:p>
        </w:tc>
      </w:tr>
      <w:tr w14:paraId="0C4BA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8" w:type="pct"/>
            <w:vMerge w:val="continue"/>
            <w:vAlign w:val="center"/>
          </w:tcPr>
          <w:p w14:paraId="56515E7E">
            <w:pPr>
              <w:widowControl/>
              <w:jc w:val="center"/>
              <w:rPr>
                <w:rFonts w:ascii="宋体" w:hAnsi="宋体" w:cs="宋体"/>
                <w:kern w:val="0"/>
              </w:rPr>
            </w:pPr>
          </w:p>
        </w:tc>
        <w:tc>
          <w:tcPr>
            <w:tcW w:w="749" w:type="pct"/>
            <w:vAlign w:val="center"/>
          </w:tcPr>
          <w:p w14:paraId="1710B118">
            <w:pPr>
              <w:widowControl/>
              <w:jc w:val="left"/>
              <w:rPr>
                <w:rFonts w:ascii="宋体" w:hAnsi="宋体" w:cs="宋体"/>
                <w:kern w:val="0"/>
              </w:rPr>
            </w:pPr>
            <w:r>
              <w:rPr>
                <w:rFonts w:hint="eastAsia" w:ascii="宋体" w:hAnsi="宋体" w:cs="宋体"/>
                <w:kern w:val="0"/>
              </w:rPr>
              <w:t>教学活动类别</w:t>
            </w:r>
          </w:p>
        </w:tc>
        <w:tc>
          <w:tcPr>
            <w:tcW w:w="3772" w:type="pct"/>
            <w:vAlign w:val="center"/>
          </w:tcPr>
          <w:p w14:paraId="2ED9844B">
            <w:pPr>
              <w:widowControl/>
              <w:snapToGrid w:val="0"/>
              <w:rPr>
                <w:rFonts w:ascii="宋体" w:hAnsi="宋体" w:cs="宋体"/>
                <w:kern w:val="0"/>
              </w:rPr>
            </w:pPr>
            <w:r>
              <w:rPr>
                <w:rFonts w:hint="eastAsia" w:ascii="宋体" w:hAnsi="宋体" w:cs="宋体"/>
                <w:kern w:val="0"/>
              </w:rPr>
              <w:t>教学活动类别可配置，支持配置病例讨论、教学查房、小讲课等不同教学活动类别各自的参数，支持自定义教学活动类别对应为国家标准教学活动类别。</w:t>
            </w:r>
          </w:p>
        </w:tc>
      </w:tr>
      <w:tr w14:paraId="4647D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8" w:type="pct"/>
            <w:vMerge w:val="continue"/>
            <w:vAlign w:val="center"/>
          </w:tcPr>
          <w:p w14:paraId="5EBF8A68">
            <w:pPr>
              <w:widowControl/>
              <w:jc w:val="center"/>
              <w:rPr>
                <w:rFonts w:ascii="宋体" w:hAnsi="宋体" w:cs="宋体"/>
                <w:kern w:val="0"/>
              </w:rPr>
            </w:pPr>
          </w:p>
        </w:tc>
        <w:tc>
          <w:tcPr>
            <w:tcW w:w="749" w:type="pct"/>
            <w:vAlign w:val="center"/>
          </w:tcPr>
          <w:p w14:paraId="4F333E75">
            <w:pPr>
              <w:widowControl/>
              <w:jc w:val="left"/>
              <w:rPr>
                <w:rFonts w:ascii="宋体" w:hAnsi="宋体" w:cs="宋体"/>
                <w:kern w:val="0"/>
              </w:rPr>
            </w:pPr>
            <w:r>
              <w:rPr>
                <w:rFonts w:hint="eastAsia" w:ascii="宋体" w:hAnsi="宋体" w:cs="宋体"/>
                <w:kern w:val="0"/>
              </w:rPr>
              <w:t>教学活动达标计算</w:t>
            </w:r>
          </w:p>
        </w:tc>
        <w:tc>
          <w:tcPr>
            <w:tcW w:w="3772" w:type="pct"/>
            <w:vAlign w:val="center"/>
          </w:tcPr>
          <w:p w14:paraId="581EB167">
            <w:pPr>
              <w:widowControl/>
              <w:snapToGrid w:val="0"/>
              <w:rPr>
                <w:rFonts w:ascii="宋体" w:hAnsi="宋体" w:cs="宋体"/>
                <w:kern w:val="0"/>
              </w:rPr>
            </w:pPr>
            <w:r>
              <w:rPr>
                <w:rFonts w:hint="eastAsia" w:ascii="宋体" w:hAnsi="宋体" w:cs="宋体"/>
                <w:kern w:val="0"/>
              </w:rPr>
              <w:t>支持按教学活动类别配合不同的达标计算因子，自动计算达标。达标计算因子至少应包括签到率要求、现场照片数量要求、测评率要求等。达标教学活动展示时能与普通教学活动有明显区别，引导教学实施部门踊跃举办教学活动。</w:t>
            </w:r>
          </w:p>
        </w:tc>
      </w:tr>
      <w:tr w14:paraId="25995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78" w:type="pct"/>
            <w:vMerge w:val="continue"/>
            <w:vAlign w:val="center"/>
          </w:tcPr>
          <w:p w14:paraId="3D0339B0">
            <w:pPr>
              <w:widowControl/>
              <w:jc w:val="center"/>
              <w:rPr>
                <w:rFonts w:ascii="宋体" w:hAnsi="宋体" w:cs="宋体"/>
                <w:kern w:val="0"/>
              </w:rPr>
            </w:pPr>
          </w:p>
        </w:tc>
        <w:tc>
          <w:tcPr>
            <w:tcW w:w="749" w:type="pct"/>
            <w:vAlign w:val="center"/>
          </w:tcPr>
          <w:p w14:paraId="432CA35D">
            <w:pPr>
              <w:widowControl/>
              <w:jc w:val="left"/>
              <w:rPr>
                <w:rFonts w:ascii="宋体" w:hAnsi="宋体" w:cs="宋体"/>
                <w:kern w:val="0"/>
              </w:rPr>
            </w:pPr>
            <w:r>
              <w:rPr>
                <w:rFonts w:hint="eastAsia" w:ascii="宋体" w:hAnsi="宋体" w:cs="宋体"/>
                <w:kern w:val="0"/>
              </w:rPr>
              <w:t>教学活动公示、互动</w:t>
            </w:r>
          </w:p>
        </w:tc>
        <w:tc>
          <w:tcPr>
            <w:tcW w:w="3772" w:type="pct"/>
            <w:vAlign w:val="center"/>
          </w:tcPr>
          <w:p w14:paraId="0560D7C3">
            <w:pPr>
              <w:widowControl/>
              <w:snapToGrid w:val="0"/>
              <w:rPr>
                <w:rFonts w:ascii="宋体" w:hAnsi="宋体" w:cs="宋体"/>
                <w:kern w:val="0"/>
              </w:rPr>
            </w:pPr>
            <w:r>
              <w:rPr>
                <w:rFonts w:hint="eastAsia" w:ascii="宋体" w:hAnsi="宋体" w:cs="宋体"/>
                <w:kern w:val="0"/>
              </w:rPr>
              <w:t>支持全院公示标杆教学活动，并支持对公示活动进行留言及互动。</w:t>
            </w:r>
          </w:p>
        </w:tc>
      </w:tr>
      <w:tr w14:paraId="4E8CA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8" w:type="pct"/>
            <w:vMerge w:val="continue"/>
            <w:vAlign w:val="center"/>
          </w:tcPr>
          <w:p w14:paraId="03F71062">
            <w:pPr>
              <w:widowControl/>
              <w:jc w:val="center"/>
              <w:rPr>
                <w:rFonts w:ascii="宋体" w:hAnsi="宋体" w:cs="宋体"/>
                <w:kern w:val="0"/>
              </w:rPr>
            </w:pPr>
          </w:p>
        </w:tc>
        <w:tc>
          <w:tcPr>
            <w:tcW w:w="749" w:type="pct"/>
            <w:vAlign w:val="center"/>
          </w:tcPr>
          <w:p w14:paraId="20B21EC4">
            <w:pPr>
              <w:widowControl/>
              <w:jc w:val="left"/>
              <w:rPr>
                <w:rFonts w:ascii="宋体" w:hAnsi="宋体" w:cs="宋体"/>
                <w:kern w:val="0"/>
              </w:rPr>
            </w:pPr>
            <w:r>
              <w:rPr>
                <w:rFonts w:hint="eastAsia" w:ascii="宋体" w:hAnsi="宋体" w:cs="宋体"/>
                <w:kern w:val="0"/>
              </w:rPr>
              <w:t>活动人员管理</w:t>
            </w:r>
          </w:p>
        </w:tc>
        <w:tc>
          <w:tcPr>
            <w:tcW w:w="3772" w:type="pct"/>
            <w:vAlign w:val="center"/>
          </w:tcPr>
          <w:p w14:paraId="2A90C564">
            <w:pPr>
              <w:widowControl/>
              <w:snapToGrid w:val="0"/>
              <w:rPr>
                <w:rFonts w:ascii="宋体" w:hAnsi="宋体" w:cs="宋体"/>
                <w:kern w:val="0"/>
              </w:rPr>
            </w:pPr>
            <w:r>
              <w:rPr>
                <w:rFonts w:hint="eastAsia" w:ascii="宋体" w:hAnsi="宋体" w:cs="宋体"/>
                <w:kern w:val="0"/>
              </w:rPr>
              <w:t>根据创建活动时选择的科室、专业基地、科室组自动筛选教学活动的参加人员，并且生成签到表。</w:t>
            </w:r>
          </w:p>
        </w:tc>
      </w:tr>
      <w:tr w14:paraId="1587F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8" w:type="pct"/>
            <w:vMerge w:val="continue"/>
            <w:vAlign w:val="center"/>
          </w:tcPr>
          <w:p w14:paraId="24864642">
            <w:pPr>
              <w:widowControl/>
              <w:jc w:val="center"/>
              <w:rPr>
                <w:rFonts w:ascii="宋体" w:hAnsi="宋体" w:cs="宋体"/>
                <w:kern w:val="0"/>
              </w:rPr>
            </w:pPr>
          </w:p>
        </w:tc>
        <w:tc>
          <w:tcPr>
            <w:tcW w:w="749" w:type="pct"/>
            <w:vAlign w:val="center"/>
          </w:tcPr>
          <w:p w14:paraId="6AAB5933">
            <w:pPr>
              <w:widowControl/>
              <w:jc w:val="left"/>
              <w:rPr>
                <w:rFonts w:ascii="宋体" w:hAnsi="宋体" w:cs="宋体"/>
                <w:kern w:val="0"/>
              </w:rPr>
            </w:pPr>
            <w:r>
              <w:rPr>
                <w:rFonts w:hint="eastAsia" w:ascii="宋体" w:hAnsi="宋体" w:cs="宋体"/>
                <w:kern w:val="0"/>
              </w:rPr>
              <w:t>活动通知</w:t>
            </w:r>
          </w:p>
        </w:tc>
        <w:tc>
          <w:tcPr>
            <w:tcW w:w="3772" w:type="pct"/>
            <w:vAlign w:val="center"/>
          </w:tcPr>
          <w:p w14:paraId="5D2EC0DB">
            <w:pPr>
              <w:widowControl/>
              <w:snapToGrid w:val="0"/>
              <w:rPr>
                <w:rFonts w:ascii="宋体" w:hAnsi="宋体" w:cs="宋体"/>
                <w:kern w:val="0"/>
              </w:rPr>
            </w:pPr>
            <w:r>
              <w:rPr>
                <w:rFonts w:hint="eastAsia" w:ascii="宋体" w:hAnsi="宋体" w:cs="宋体"/>
                <w:kern w:val="0"/>
              </w:rPr>
              <w:t>创建教学活动以后，自动发送短信。</w:t>
            </w:r>
          </w:p>
        </w:tc>
      </w:tr>
      <w:tr w14:paraId="09C47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8" w:type="pct"/>
            <w:vMerge w:val="continue"/>
            <w:vAlign w:val="center"/>
          </w:tcPr>
          <w:p w14:paraId="7CE14CC3">
            <w:pPr>
              <w:widowControl/>
              <w:jc w:val="center"/>
              <w:rPr>
                <w:rFonts w:ascii="宋体" w:hAnsi="宋体" w:cs="宋体"/>
                <w:kern w:val="0"/>
              </w:rPr>
            </w:pPr>
          </w:p>
        </w:tc>
        <w:tc>
          <w:tcPr>
            <w:tcW w:w="749" w:type="pct"/>
            <w:vMerge w:val="restart"/>
            <w:vAlign w:val="center"/>
          </w:tcPr>
          <w:p w14:paraId="68D30CD1">
            <w:pPr>
              <w:widowControl/>
              <w:jc w:val="left"/>
              <w:rPr>
                <w:rFonts w:ascii="宋体" w:hAnsi="宋体" w:cs="宋体"/>
                <w:kern w:val="0"/>
              </w:rPr>
            </w:pPr>
            <w:r>
              <w:rPr>
                <w:rFonts w:hint="eastAsia" w:ascii="宋体" w:hAnsi="宋体" w:cs="宋体"/>
                <w:kern w:val="0"/>
              </w:rPr>
              <w:t>活动日历、周历、月历</w:t>
            </w:r>
          </w:p>
        </w:tc>
        <w:tc>
          <w:tcPr>
            <w:tcW w:w="3772" w:type="pct"/>
            <w:vAlign w:val="center"/>
          </w:tcPr>
          <w:p w14:paraId="27A1D072">
            <w:pPr>
              <w:widowControl/>
              <w:snapToGrid w:val="0"/>
              <w:rPr>
                <w:rFonts w:ascii="宋体" w:hAnsi="宋体" w:cs="宋体"/>
                <w:kern w:val="0"/>
              </w:rPr>
            </w:pPr>
            <w:r>
              <w:rPr>
                <w:rFonts w:hint="eastAsia" w:ascii="宋体" w:hAnsi="宋体" w:cs="宋体"/>
                <w:kern w:val="0"/>
              </w:rPr>
              <w:t>支持以天、周结构展示当日、当周的教学活动，并实时更新教学活动开展状态。</w:t>
            </w:r>
          </w:p>
        </w:tc>
      </w:tr>
      <w:tr w14:paraId="63B92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8" w:type="pct"/>
            <w:vMerge w:val="continue"/>
            <w:vAlign w:val="center"/>
          </w:tcPr>
          <w:p w14:paraId="480E6DE5">
            <w:pPr>
              <w:widowControl/>
              <w:jc w:val="center"/>
              <w:rPr>
                <w:rFonts w:ascii="宋体" w:hAnsi="宋体" w:cs="宋体"/>
                <w:kern w:val="0"/>
              </w:rPr>
            </w:pPr>
          </w:p>
        </w:tc>
        <w:tc>
          <w:tcPr>
            <w:tcW w:w="749" w:type="pct"/>
            <w:vMerge w:val="continue"/>
            <w:vAlign w:val="center"/>
          </w:tcPr>
          <w:p w14:paraId="45D4C1D6">
            <w:pPr>
              <w:widowControl/>
              <w:jc w:val="left"/>
              <w:rPr>
                <w:rFonts w:ascii="宋体" w:hAnsi="宋体" w:cs="宋体"/>
                <w:kern w:val="0"/>
              </w:rPr>
            </w:pPr>
          </w:p>
        </w:tc>
        <w:tc>
          <w:tcPr>
            <w:tcW w:w="3772" w:type="pct"/>
            <w:vAlign w:val="center"/>
          </w:tcPr>
          <w:p w14:paraId="49060A81">
            <w:pPr>
              <w:widowControl/>
              <w:snapToGrid w:val="0"/>
              <w:rPr>
                <w:rFonts w:ascii="宋体" w:hAnsi="宋体" w:cs="宋体"/>
                <w:kern w:val="0"/>
              </w:rPr>
            </w:pPr>
            <w:r>
              <w:rPr>
                <w:rFonts w:hint="eastAsia" w:ascii="宋体" w:hAnsi="宋体" w:cs="宋体"/>
                <w:kern w:val="0"/>
              </w:rPr>
              <w:t>支持按月显示我需要参加的教学活动。</w:t>
            </w:r>
          </w:p>
        </w:tc>
      </w:tr>
      <w:tr w14:paraId="020EC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8" w:type="pct"/>
            <w:vMerge w:val="continue"/>
            <w:vAlign w:val="center"/>
          </w:tcPr>
          <w:p w14:paraId="6BBBF7FF">
            <w:pPr>
              <w:widowControl/>
              <w:jc w:val="center"/>
              <w:rPr>
                <w:rFonts w:ascii="宋体" w:hAnsi="宋体" w:cs="宋体"/>
                <w:kern w:val="0"/>
              </w:rPr>
            </w:pPr>
          </w:p>
        </w:tc>
        <w:tc>
          <w:tcPr>
            <w:tcW w:w="749" w:type="pct"/>
            <w:vAlign w:val="center"/>
          </w:tcPr>
          <w:p w14:paraId="1545D406">
            <w:pPr>
              <w:widowControl/>
              <w:jc w:val="left"/>
              <w:rPr>
                <w:rFonts w:ascii="宋体" w:hAnsi="宋体" w:cs="宋体"/>
                <w:kern w:val="0"/>
              </w:rPr>
            </w:pPr>
            <w:r>
              <w:rPr>
                <w:rFonts w:hint="eastAsia" w:ascii="宋体" w:hAnsi="宋体" w:cs="宋体"/>
                <w:kern w:val="0"/>
              </w:rPr>
              <w:t>二维码生成</w:t>
            </w:r>
          </w:p>
        </w:tc>
        <w:tc>
          <w:tcPr>
            <w:tcW w:w="3772" w:type="pct"/>
            <w:vAlign w:val="center"/>
          </w:tcPr>
          <w:p w14:paraId="622AC5B6">
            <w:pPr>
              <w:widowControl/>
              <w:snapToGrid w:val="0"/>
              <w:rPr>
                <w:rFonts w:ascii="宋体" w:hAnsi="宋体" w:cs="宋体"/>
                <w:kern w:val="0"/>
              </w:rPr>
            </w:pPr>
            <w:r>
              <w:rPr>
                <w:rFonts w:hint="eastAsia" w:ascii="宋体" w:hAnsi="宋体" w:cs="宋体"/>
                <w:kern w:val="0"/>
              </w:rPr>
              <w:t>支持动态二维码/静态二维码2种二维码生成方式，实现防伪及防止非现场扫码签到。</w:t>
            </w:r>
          </w:p>
        </w:tc>
      </w:tr>
      <w:tr w14:paraId="5D9C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78" w:type="pct"/>
            <w:vMerge w:val="continue"/>
            <w:vAlign w:val="center"/>
          </w:tcPr>
          <w:p w14:paraId="740F7DBD">
            <w:pPr>
              <w:widowControl/>
              <w:jc w:val="center"/>
              <w:rPr>
                <w:rFonts w:ascii="宋体" w:hAnsi="宋体" w:cs="宋体"/>
                <w:kern w:val="0"/>
              </w:rPr>
            </w:pPr>
          </w:p>
        </w:tc>
        <w:tc>
          <w:tcPr>
            <w:tcW w:w="749" w:type="pct"/>
            <w:vAlign w:val="center"/>
          </w:tcPr>
          <w:p w14:paraId="2C148B9A">
            <w:pPr>
              <w:widowControl/>
              <w:jc w:val="left"/>
              <w:rPr>
                <w:rFonts w:ascii="宋体" w:hAnsi="宋体" w:cs="宋体"/>
                <w:kern w:val="0"/>
              </w:rPr>
            </w:pPr>
            <w:r>
              <w:rPr>
                <w:rFonts w:hint="eastAsia" w:ascii="宋体" w:hAnsi="宋体" w:cs="宋体"/>
                <w:kern w:val="0"/>
              </w:rPr>
              <w:t>二维码签到</w:t>
            </w:r>
          </w:p>
        </w:tc>
        <w:tc>
          <w:tcPr>
            <w:tcW w:w="3772" w:type="pct"/>
            <w:vAlign w:val="center"/>
          </w:tcPr>
          <w:p w14:paraId="74C151BB">
            <w:pPr>
              <w:widowControl/>
              <w:snapToGrid w:val="0"/>
              <w:rPr>
                <w:rFonts w:ascii="宋体" w:hAnsi="宋体" w:cs="宋体"/>
                <w:kern w:val="0"/>
              </w:rPr>
            </w:pPr>
            <w:r>
              <w:rPr>
                <w:rFonts w:hint="eastAsia" w:ascii="宋体" w:hAnsi="宋体" w:cs="宋体"/>
                <w:kern w:val="0"/>
              </w:rPr>
              <w:t>支持使用手机扫码签到。支持补签到二维码展示，用于补签到签退。</w:t>
            </w:r>
          </w:p>
        </w:tc>
      </w:tr>
      <w:tr w14:paraId="35EB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8" w:type="pct"/>
            <w:vMerge w:val="continue"/>
            <w:vAlign w:val="center"/>
          </w:tcPr>
          <w:p w14:paraId="4A787D77">
            <w:pPr>
              <w:widowControl/>
              <w:jc w:val="center"/>
              <w:rPr>
                <w:rFonts w:ascii="宋体" w:hAnsi="宋体" w:cs="宋体"/>
                <w:kern w:val="0"/>
              </w:rPr>
            </w:pPr>
          </w:p>
        </w:tc>
        <w:tc>
          <w:tcPr>
            <w:tcW w:w="749" w:type="pct"/>
            <w:vAlign w:val="center"/>
          </w:tcPr>
          <w:p w14:paraId="0BA90493">
            <w:pPr>
              <w:widowControl/>
              <w:jc w:val="left"/>
              <w:rPr>
                <w:rFonts w:ascii="宋体" w:hAnsi="宋体" w:cs="宋体"/>
                <w:kern w:val="0"/>
              </w:rPr>
            </w:pPr>
            <w:r>
              <w:rPr>
                <w:rFonts w:hint="eastAsia" w:ascii="宋体" w:hAnsi="宋体" w:cs="宋体"/>
                <w:kern w:val="0"/>
              </w:rPr>
              <w:t>活动报名</w:t>
            </w:r>
          </w:p>
        </w:tc>
        <w:tc>
          <w:tcPr>
            <w:tcW w:w="3772" w:type="pct"/>
            <w:vAlign w:val="center"/>
          </w:tcPr>
          <w:p w14:paraId="1389AD4E">
            <w:pPr>
              <w:widowControl/>
              <w:snapToGrid w:val="0"/>
              <w:rPr>
                <w:rFonts w:ascii="宋体" w:hAnsi="宋体" w:cs="宋体"/>
                <w:kern w:val="0"/>
              </w:rPr>
            </w:pPr>
            <w:r>
              <w:rPr>
                <w:rFonts w:hint="eastAsia" w:ascii="宋体" w:hAnsi="宋体" w:cs="宋体"/>
                <w:kern w:val="0"/>
              </w:rPr>
              <w:t>对未在参会人员列表中的人员，允许活动报名。</w:t>
            </w:r>
          </w:p>
        </w:tc>
      </w:tr>
      <w:tr w14:paraId="1C674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8" w:type="pct"/>
            <w:vMerge w:val="continue"/>
            <w:vAlign w:val="center"/>
          </w:tcPr>
          <w:p w14:paraId="5C0D63FD">
            <w:pPr>
              <w:widowControl/>
              <w:jc w:val="center"/>
              <w:rPr>
                <w:rFonts w:ascii="宋体" w:hAnsi="宋体" w:cs="宋体"/>
                <w:kern w:val="0"/>
              </w:rPr>
            </w:pPr>
          </w:p>
        </w:tc>
        <w:tc>
          <w:tcPr>
            <w:tcW w:w="749" w:type="pct"/>
            <w:vAlign w:val="center"/>
          </w:tcPr>
          <w:p w14:paraId="3965D090">
            <w:pPr>
              <w:widowControl/>
              <w:jc w:val="left"/>
              <w:rPr>
                <w:rFonts w:ascii="宋体" w:hAnsi="宋体" w:cs="宋体"/>
                <w:kern w:val="0"/>
              </w:rPr>
            </w:pPr>
            <w:r>
              <w:rPr>
                <w:rFonts w:hint="eastAsia" w:ascii="宋体" w:hAnsi="宋体" w:cs="宋体"/>
                <w:kern w:val="0"/>
              </w:rPr>
              <w:t>活动评分表管理</w:t>
            </w:r>
          </w:p>
        </w:tc>
        <w:tc>
          <w:tcPr>
            <w:tcW w:w="3772" w:type="pct"/>
            <w:vAlign w:val="center"/>
          </w:tcPr>
          <w:p w14:paraId="38608D1C">
            <w:pPr>
              <w:widowControl/>
              <w:snapToGrid w:val="0"/>
              <w:rPr>
                <w:rFonts w:ascii="宋体" w:hAnsi="宋体" w:cs="宋体"/>
                <w:kern w:val="0"/>
              </w:rPr>
            </w:pPr>
            <w:r>
              <w:rPr>
                <w:rFonts w:hint="eastAsia" w:ascii="宋体" w:hAnsi="宋体" w:cs="宋体"/>
                <w:kern w:val="0"/>
              </w:rPr>
              <w:t>可设置不同类型活动的评分表。可在教学活动创建时选择不同的评分表。</w:t>
            </w:r>
          </w:p>
        </w:tc>
      </w:tr>
      <w:tr w14:paraId="1D51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8" w:type="pct"/>
            <w:vMerge w:val="continue"/>
            <w:vAlign w:val="center"/>
          </w:tcPr>
          <w:p w14:paraId="7BBFC1CA">
            <w:pPr>
              <w:widowControl/>
              <w:jc w:val="center"/>
              <w:rPr>
                <w:rFonts w:ascii="宋体" w:hAnsi="宋体" w:cs="宋体"/>
                <w:kern w:val="0"/>
              </w:rPr>
            </w:pPr>
          </w:p>
        </w:tc>
        <w:tc>
          <w:tcPr>
            <w:tcW w:w="749" w:type="pct"/>
            <w:vMerge w:val="restart"/>
            <w:vAlign w:val="center"/>
          </w:tcPr>
          <w:p w14:paraId="5F718FB9">
            <w:pPr>
              <w:widowControl/>
              <w:jc w:val="left"/>
              <w:rPr>
                <w:rFonts w:ascii="宋体" w:hAnsi="宋体" w:cs="宋体"/>
                <w:kern w:val="0"/>
              </w:rPr>
            </w:pPr>
            <w:r>
              <w:rPr>
                <w:rFonts w:hint="eastAsia" w:ascii="宋体" w:hAnsi="宋体" w:cs="宋体"/>
                <w:kern w:val="0"/>
              </w:rPr>
              <w:t>课件管理</w:t>
            </w:r>
          </w:p>
        </w:tc>
        <w:tc>
          <w:tcPr>
            <w:tcW w:w="3772" w:type="pct"/>
            <w:vAlign w:val="center"/>
          </w:tcPr>
          <w:p w14:paraId="2DF341F8">
            <w:pPr>
              <w:widowControl/>
              <w:snapToGrid w:val="0"/>
              <w:rPr>
                <w:rFonts w:ascii="宋体" w:hAnsi="宋体" w:cs="宋体"/>
                <w:kern w:val="0"/>
              </w:rPr>
            </w:pPr>
            <w:r>
              <w:rPr>
                <w:rFonts w:hint="eastAsia" w:ascii="宋体" w:hAnsi="宋体" w:cs="宋体"/>
                <w:kern w:val="0"/>
              </w:rPr>
              <w:t>允许上传PPT\WORD\PDF等常见格式的课件，课件可在手机端查看。</w:t>
            </w:r>
          </w:p>
        </w:tc>
      </w:tr>
      <w:tr w14:paraId="190FE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8" w:type="pct"/>
            <w:vMerge w:val="continue"/>
            <w:vAlign w:val="center"/>
          </w:tcPr>
          <w:p w14:paraId="43E9ED9C">
            <w:pPr>
              <w:widowControl/>
              <w:jc w:val="center"/>
              <w:rPr>
                <w:rFonts w:ascii="宋体" w:hAnsi="宋体" w:cs="宋体"/>
                <w:kern w:val="0"/>
              </w:rPr>
            </w:pPr>
          </w:p>
        </w:tc>
        <w:tc>
          <w:tcPr>
            <w:tcW w:w="749" w:type="pct"/>
            <w:vMerge w:val="continue"/>
            <w:vAlign w:val="center"/>
          </w:tcPr>
          <w:p w14:paraId="490DDED1">
            <w:pPr>
              <w:widowControl/>
              <w:jc w:val="left"/>
              <w:rPr>
                <w:rFonts w:ascii="宋体" w:hAnsi="宋体" w:cs="宋体"/>
                <w:kern w:val="0"/>
              </w:rPr>
            </w:pPr>
          </w:p>
        </w:tc>
        <w:tc>
          <w:tcPr>
            <w:tcW w:w="3772" w:type="pct"/>
            <w:vAlign w:val="center"/>
          </w:tcPr>
          <w:p w14:paraId="578FB4B5">
            <w:pPr>
              <w:widowControl/>
              <w:snapToGrid w:val="0"/>
              <w:rPr>
                <w:rFonts w:ascii="宋体" w:hAnsi="宋体" w:cs="宋体"/>
                <w:kern w:val="0"/>
              </w:rPr>
            </w:pPr>
            <w:r>
              <w:rPr>
                <w:rFonts w:hint="eastAsia" w:ascii="宋体" w:hAnsi="宋体" w:cs="宋体"/>
                <w:kern w:val="0"/>
              </w:rPr>
              <w:t>允许选择历史课件，无需再次或重复上传相同课件，提高创建教学活动的速度。</w:t>
            </w:r>
          </w:p>
        </w:tc>
      </w:tr>
      <w:tr w14:paraId="49EA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8" w:type="pct"/>
            <w:vMerge w:val="continue"/>
            <w:vAlign w:val="center"/>
          </w:tcPr>
          <w:p w14:paraId="468A45F5">
            <w:pPr>
              <w:widowControl/>
              <w:jc w:val="center"/>
              <w:rPr>
                <w:rFonts w:ascii="宋体" w:hAnsi="宋体" w:cs="宋体"/>
                <w:kern w:val="0"/>
              </w:rPr>
            </w:pPr>
          </w:p>
        </w:tc>
        <w:tc>
          <w:tcPr>
            <w:tcW w:w="749" w:type="pct"/>
            <w:vAlign w:val="center"/>
          </w:tcPr>
          <w:p w14:paraId="5CA8961C">
            <w:pPr>
              <w:widowControl/>
              <w:jc w:val="left"/>
              <w:rPr>
                <w:rFonts w:ascii="宋体" w:hAnsi="宋体" w:cs="宋体"/>
                <w:kern w:val="0"/>
              </w:rPr>
            </w:pPr>
            <w:r>
              <w:rPr>
                <w:rFonts w:hint="eastAsia" w:ascii="宋体" w:hAnsi="宋体" w:cs="宋体"/>
                <w:kern w:val="0"/>
              </w:rPr>
              <w:t>课件查看</w:t>
            </w:r>
          </w:p>
        </w:tc>
        <w:tc>
          <w:tcPr>
            <w:tcW w:w="3772" w:type="pct"/>
            <w:vAlign w:val="center"/>
          </w:tcPr>
          <w:p w14:paraId="22E9EDF4">
            <w:pPr>
              <w:widowControl/>
              <w:snapToGrid w:val="0"/>
              <w:rPr>
                <w:rFonts w:ascii="宋体" w:hAnsi="宋体" w:cs="宋体"/>
                <w:kern w:val="0"/>
              </w:rPr>
            </w:pPr>
            <w:r>
              <w:rPr>
                <w:rFonts w:ascii="宋体" w:hAnsi="宋体" w:cs="宋体"/>
                <w:color w:val="000000"/>
                <w:kern w:val="0"/>
                <w:lang w:bidi="ar"/>
              </w:rPr>
              <w:t>支持各类课件和教案直接在线预览，需支持PDF、Word、Excel、PPT文档的在线预览</w:t>
            </w:r>
            <w:r>
              <w:rPr>
                <w:rFonts w:hint="eastAsia" w:ascii="宋体" w:hAnsi="宋体" w:cs="宋体"/>
                <w:color w:val="000000"/>
                <w:kern w:val="0"/>
                <w:lang w:bidi="ar"/>
              </w:rPr>
              <w:t>。</w:t>
            </w:r>
          </w:p>
        </w:tc>
      </w:tr>
      <w:tr w14:paraId="5534F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8" w:type="pct"/>
            <w:vMerge w:val="continue"/>
            <w:vAlign w:val="center"/>
          </w:tcPr>
          <w:p w14:paraId="4B1B7B6E">
            <w:pPr>
              <w:widowControl/>
              <w:jc w:val="center"/>
              <w:rPr>
                <w:rFonts w:ascii="宋体" w:hAnsi="宋体" w:cs="宋体"/>
                <w:kern w:val="0"/>
              </w:rPr>
            </w:pPr>
          </w:p>
        </w:tc>
        <w:tc>
          <w:tcPr>
            <w:tcW w:w="749" w:type="pct"/>
            <w:vAlign w:val="center"/>
          </w:tcPr>
          <w:p w14:paraId="09A71424">
            <w:pPr>
              <w:widowControl/>
              <w:jc w:val="left"/>
              <w:rPr>
                <w:rFonts w:ascii="宋体" w:hAnsi="宋体" w:cs="宋体"/>
                <w:kern w:val="0"/>
              </w:rPr>
            </w:pPr>
            <w:r>
              <w:rPr>
                <w:rFonts w:hint="eastAsia" w:ascii="宋体" w:hAnsi="宋体" w:cs="宋体"/>
                <w:kern w:val="0"/>
              </w:rPr>
              <w:t>活动图片</w:t>
            </w:r>
          </w:p>
        </w:tc>
        <w:tc>
          <w:tcPr>
            <w:tcW w:w="3772" w:type="pct"/>
            <w:vAlign w:val="center"/>
          </w:tcPr>
          <w:p w14:paraId="2A9CAFA2">
            <w:pPr>
              <w:widowControl/>
              <w:snapToGrid w:val="0"/>
              <w:rPr>
                <w:rFonts w:ascii="宋体" w:hAnsi="宋体" w:cs="宋体"/>
                <w:kern w:val="0"/>
              </w:rPr>
            </w:pPr>
            <w:r>
              <w:rPr>
                <w:rFonts w:hint="eastAsia" w:ascii="宋体" w:hAnsi="宋体" w:cs="宋体"/>
                <w:kern w:val="0"/>
              </w:rPr>
              <w:t>支持教学活动现场拍照上传，作为教学活动照片和实际开展的证明。</w:t>
            </w:r>
          </w:p>
        </w:tc>
      </w:tr>
      <w:tr w14:paraId="14AE0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8" w:type="pct"/>
            <w:vMerge w:val="continue"/>
            <w:vAlign w:val="center"/>
          </w:tcPr>
          <w:p w14:paraId="2BAA6180">
            <w:pPr>
              <w:widowControl/>
              <w:jc w:val="center"/>
              <w:rPr>
                <w:rFonts w:ascii="宋体" w:hAnsi="宋体" w:cs="宋体"/>
                <w:kern w:val="0"/>
              </w:rPr>
            </w:pPr>
          </w:p>
        </w:tc>
        <w:tc>
          <w:tcPr>
            <w:tcW w:w="749" w:type="pct"/>
            <w:vAlign w:val="center"/>
          </w:tcPr>
          <w:p w14:paraId="0FB7FDFE">
            <w:pPr>
              <w:widowControl/>
              <w:jc w:val="left"/>
              <w:rPr>
                <w:rFonts w:ascii="宋体" w:hAnsi="宋体" w:cs="宋体"/>
                <w:kern w:val="0"/>
              </w:rPr>
            </w:pPr>
            <w:r>
              <w:rPr>
                <w:rFonts w:hint="eastAsia" w:ascii="宋体" w:hAnsi="宋体" w:cs="宋体"/>
                <w:kern w:val="0"/>
              </w:rPr>
              <w:t>教学活动情况导出</w:t>
            </w:r>
          </w:p>
        </w:tc>
        <w:tc>
          <w:tcPr>
            <w:tcW w:w="3772" w:type="pct"/>
            <w:vAlign w:val="center"/>
          </w:tcPr>
          <w:p w14:paraId="73750276">
            <w:pPr>
              <w:widowControl/>
              <w:snapToGrid w:val="0"/>
              <w:rPr>
                <w:rFonts w:ascii="宋体" w:hAnsi="宋体" w:cs="宋体"/>
                <w:kern w:val="0"/>
              </w:rPr>
            </w:pPr>
            <w:r>
              <w:rPr>
                <w:rFonts w:hint="eastAsia" w:ascii="宋体" w:hAnsi="宋体" w:cs="宋体"/>
                <w:kern w:val="0"/>
              </w:rPr>
              <w:t>根据查询条件批量导出教学活动列表，生成excel等。</w:t>
            </w:r>
          </w:p>
        </w:tc>
      </w:tr>
      <w:tr w14:paraId="6961D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8" w:type="pct"/>
            <w:vMerge w:val="continue"/>
            <w:vAlign w:val="center"/>
          </w:tcPr>
          <w:p w14:paraId="3344FF05">
            <w:pPr>
              <w:widowControl/>
              <w:jc w:val="center"/>
              <w:rPr>
                <w:rFonts w:ascii="宋体" w:hAnsi="宋体" w:cs="宋体"/>
                <w:kern w:val="0"/>
              </w:rPr>
            </w:pPr>
          </w:p>
        </w:tc>
        <w:tc>
          <w:tcPr>
            <w:tcW w:w="749" w:type="pct"/>
            <w:vAlign w:val="center"/>
          </w:tcPr>
          <w:p w14:paraId="242E3488">
            <w:pPr>
              <w:widowControl/>
              <w:jc w:val="left"/>
              <w:rPr>
                <w:rFonts w:ascii="宋体" w:hAnsi="宋体" w:cs="宋体"/>
                <w:kern w:val="0"/>
              </w:rPr>
            </w:pPr>
            <w:r>
              <w:rPr>
                <w:rFonts w:hint="eastAsia" w:ascii="宋体" w:hAnsi="宋体" w:cs="宋体"/>
                <w:kern w:val="0"/>
              </w:rPr>
              <w:t>教学活动档案</w:t>
            </w:r>
          </w:p>
        </w:tc>
        <w:tc>
          <w:tcPr>
            <w:tcW w:w="3772" w:type="pct"/>
            <w:vAlign w:val="center"/>
          </w:tcPr>
          <w:p w14:paraId="2080A8AB">
            <w:pPr>
              <w:widowControl/>
              <w:snapToGrid w:val="0"/>
              <w:rPr>
                <w:rFonts w:ascii="宋体" w:hAnsi="宋体" w:cs="宋体"/>
                <w:kern w:val="0"/>
              </w:rPr>
            </w:pPr>
            <w:r>
              <w:rPr>
                <w:rFonts w:hint="eastAsia" w:ascii="宋体" w:hAnsi="宋体" w:cs="宋体"/>
                <w:kern w:val="0"/>
              </w:rPr>
              <w:t>系统自动生成每个教学活动档案word文档、包括活动基本信息、参会人员签到表、课件、活动照片、过程记录等重要信息。</w:t>
            </w:r>
          </w:p>
        </w:tc>
      </w:tr>
      <w:tr w14:paraId="56668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8" w:type="pct"/>
            <w:vMerge w:val="continue"/>
            <w:vAlign w:val="center"/>
          </w:tcPr>
          <w:p w14:paraId="1CD645E2">
            <w:pPr>
              <w:widowControl/>
              <w:jc w:val="center"/>
              <w:rPr>
                <w:rFonts w:ascii="宋体" w:hAnsi="宋体" w:cs="宋体"/>
                <w:kern w:val="0"/>
              </w:rPr>
            </w:pPr>
          </w:p>
        </w:tc>
        <w:tc>
          <w:tcPr>
            <w:tcW w:w="749" w:type="pct"/>
            <w:vAlign w:val="center"/>
          </w:tcPr>
          <w:p w14:paraId="37A30EF5">
            <w:pPr>
              <w:widowControl/>
              <w:jc w:val="left"/>
              <w:rPr>
                <w:rFonts w:ascii="宋体" w:hAnsi="宋体" w:cs="宋体"/>
                <w:kern w:val="0"/>
              </w:rPr>
            </w:pPr>
            <w:r>
              <w:rPr>
                <w:rFonts w:hint="eastAsia" w:ascii="宋体" w:hAnsi="宋体" w:cs="宋体"/>
                <w:kern w:val="0"/>
              </w:rPr>
              <w:t>教学活动绩效管理</w:t>
            </w:r>
          </w:p>
        </w:tc>
        <w:tc>
          <w:tcPr>
            <w:tcW w:w="3772" w:type="pct"/>
            <w:vAlign w:val="center"/>
          </w:tcPr>
          <w:p w14:paraId="3A7FBE7F">
            <w:pPr>
              <w:widowControl/>
              <w:snapToGrid w:val="0"/>
              <w:rPr>
                <w:rFonts w:ascii="宋体" w:hAnsi="宋体" w:cs="宋体"/>
                <w:kern w:val="0"/>
              </w:rPr>
            </w:pPr>
            <w:r>
              <w:rPr>
                <w:rFonts w:hint="eastAsia" w:ascii="宋体" w:hAnsi="宋体" w:cs="宋体"/>
                <w:kern w:val="0"/>
              </w:rPr>
              <w:t>设置教学活动的签到率、评价率，用以判断教学活动是否达标。</w:t>
            </w:r>
          </w:p>
        </w:tc>
      </w:tr>
      <w:tr w14:paraId="4188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8" w:type="pct"/>
            <w:vMerge w:val="continue"/>
            <w:vAlign w:val="center"/>
          </w:tcPr>
          <w:p w14:paraId="5D748B29">
            <w:pPr>
              <w:widowControl/>
              <w:jc w:val="center"/>
              <w:rPr>
                <w:rFonts w:ascii="宋体" w:hAnsi="宋体" w:cs="宋体"/>
                <w:kern w:val="0"/>
              </w:rPr>
            </w:pPr>
          </w:p>
        </w:tc>
        <w:tc>
          <w:tcPr>
            <w:tcW w:w="749" w:type="pct"/>
            <w:vAlign w:val="center"/>
          </w:tcPr>
          <w:p w14:paraId="2C0E15C9">
            <w:pPr>
              <w:widowControl/>
              <w:jc w:val="left"/>
              <w:rPr>
                <w:rFonts w:ascii="宋体" w:hAnsi="宋体" w:cs="宋体"/>
                <w:kern w:val="0"/>
              </w:rPr>
            </w:pPr>
            <w:r>
              <w:rPr>
                <w:rFonts w:hint="eastAsia" w:ascii="宋体" w:hAnsi="宋体" w:cs="宋体"/>
                <w:kern w:val="0"/>
              </w:rPr>
              <w:t>教学任务管理</w:t>
            </w:r>
          </w:p>
        </w:tc>
        <w:tc>
          <w:tcPr>
            <w:tcW w:w="3772" w:type="pct"/>
            <w:vAlign w:val="center"/>
          </w:tcPr>
          <w:p w14:paraId="0ABDA9CB">
            <w:pPr>
              <w:widowControl/>
              <w:snapToGrid w:val="0"/>
              <w:rPr>
                <w:rFonts w:ascii="宋体" w:hAnsi="宋体" w:cs="宋体"/>
                <w:kern w:val="0"/>
              </w:rPr>
            </w:pPr>
            <w:r>
              <w:rPr>
                <w:rFonts w:hint="eastAsia" w:ascii="宋体" w:hAnsi="宋体" w:cs="宋体"/>
                <w:kern w:val="0"/>
              </w:rPr>
              <w:t>管理台设定各科室的具体教学任务，关联教学任务和考核表。</w:t>
            </w:r>
          </w:p>
        </w:tc>
      </w:tr>
      <w:tr w14:paraId="56132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8" w:type="pct"/>
            <w:vMerge w:val="continue"/>
            <w:vAlign w:val="center"/>
          </w:tcPr>
          <w:p w14:paraId="1AA914CF">
            <w:pPr>
              <w:widowControl/>
              <w:jc w:val="center"/>
              <w:rPr>
                <w:rFonts w:ascii="宋体" w:hAnsi="宋体" w:cs="宋体"/>
                <w:kern w:val="0"/>
              </w:rPr>
            </w:pPr>
          </w:p>
        </w:tc>
        <w:tc>
          <w:tcPr>
            <w:tcW w:w="749" w:type="pct"/>
            <w:vAlign w:val="center"/>
          </w:tcPr>
          <w:p w14:paraId="3DE2CCCD">
            <w:pPr>
              <w:widowControl/>
              <w:jc w:val="left"/>
              <w:rPr>
                <w:rFonts w:ascii="宋体" w:hAnsi="宋体" w:cs="宋体"/>
                <w:kern w:val="0"/>
              </w:rPr>
            </w:pPr>
            <w:r>
              <w:rPr>
                <w:rFonts w:hint="eastAsia" w:ascii="宋体" w:hAnsi="宋体" w:cs="宋体"/>
                <w:kern w:val="0"/>
              </w:rPr>
              <w:t>考核表管理</w:t>
            </w:r>
          </w:p>
        </w:tc>
        <w:tc>
          <w:tcPr>
            <w:tcW w:w="3772" w:type="pct"/>
            <w:vAlign w:val="center"/>
          </w:tcPr>
          <w:p w14:paraId="48351A94">
            <w:pPr>
              <w:widowControl/>
              <w:snapToGrid w:val="0"/>
              <w:rPr>
                <w:rFonts w:ascii="宋体" w:hAnsi="宋体" w:cs="宋体"/>
                <w:kern w:val="0"/>
              </w:rPr>
            </w:pPr>
            <w:r>
              <w:rPr>
                <w:rFonts w:hint="eastAsia" w:ascii="宋体" w:hAnsi="宋体" w:cs="宋体"/>
                <w:kern w:val="0"/>
              </w:rPr>
              <w:t>教学任务考核表维护功能。</w:t>
            </w:r>
          </w:p>
        </w:tc>
      </w:tr>
      <w:tr w14:paraId="70015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8" w:type="pct"/>
            <w:vMerge w:val="continue"/>
            <w:vAlign w:val="center"/>
          </w:tcPr>
          <w:p w14:paraId="35354C6B">
            <w:pPr>
              <w:widowControl/>
              <w:jc w:val="center"/>
              <w:rPr>
                <w:rFonts w:ascii="宋体" w:hAnsi="宋体" w:cs="宋体"/>
                <w:kern w:val="0"/>
              </w:rPr>
            </w:pPr>
          </w:p>
        </w:tc>
        <w:tc>
          <w:tcPr>
            <w:tcW w:w="749" w:type="pct"/>
            <w:vAlign w:val="center"/>
          </w:tcPr>
          <w:p w14:paraId="316C6900">
            <w:pPr>
              <w:widowControl/>
              <w:jc w:val="left"/>
              <w:rPr>
                <w:rFonts w:ascii="宋体" w:hAnsi="宋体" w:cs="宋体"/>
                <w:kern w:val="0"/>
              </w:rPr>
            </w:pPr>
            <w:r>
              <w:rPr>
                <w:rFonts w:hint="eastAsia" w:ascii="宋体" w:hAnsi="宋体" w:cs="宋体"/>
                <w:color w:val="000000"/>
                <w:kern w:val="0"/>
                <w:lang w:bidi="ar"/>
              </w:rPr>
              <w:t>考试码考试</w:t>
            </w:r>
          </w:p>
        </w:tc>
        <w:tc>
          <w:tcPr>
            <w:tcW w:w="3772" w:type="pct"/>
            <w:vAlign w:val="center"/>
          </w:tcPr>
          <w:p w14:paraId="299DD1F9">
            <w:pPr>
              <w:widowControl/>
              <w:snapToGrid w:val="0"/>
              <w:rPr>
                <w:rFonts w:ascii="宋体" w:hAnsi="宋体" w:cs="宋体"/>
                <w:kern w:val="0"/>
              </w:rPr>
            </w:pPr>
            <w:r>
              <w:rPr>
                <w:rFonts w:hint="eastAsia" w:ascii="宋体" w:hAnsi="宋体" w:cs="宋体"/>
                <w:color w:val="000000"/>
                <w:kern w:val="0"/>
                <w:lang w:bidi="ar"/>
              </w:rPr>
              <w:t>支持创建教学活动的同时设置随堂考试码，点击考试码直接进行随堂考试或测验</w:t>
            </w:r>
          </w:p>
        </w:tc>
      </w:tr>
      <w:tr w14:paraId="36DB5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8" w:type="pct"/>
            <w:vMerge w:val="continue"/>
            <w:vAlign w:val="center"/>
          </w:tcPr>
          <w:p w14:paraId="6FF8B9C5">
            <w:pPr>
              <w:widowControl/>
              <w:jc w:val="center"/>
              <w:rPr>
                <w:rFonts w:ascii="宋体" w:hAnsi="宋体" w:cs="宋体"/>
                <w:kern w:val="0"/>
              </w:rPr>
            </w:pPr>
          </w:p>
        </w:tc>
        <w:tc>
          <w:tcPr>
            <w:tcW w:w="749" w:type="pct"/>
            <w:vAlign w:val="center"/>
          </w:tcPr>
          <w:p w14:paraId="0183B0FB">
            <w:pPr>
              <w:widowControl/>
              <w:jc w:val="left"/>
              <w:rPr>
                <w:rFonts w:ascii="宋体" w:hAnsi="宋体" w:cs="宋体"/>
                <w:kern w:val="0"/>
              </w:rPr>
            </w:pPr>
            <w:r>
              <w:rPr>
                <w:rFonts w:hint="eastAsia" w:ascii="宋体" w:hAnsi="宋体" w:cs="宋体"/>
                <w:kern w:val="0"/>
              </w:rPr>
              <w:t>学员端</w:t>
            </w:r>
          </w:p>
        </w:tc>
        <w:tc>
          <w:tcPr>
            <w:tcW w:w="3772" w:type="pct"/>
            <w:vAlign w:val="center"/>
          </w:tcPr>
          <w:p w14:paraId="030D36B2">
            <w:pPr>
              <w:widowControl/>
              <w:snapToGrid w:val="0"/>
              <w:rPr>
                <w:rFonts w:ascii="宋体" w:hAnsi="宋体" w:cs="宋体"/>
                <w:kern w:val="0"/>
              </w:rPr>
            </w:pPr>
            <w:r>
              <w:rPr>
                <w:rFonts w:hint="eastAsia" w:ascii="宋体" w:hAnsi="宋体" w:cs="宋体"/>
                <w:kern w:val="0"/>
              </w:rPr>
              <w:t>查询学习任务完成情况和考核成绩</w:t>
            </w:r>
          </w:p>
        </w:tc>
      </w:tr>
      <w:tr w14:paraId="5DB64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8" w:type="pct"/>
            <w:vMerge w:val="continue"/>
            <w:vAlign w:val="center"/>
          </w:tcPr>
          <w:p w14:paraId="21125757">
            <w:pPr>
              <w:widowControl/>
              <w:jc w:val="center"/>
              <w:rPr>
                <w:rFonts w:ascii="宋体" w:hAnsi="宋体" w:cs="宋体"/>
                <w:kern w:val="0"/>
              </w:rPr>
            </w:pPr>
          </w:p>
        </w:tc>
        <w:tc>
          <w:tcPr>
            <w:tcW w:w="749" w:type="pct"/>
            <w:vAlign w:val="center"/>
          </w:tcPr>
          <w:p w14:paraId="2E4BC42A">
            <w:pPr>
              <w:widowControl/>
              <w:jc w:val="left"/>
              <w:rPr>
                <w:rFonts w:ascii="宋体" w:hAnsi="宋体" w:cs="宋体"/>
                <w:kern w:val="0"/>
              </w:rPr>
            </w:pPr>
            <w:r>
              <w:rPr>
                <w:rFonts w:hint="eastAsia" w:ascii="宋体" w:hAnsi="宋体" w:cs="宋体"/>
                <w:kern w:val="0"/>
              </w:rPr>
              <w:t>教秘端</w:t>
            </w:r>
          </w:p>
        </w:tc>
        <w:tc>
          <w:tcPr>
            <w:tcW w:w="3772" w:type="pct"/>
            <w:vAlign w:val="center"/>
          </w:tcPr>
          <w:p w14:paraId="40D03A7D">
            <w:pPr>
              <w:widowControl/>
              <w:snapToGrid w:val="0"/>
              <w:rPr>
                <w:rFonts w:ascii="宋体" w:hAnsi="宋体" w:cs="宋体"/>
                <w:kern w:val="0"/>
              </w:rPr>
            </w:pPr>
            <w:r>
              <w:rPr>
                <w:rFonts w:hint="eastAsia" w:ascii="宋体" w:hAnsi="宋体" w:cs="宋体"/>
                <w:kern w:val="0"/>
              </w:rPr>
              <w:t>查看科室学员学习任务总体完成情况</w:t>
            </w:r>
          </w:p>
        </w:tc>
      </w:tr>
      <w:tr w14:paraId="3D67C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78" w:type="pct"/>
            <w:vMerge w:val="continue"/>
            <w:vAlign w:val="center"/>
          </w:tcPr>
          <w:p w14:paraId="30905F0F">
            <w:pPr>
              <w:widowControl/>
              <w:jc w:val="center"/>
              <w:rPr>
                <w:rFonts w:ascii="宋体" w:hAnsi="宋体" w:cs="宋体"/>
                <w:kern w:val="0"/>
              </w:rPr>
            </w:pPr>
          </w:p>
        </w:tc>
        <w:tc>
          <w:tcPr>
            <w:tcW w:w="749" w:type="pct"/>
            <w:vMerge w:val="restart"/>
            <w:vAlign w:val="center"/>
          </w:tcPr>
          <w:p w14:paraId="0E7758A3">
            <w:pPr>
              <w:widowControl/>
              <w:jc w:val="left"/>
              <w:rPr>
                <w:rFonts w:ascii="宋体" w:hAnsi="宋体" w:cs="宋体"/>
                <w:kern w:val="0"/>
              </w:rPr>
            </w:pPr>
            <w:r>
              <w:rPr>
                <w:rFonts w:hint="eastAsia" w:ascii="宋体" w:hAnsi="宋体" w:cs="宋体"/>
                <w:kern w:val="0"/>
              </w:rPr>
              <w:t>教学统计报表</w:t>
            </w:r>
          </w:p>
        </w:tc>
        <w:tc>
          <w:tcPr>
            <w:tcW w:w="3772" w:type="pct"/>
            <w:vAlign w:val="center"/>
          </w:tcPr>
          <w:p w14:paraId="799A9BD3">
            <w:pPr>
              <w:widowControl/>
              <w:snapToGrid w:val="0"/>
              <w:rPr>
                <w:rFonts w:ascii="宋体" w:hAnsi="宋体" w:cs="宋体"/>
                <w:kern w:val="0"/>
              </w:rPr>
            </w:pPr>
            <w:r>
              <w:rPr>
                <w:rFonts w:hint="eastAsia" w:ascii="宋体" w:hAnsi="宋体" w:cs="宋体"/>
                <w:kern w:val="0"/>
              </w:rPr>
              <w:t>教学管理支持学员教员参活次数、教学类别次数年报等至少</w:t>
            </w:r>
            <w:r>
              <w:rPr>
                <w:rFonts w:hint="eastAsia" w:ascii="宋体" w:hAnsi="宋体" w:cs="宋体"/>
                <w:kern w:val="0"/>
                <w:lang w:val="en-US" w:eastAsia="zh-CN"/>
              </w:rPr>
              <w:t>10</w:t>
            </w:r>
            <w:r>
              <w:rPr>
                <w:rFonts w:hint="eastAsia" w:ascii="宋体" w:hAnsi="宋体" w:cs="宋体"/>
                <w:kern w:val="0"/>
              </w:rPr>
              <w:t>种不同统计口径的月年报统计报表</w:t>
            </w:r>
          </w:p>
        </w:tc>
      </w:tr>
      <w:tr w14:paraId="75766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78" w:type="pct"/>
            <w:vMerge w:val="continue"/>
            <w:vAlign w:val="center"/>
          </w:tcPr>
          <w:p w14:paraId="6DA4FF1F">
            <w:pPr>
              <w:widowControl/>
              <w:jc w:val="center"/>
              <w:rPr>
                <w:rFonts w:ascii="宋体" w:hAnsi="宋体" w:cs="宋体"/>
                <w:kern w:val="0"/>
              </w:rPr>
            </w:pPr>
          </w:p>
        </w:tc>
        <w:tc>
          <w:tcPr>
            <w:tcW w:w="749" w:type="pct"/>
            <w:vMerge w:val="continue"/>
            <w:vAlign w:val="center"/>
          </w:tcPr>
          <w:p w14:paraId="3BDF0555">
            <w:pPr>
              <w:widowControl/>
              <w:jc w:val="left"/>
              <w:rPr>
                <w:rFonts w:ascii="宋体" w:hAnsi="宋体" w:cs="宋体"/>
                <w:kern w:val="0"/>
              </w:rPr>
            </w:pPr>
          </w:p>
        </w:tc>
        <w:tc>
          <w:tcPr>
            <w:tcW w:w="3772" w:type="pct"/>
            <w:vAlign w:val="center"/>
          </w:tcPr>
          <w:p w14:paraId="1476ECA3">
            <w:pPr>
              <w:widowControl/>
              <w:snapToGrid w:val="0"/>
              <w:rPr>
                <w:rFonts w:ascii="宋体" w:hAnsi="宋体" w:cs="宋体"/>
                <w:kern w:val="0"/>
              </w:rPr>
            </w:pPr>
            <w:r>
              <w:rPr>
                <w:rFonts w:hint="eastAsia" w:ascii="宋体" w:hAnsi="宋体" w:cs="宋体"/>
                <w:kern w:val="0"/>
              </w:rPr>
              <w:t>报表须支持按教学数量、质量、参课率口径统计</w:t>
            </w:r>
          </w:p>
        </w:tc>
      </w:tr>
      <w:tr w14:paraId="0EDDD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8" w:type="pct"/>
            <w:vMerge w:val="restart"/>
            <w:vAlign w:val="center"/>
          </w:tcPr>
          <w:p w14:paraId="2CF061FC">
            <w:pPr>
              <w:widowControl/>
              <w:jc w:val="center"/>
              <w:rPr>
                <w:rFonts w:ascii="宋体" w:hAnsi="宋体" w:cs="宋体"/>
                <w:kern w:val="0"/>
              </w:rPr>
            </w:pPr>
            <w:r>
              <w:rPr>
                <w:rFonts w:hint="eastAsia" w:ascii="宋体" w:hAnsi="宋体" w:cs="宋体"/>
                <w:kern w:val="0"/>
              </w:rPr>
              <w:t>督导管理</w:t>
            </w:r>
          </w:p>
        </w:tc>
        <w:tc>
          <w:tcPr>
            <w:tcW w:w="749" w:type="pct"/>
            <w:vAlign w:val="center"/>
          </w:tcPr>
          <w:p w14:paraId="1FF20406">
            <w:pPr>
              <w:widowControl/>
              <w:jc w:val="left"/>
              <w:rPr>
                <w:rFonts w:ascii="宋体" w:hAnsi="宋体" w:cs="宋体"/>
                <w:kern w:val="0"/>
              </w:rPr>
            </w:pPr>
            <w:r>
              <w:rPr>
                <w:rFonts w:hint="eastAsia" w:ascii="宋体" w:hAnsi="宋体" w:cs="宋体"/>
                <w:kern w:val="0"/>
              </w:rPr>
              <w:t>督导配置</w:t>
            </w:r>
          </w:p>
        </w:tc>
        <w:tc>
          <w:tcPr>
            <w:tcW w:w="3772" w:type="pct"/>
            <w:vAlign w:val="center"/>
          </w:tcPr>
          <w:p w14:paraId="038D27DE">
            <w:pPr>
              <w:widowControl/>
              <w:snapToGrid w:val="0"/>
              <w:rPr>
                <w:rFonts w:ascii="宋体" w:hAnsi="宋体" w:cs="宋体"/>
                <w:kern w:val="0"/>
              </w:rPr>
            </w:pPr>
            <w:r>
              <w:rPr>
                <w:rFonts w:hint="eastAsia" w:ascii="宋体" w:hAnsi="宋体" w:cs="宋体"/>
                <w:kern w:val="0"/>
              </w:rPr>
              <w:t>支持进行多种形式的督导，主要包括教学督导、科室督导、出科督导等。</w:t>
            </w:r>
          </w:p>
        </w:tc>
      </w:tr>
      <w:tr w14:paraId="7D759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8" w:type="pct"/>
            <w:vMerge w:val="continue"/>
            <w:vAlign w:val="center"/>
          </w:tcPr>
          <w:p w14:paraId="764FEEFC">
            <w:pPr>
              <w:widowControl/>
              <w:jc w:val="center"/>
              <w:rPr>
                <w:rFonts w:ascii="宋体" w:hAnsi="宋体" w:cs="宋体"/>
                <w:kern w:val="0"/>
              </w:rPr>
            </w:pPr>
          </w:p>
        </w:tc>
        <w:tc>
          <w:tcPr>
            <w:tcW w:w="749" w:type="pct"/>
            <w:vAlign w:val="center"/>
          </w:tcPr>
          <w:p w14:paraId="224B178D">
            <w:pPr>
              <w:widowControl/>
              <w:jc w:val="left"/>
              <w:rPr>
                <w:rFonts w:ascii="宋体" w:hAnsi="宋体" w:cs="宋体"/>
                <w:kern w:val="0"/>
              </w:rPr>
            </w:pPr>
            <w:r>
              <w:rPr>
                <w:rFonts w:hint="eastAsia" w:ascii="宋体" w:hAnsi="宋体" w:cs="宋体"/>
                <w:kern w:val="0"/>
              </w:rPr>
              <w:t>督导专家</w:t>
            </w:r>
          </w:p>
        </w:tc>
        <w:tc>
          <w:tcPr>
            <w:tcW w:w="3772" w:type="pct"/>
            <w:vAlign w:val="center"/>
          </w:tcPr>
          <w:p w14:paraId="27FCCC39">
            <w:pPr>
              <w:widowControl/>
              <w:snapToGrid w:val="0"/>
              <w:rPr>
                <w:rFonts w:ascii="宋体" w:hAnsi="宋体" w:cs="宋体"/>
                <w:kern w:val="0"/>
              </w:rPr>
            </w:pPr>
            <w:r>
              <w:rPr>
                <w:rFonts w:hint="eastAsia" w:ascii="宋体" w:hAnsi="宋体" w:cs="宋体"/>
                <w:kern w:val="0"/>
              </w:rPr>
              <w:t>支持配置督导专家组，并指定专家组成员。支持批量、随机指定督导专家。</w:t>
            </w:r>
          </w:p>
        </w:tc>
      </w:tr>
      <w:tr w14:paraId="7471B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8" w:type="pct"/>
            <w:vMerge w:val="continue"/>
            <w:vAlign w:val="center"/>
          </w:tcPr>
          <w:p w14:paraId="35AE0395">
            <w:pPr>
              <w:widowControl/>
              <w:jc w:val="center"/>
              <w:rPr>
                <w:rFonts w:ascii="宋体" w:hAnsi="宋体" w:cs="宋体"/>
                <w:kern w:val="0"/>
              </w:rPr>
            </w:pPr>
          </w:p>
        </w:tc>
        <w:tc>
          <w:tcPr>
            <w:tcW w:w="749" w:type="pct"/>
            <w:vAlign w:val="center"/>
          </w:tcPr>
          <w:p w14:paraId="07FF8A91">
            <w:pPr>
              <w:widowControl/>
              <w:jc w:val="left"/>
              <w:rPr>
                <w:rFonts w:ascii="宋体" w:hAnsi="宋体" w:cs="宋体"/>
                <w:kern w:val="0"/>
              </w:rPr>
            </w:pPr>
            <w:r>
              <w:rPr>
                <w:rFonts w:hint="eastAsia" w:ascii="宋体" w:hAnsi="宋体" w:cs="宋体"/>
                <w:kern w:val="0"/>
              </w:rPr>
              <w:t>督导整改</w:t>
            </w:r>
          </w:p>
        </w:tc>
        <w:tc>
          <w:tcPr>
            <w:tcW w:w="3772" w:type="pct"/>
            <w:vAlign w:val="center"/>
          </w:tcPr>
          <w:p w14:paraId="6EDAE77B">
            <w:pPr>
              <w:widowControl/>
              <w:snapToGrid w:val="0"/>
              <w:rPr>
                <w:rFonts w:ascii="宋体" w:hAnsi="宋体" w:cs="宋体"/>
                <w:kern w:val="0"/>
              </w:rPr>
            </w:pPr>
            <w:r>
              <w:rPr>
                <w:rFonts w:hint="eastAsia" w:ascii="宋体" w:hAnsi="宋体" w:cs="宋体"/>
                <w:kern w:val="0"/>
              </w:rPr>
              <w:t>支持在线填写整改报告，督导专家可审核并确认整改情况，支持导出督导报告。</w:t>
            </w:r>
          </w:p>
        </w:tc>
      </w:tr>
      <w:tr w14:paraId="56DED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8" w:type="pct"/>
            <w:vMerge w:val="restart"/>
            <w:vAlign w:val="center"/>
          </w:tcPr>
          <w:p w14:paraId="7F71C2C0">
            <w:pPr>
              <w:widowControl/>
              <w:jc w:val="center"/>
              <w:rPr>
                <w:rFonts w:ascii="宋体" w:hAnsi="宋体" w:cs="宋体"/>
                <w:kern w:val="0"/>
              </w:rPr>
            </w:pPr>
            <w:r>
              <w:rPr>
                <w:rFonts w:hint="eastAsia" w:ascii="宋体" w:hAnsi="宋体" w:cs="宋体"/>
                <w:kern w:val="0"/>
              </w:rPr>
              <w:t>考勤请假管理</w:t>
            </w:r>
          </w:p>
        </w:tc>
        <w:tc>
          <w:tcPr>
            <w:tcW w:w="749" w:type="pct"/>
            <w:vAlign w:val="center"/>
          </w:tcPr>
          <w:p w14:paraId="0D47050A">
            <w:pPr>
              <w:widowControl/>
              <w:jc w:val="left"/>
              <w:rPr>
                <w:rFonts w:ascii="宋体" w:hAnsi="宋体" w:cs="宋体"/>
                <w:kern w:val="0"/>
              </w:rPr>
            </w:pPr>
            <w:r>
              <w:rPr>
                <w:rFonts w:hint="eastAsia" w:ascii="宋体" w:hAnsi="宋体" w:cs="宋体"/>
                <w:kern w:val="0"/>
              </w:rPr>
              <w:t>考勤排班计划</w:t>
            </w:r>
          </w:p>
        </w:tc>
        <w:tc>
          <w:tcPr>
            <w:tcW w:w="3772" w:type="pct"/>
            <w:vAlign w:val="center"/>
          </w:tcPr>
          <w:p w14:paraId="555C3A95">
            <w:pPr>
              <w:widowControl/>
              <w:snapToGrid w:val="0"/>
              <w:rPr>
                <w:rFonts w:ascii="宋体" w:hAnsi="宋体" w:cs="宋体"/>
                <w:kern w:val="0"/>
              </w:rPr>
            </w:pPr>
            <w:r>
              <w:rPr>
                <w:rFonts w:hint="eastAsia" w:ascii="宋体" w:hAnsi="宋体" w:cs="宋体"/>
                <w:kern w:val="0"/>
              </w:rPr>
              <w:t>可通过系统直接进行考勤排班，支持导入和导出科室排班计划，支持一键排班、批量排班、克隆排班，也可以通过手机端给每个学员逐个排班。</w:t>
            </w:r>
          </w:p>
        </w:tc>
      </w:tr>
      <w:tr w14:paraId="7A5A1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8" w:type="pct"/>
            <w:vMerge w:val="continue"/>
            <w:vAlign w:val="center"/>
          </w:tcPr>
          <w:p w14:paraId="16B6CC35">
            <w:pPr>
              <w:widowControl/>
              <w:jc w:val="center"/>
              <w:rPr>
                <w:rFonts w:ascii="宋体" w:hAnsi="宋体" w:cs="宋体"/>
                <w:kern w:val="0"/>
              </w:rPr>
            </w:pPr>
          </w:p>
        </w:tc>
        <w:tc>
          <w:tcPr>
            <w:tcW w:w="749" w:type="pct"/>
            <w:vMerge w:val="restart"/>
            <w:vAlign w:val="center"/>
          </w:tcPr>
          <w:p w14:paraId="19FD6AA1">
            <w:pPr>
              <w:widowControl/>
              <w:jc w:val="left"/>
              <w:rPr>
                <w:rFonts w:ascii="宋体" w:hAnsi="宋体" w:cs="宋体"/>
                <w:kern w:val="0"/>
              </w:rPr>
            </w:pPr>
            <w:r>
              <w:rPr>
                <w:rFonts w:hint="eastAsia" w:ascii="宋体" w:hAnsi="宋体" w:cs="宋体"/>
                <w:kern w:val="0"/>
              </w:rPr>
              <w:t>考勤参数设置</w:t>
            </w:r>
          </w:p>
        </w:tc>
        <w:tc>
          <w:tcPr>
            <w:tcW w:w="3772" w:type="pct"/>
            <w:vAlign w:val="center"/>
          </w:tcPr>
          <w:p w14:paraId="325649A6">
            <w:pPr>
              <w:widowControl/>
              <w:snapToGrid w:val="0"/>
              <w:rPr>
                <w:rFonts w:ascii="宋体" w:hAnsi="宋体" w:cs="宋体"/>
                <w:kern w:val="0"/>
              </w:rPr>
            </w:pPr>
            <w:r>
              <w:rPr>
                <w:rFonts w:hint="eastAsia" w:ascii="宋体" w:hAnsi="宋体" w:cs="宋体"/>
                <w:kern w:val="0"/>
              </w:rPr>
              <w:t>可设置考勤的宽松程度，例如是否允许超时间考勤，是否允许在医院范围外打卡等。</w:t>
            </w:r>
          </w:p>
        </w:tc>
      </w:tr>
      <w:tr w14:paraId="2AD3E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8" w:type="pct"/>
            <w:vMerge w:val="continue"/>
            <w:vAlign w:val="center"/>
          </w:tcPr>
          <w:p w14:paraId="22CF3831">
            <w:pPr>
              <w:widowControl/>
              <w:jc w:val="center"/>
              <w:rPr>
                <w:rFonts w:ascii="宋体" w:hAnsi="宋体" w:cs="宋体"/>
                <w:kern w:val="0"/>
              </w:rPr>
            </w:pPr>
          </w:p>
        </w:tc>
        <w:tc>
          <w:tcPr>
            <w:tcW w:w="749" w:type="pct"/>
            <w:vMerge w:val="continue"/>
            <w:vAlign w:val="center"/>
          </w:tcPr>
          <w:p w14:paraId="14FEF772">
            <w:pPr>
              <w:widowControl/>
              <w:jc w:val="left"/>
              <w:rPr>
                <w:rFonts w:ascii="宋体" w:hAnsi="宋体" w:cs="宋体"/>
                <w:kern w:val="0"/>
              </w:rPr>
            </w:pPr>
          </w:p>
        </w:tc>
        <w:tc>
          <w:tcPr>
            <w:tcW w:w="3772" w:type="pct"/>
            <w:vAlign w:val="center"/>
          </w:tcPr>
          <w:p w14:paraId="0F791967">
            <w:pPr>
              <w:widowControl/>
              <w:snapToGrid w:val="0"/>
              <w:rPr>
                <w:rFonts w:ascii="宋体" w:hAnsi="宋体" w:cs="宋体"/>
                <w:kern w:val="0"/>
              </w:rPr>
            </w:pPr>
            <w:r>
              <w:rPr>
                <w:rFonts w:hint="eastAsia" w:ascii="宋体" w:hAnsi="宋体" w:cs="宋体"/>
                <w:kern w:val="0"/>
              </w:rPr>
              <w:t>支持跨天打卡考勤，第一天晚上打卡签到跨到第二天能自动提示签退。</w:t>
            </w:r>
          </w:p>
        </w:tc>
      </w:tr>
      <w:tr w14:paraId="78725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8" w:type="pct"/>
            <w:vMerge w:val="continue"/>
            <w:vAlign w:val="center"/>
          </w:tcPr>
          <w:p w14:paraId="09C1AEE1">
            <w:pPr>
              <w:widowControl/>
              <w:jc w:val="center"/>
              <w:rPr>
                <w:rFonts w:ascii="宋体" w:hAnsi="宋体" w:cs="宋体"/>
                <w:kern w:val="0"/>
              </w:rPr>
            </w:pPr>
          </w:p>
        </w:tc>
        <w:tc>
          <w:tcPr>
            <w:tcW w:w="749" w:type="pct"/>
            <w:vAlign w:val="center"/>
          </w:tcPr>
          <w:p w14:paraId="309A39C1">
            <w:pPr>
              <w:widowControl/>
              <w:jc w:val="left"/>
              <w:rPr>
                <w:rFonts w:ascii="宋体" w:hAnsi="宋体" w:cs="宋体"/>
                <w:kern w:val="0"/>
              </w:rPr>
            </w:pPr>
            <w:r>
              <w:rPr>
                <w:rFonts w:hint="eastAsia" w:ascii="宋体" w:hAnsi="宋体" w:cs="宋体"/>
                <w:kern w:val="0"/>
              </w:rPr>
              <w:t>电子围栏设置</w:t>
            </w:r>
          </w:p>
        </w:tc>
        <w:tc>
          <w:tcPr>
            <w:tcW w:w="3772" w:type="pct"/>
            <w:vAlign w:val="center"/>
          </w:tcPr>
          <w:p w14:paraId="1FCC204C">
            <w:pPr>
              <w:widowControl/>
              <w:snapToGrid w:val="0"/>
              <w:rPr>
                <w:rFonts w:ascii="宋体" w:hAnsi="宋体" w:cs="宋体"/>
                <w:kern w:val="0"/>
              </w:rPr>
            </w:pPr>
            <w:r>
              <w:rPr>
                <w:rFonts w:hint="eastAsia" w:ascii="宋体" w:hAnsi="宋体" w:cs="宋体"/>
                <w:kern w:val="0"/>
              </w:rPr>
              <w:t>设置允许考勤的地理范围。允许设置多个考勤地点，包括但不限于医院、社区医院、医联体医院等。</w:t>
            </w:r>
          </w:p>
        </w:tc>
      </w:tr>
      <w:tr w14:paraId="2A31D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8" w:type="pct"/>
            <w:vMerge w:val="continue"/>
            <w:vAlign w:val="center"/>
          </w:tcPr>
          <w:p w14:paraId="75BA7C62">
            <w:pPr>
              <w:widowControl/>
              <w:jc w:val="center"/>
              <w:rPr>
                <w:rFonts w:ascii="宋体" w:hAnsi="宋体" w:cs="宋体"/>
                <w:kern w:val="0"/>
              </w:rPr>
            </w:pPr>
          </w:p>
        </w:tc>
        <w:tc>
          <w:tcPr>
            <w:tcW w:w="749" w:type="pct"/>
            <w:vMerge w:val="restart"/>
            <w:vAlign w:val="center"/>
          </w:tcPr>
          <w:p w14:paraId="61239451">
            <w:pPr>
              <w:widowControl/>
              <w:jc w:val="left"/>
              <w:rPr>
                <w:rFonts w:ascii="宋体" w:hAnsi="宋体" w:cs="宋体"/>
                <w:kern w:val="0"/>
              </w:rPr>
            </w:pPr>
            <w:r>
              <w:rPr>
                <w:rFonts w:hint="eastAsia" w:ascii="宋体" w:hAnsi="宋体" w:cs="宋体"/>
                <w:kern w:val="0"/>
              </w:rPr>
              <w:t>考勤班次</w:t>
            </w:r>
          </w:p>
        </w:tc>
        <w:tc>
          <w:tcPr>
            <w:tcW w:w="3772" w:type="pct"/>
            <w:vAlign w:val="center"/>
          </w:tcPr>
          <w:p w14:paraId="6CEA18F7">
            <w:pPr>
              <w:widowControl/>
              <w:snapToGrid w:val="0"/>
              <w:rPr>
                <w:rFonts w:ascii="宋体" w:hAnsi="宋体" w:cs="宋体"/>
                <w:kern w:val="0"/>
              </w:rPr>
            </w:pPr>
            <w:r>
              <w:rPr>
                <w:rFonts w:hint="eastAsia" w:ascii="宋体" w:hAnsi="宋体" w:cs="宋体"/>
                <w:kern w:val="0"/>
              </w:rPr>
              <w:t>支持排日班/值班/休息等多种考勤类型的形式，其中休息班次能自动打卡。</w:t>
            </w:r>
          </w:p>
        </w:tc>
      </w:tr>
      <w:tr w14:paraId="1876B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8" w:type="pct"/>
            <w:vMerge w:val="continue"/>
            <w:vAlign w:val="center"/>
          </w:tcPr>
          <w:p w14:paraId="5B467F04">
            <w:pPr>
              <w:widowControl/>
              <w:jc w:val="center"/>
              <w:rPr>
                <w:rFonts w:ascii="宋体" w:hAnsi="宋体" w:cs="宋体"/>
                <w:kern w:val="0"/>
              </w:rPr>
            </w:pPr>
          </w:p>
        </w:tc>
        <w:tc>
          <w:tcPr>
            <w:tcW w:w="749" w:type="pct"/>
            <w:vMerge w:val="continue"/>
            <w:vAlign w:val="center"/>
          </w:tcPr>
          <w:p w14:paraId="51921DD2">
            <w:pPr>
              <w:widowControl/>
              <w:jc w:val="left"/>
              <w:rPr>
                <w:rFonts w:ascii="宋体" w:hAnsi="宋体" w:cs="宋体"/>
                <w:kern w:val="0"/>
              </w:rPr>
            </w:pPr>
          </w:p>
        </w:tc>
        <w:tc>
          <w:tcPr>
            <w:tcW w:w="3772" w:type="pct"/>
            <w:vAlign w:val="center"/>
          </w:tcPr>
          <w:p w14:paraId="2B924253">
            <w:pPr>
              <w:widowControl/>
              <w:snapToGrid w:val="0"/>
              <w:rPr>
                <w:rFonts w:ascii="宋体" w:hAnsi="宋体" w:cs="宋体"/>
                <w:kern w:val="0"/>
              </w:rPr>
            </w:pPr>
            <w:r>
              <w:rPr>
                <w:rFonts w:hint="eastAsia" w:ascii="宋体" w:hAnsi="宋体" w:cs="宋体"/>
                <w:kern w:val="0"/>
              </w:rPr>
              <w:t>支持自定义考勤班次，支持考勤班次单独配置归属；可根据班次设置打卡时间段、时间范围，支持迟到早退判定。</w:t>
            </w:r>
          </w:p>
        </w:tc>
      </w:tr>
      <w:tr w14:paraId="6A559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8" w:type="pct"/>
            <w:vMerge w:val="continue"/>
            <w:vAlign w:val="center"/>
          </w:tcPr>
          <w:p w14:paraId="459B8E7F">
            <w:pPr>
              <w:widowControl/>
              <w:jc w:val="center"/>
              <w:rPr>
                <w:rFonts w:ascii="宋体" w:hAnsi="宋体" w:cs="宋体"/>
                <w:kern w:val="0"/>
              </w:rPr>
            </w:pPr>
          </w:p>
        </w:tc>
        <w:tc>
          <w:tcPr>
            <w:tcW w:w="749" w:type="pct"/>
            <w:vMerge w:val="restart"/>
            <w:vAlign w:val="center"/>
          </w:tcPr>
          <w:p w14:paraId="45740D69">
            <w:pPr>
              <w:widowControl/>
              <w:jc w:val="left"/>
              <w:rPr>
                <w:rFonts w:ascii="宋体" w:hAnsi="宋体" w:cs="宋体"/>
                <w:kern w:val="0"/>
              </w:rPr>
            </w:pPr>
            <w:r>
              <w:rPr>
                <w:rFonts w:hint="eastAsia" w:ascii="宋体" w:hAnsi="宋体" w:cs="宋体"/>
                <w:kern w:val="0"/>
              </w:rPr>
              <w:t>日常考勤打卡</w:t>
            </w:r>
          </w:p>
        </w:tc>
        <w:tc>
          <w:tcPr>
            <w:tcW w:w="3772" w:type="pct"/>
            <w:vAlign w:val="center"/>
          </w:tcPr>
          <w:p w14:paraId="4522F8F5">
            <w:pPr>
              <w:widowControl/>
              <w:snapToGrid w:val="0"/>
              <w:rPr>
                <w:rFonts w:ascii="宋体" w:hAnsi="宋体" w:cs="宋体"/>
                <w:kern w:val="0"/>
              </w:rPr>
            </w:pPr>
            <w:r>
              <w:rPr>
                <w:rFonts w:hint="eastAsia" w:ascii="宋体" w:hAnsi="宋体" w:cs="宋体"/>
                <w:kern w:val="0"/>
              </w:rPr>
              <w:t>支持手机端考勤签到签退，能利用GPS定位地址进行考勤是否正常的控制。</w:t>
            </w:r>
          </w:p>
        </w:tc>
      </w:tr>
      <w:tr w14:paraId="12BEA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8" w:type="pct"/>
            <w:vMerge w:val="continue"/>
            <w:vAlign w:val="center"/>
          </w:tcPr>
          <w:p w14:paraId="1807E435">
            <w:pPr>
              <w:widowControl/>
              <w:jc w:val="center"/>
              <w:rPr>
                <w:rFonts w:ascii="宋体" w:hAnsi="宋体" w:cs="宋体"/>
                <w:kern w:val="0"/>
              </w:rPr>
            </w:pPr>
          </w:p>
        </w:tc>
        <w:tc>
          <w:tcPr>
            <w:tcW w:w="749" w:type="pct"/>
            <w:vMerge w:val="continue"/>
            <w:vAlign w:val="center"/>
          </w:tcPr>
          <w:p w14:paraId="56D6BA7B">
            <w:pPr>
              <w:widowControl/>
              <w:jc w:val="left"/>
              <w:rPr>
                <w:rFonts w:ascii="宋体" w:hAnsi="宋体" w:cs="宋体"/>
                <w:kern w:val="0"/>
              </w:rPr>
            </w:pPr>
          </w:p>
        </w:tc>
        <w:tc>
          <w:tcPr>
            <w:tcW w:w="3772" w:type="pct"/>
            <w:vAlign w:val="center"/>
          </w:tcPr>
          <w:p w14:paraId="76B49117">
            <w:pPr>
              <w:widowControl/>
              <w:snapToGrid w:val="0"/>
              <w:rPr>
                <w:rFonts w:ascii="宋体" w:hAnsi="宋体" w:cs="宋体"/>
                <w:kern w:val="0"/>
              </w:rPr>
            </w:pPr>
            <w:r>
              <w:rPr>
                <w:rFonts w:hint="eastAsia" w:ascii="宋体" w:hAnsi="宋体" w:cs="宋体"/>
                <w:kern w:val="0"/>
              </w:rPr>
              <w:t>支持扫码打卡(支持一天双卡，一天四卡)和定位打卡，支持可根据不同的考勤班次单独为每个班次设定是采用扫码打卡还是定位打卡，或者两者都用。</w:t>
            </w:r>
          </w:p>
        </w:tc>
      </w:tr>
      <w:tr w14:paraId="18EE5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8" w:type="pct"/>
            <w:vMerge w:val="continue"/>
            <w:vAlign w:val="center"/>
          </w:tcPr>
          <w:p w14:paraId="72677C43">
            <w:pPr>
              <w:widowControl/>
              <w:jc w:val="center"/>
              <w:rPr>
                <w:rFonts w:ascii="宋体" w:hAnsi="宋体" w:cs="宋体"/>
                <w:kern w:val="0"/>
              </w:rPr>
            </w:pPr>
          </w:p>
        </w:tc>
        <w:tc>
          <w:tcPr>
            <w:tcW w:w="749" w:type="pct"/>
            <w:vAlign w:val="center"/>
          </w:tcPr>
          <w:p w14:paraId="2575517A">
            <w:pPr>
              <w:widowControl/>
              <w:jc w:val="left"/>
              <w:rPr>
                <w:rFonts w:ascii="宋体" w:hAnsi="宋体" w:cs="宋体"/>
                <w:kern w:val="0"/>
              </w:rPr>
            </w:pPr>
            <w:r>
              <w:rPr>
                <w:rFonts w:hint="eastAsia" w:ascii="宋体" w:hAnsi="宋体" w:cs="宋体"/>
                <w:kern w:val="0"/>
              </w:rPr>
              <w:t>请假审批流程</w:t>
            </w:r>
          </w:p>
        </w:tc>
        <w:tc>
          <w:tcPr>
            <w:tcW w:w="3772" w:type="pct"/>
            <w:vAlign w:val="center"/>
          </w:tcPr>
          <w:p w14:paraId="4DB65451">
            <w:pPr>
              <w:widowControl/>
              <w:snapToGrid w:val="0"/>
              <w:rPr>
                <w:rFonts w:ascii="宋体" w:hAnsi="宋体" w:cs="宋体"/>
                <w:kern w:val="0"/>
              </w:rPr>
            </w:pPr>
            <w:r>
              <w:rPr>
                <w:rFonts w:hint="eastAsia" w:ascii="宋体" w:hAnsi="宋体" w:cs="宋体"/>
                <w:kern w:val="0"/>
              </w:rPr>
              <w:t>支持自定义请假类型，每个请假类型可配置多个请假审核流程，每个流程都支持多角色审核。</w:t>
            </w:r>
          </w:p>
        </w:tc>
      </w:tr>
      <w:tr w14:paraId="08942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8" w:type="pct"/>
            <w:vMerge w:val="continue"/>
            <w:vAlign w:val="center"/>
          </w:tcPr>
          <w:p w14:paraId="2DC59C11">
            <w:pPr>
              <w:widowControl/>
              <w:jc w:val="center"/>
              <w:rPr>
                <w:rFonts w:ascii="宋体" w:hAnsi="宋体" w:cs="宋体"/>
                <w:kern w:val="0"/>
              </w:rPr>
            </w:pPr>
          </w:p>
        </w:tc>
        <w:tc>
          <w:tcPr>
            <w:tcW w:w="749" w:type="pct"/>
            <w:vMerge w:val="restart"/>
            <w:vAlign w:val="center"/>
          </w:tcPr>
          <w:p w14:paraId="2612DD44">
            <w:pPr>
              <w:widowControl/>
              <w:jc w:val="left"/>
              <w:rPr>
                <w:rFonts w:ascii="宋体" w:hAnsi="宋体" w:cs="宋体"/>
                <w:kern w:val="0"/>
              </w:rPr>
            </w:pPr>
            <w:r>
              <w:rPr>
                <w:rFonts w:hint="eastAsia" w:ascii="宋体" w:hAnsi="宋体" w:cs="宋体"/>
                <w:kern w:val="0"/>
              </w:rPr>
              <w:t>请假设置</w:t>
            </w:r>
          </w:p>
        </w:tc>
        <w:tc>
          <w:tcPr>
            <w:tcW w:w="3772" w:type="pct"/>
            <w:vAlign w:val="center"/>
          </w:tcPr>
          <w:p w14:paraId="16941678">
            <w:pPr>
              <w:widowControl/>
              <w:snapToGrid w:val="0"/>
              <w:rPr>
                <w:rFonts w:ascii="宋体" w:hAnsi="宋体" w:cs="宋体"/>
                <w:kern w:val="0"/>
              </w:rPr>
            </w:pPr>
            <w:r>
              <w:rPr>
                <w:rFonts w:hint="eastAsia" w:ascii="宋体" w:hAnsi="宋体" w:cs="宋体"/>
                <w:kern w:val="0"/>
              </w:rPr>
              <w:t>请假可关联补轮转计划，如果请假时间较长能自动追加请假时的轮转计划，以便达到国家规定的轮转时长要求。</w:t>
            </w:r>
          </w:p>
        </w:tc>
      </w:tr>
      <w:tr w14:paraId="37B94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8" w:type="pct"/>
            <w:vMerge w:val="continue"/>
            <w:vAlign w:val="center"/>
          </w:tcPr>
          <w:p w14:paraId="2D39D5B9">
            <w:pPr>
              <w:widowControl/>
              <w:jc w:val="center"/>
              <w:rPr>
                <w:rFonts w:ascii="宋体" w:hAnsi="宋体" w:cs="宋体"/>
                <w:kern w:val="0"/>
              </w:rPr>
            </w:pPr>
          </w:p>
        </w:tc>
        <w:tc>
          <w:tcPr>
            <w:tcW w:w="749" w:type="pct"/>
            <w:vMerge w:val="continue"/>
            <w:vAlign w:val="center"/>
          </w:tcPr>
          <w:p w14:paraId="75F06D81">
            <w:pPr>
              <w:widowControl/>
              <w:jc w:val="left"/>
              <w:rPr>
                <w:rFonts w:ascii="宋体" w:hAnsi="宋体" w:cs="宋体"/>
                <w:kern w:val="0"/>
              </w:rPr>
            </w:pPr>
          </w:p>
        </w:tc>
        <w:tc>
          <w:tcPr>
            <w:tcW w:w="3772" w:type="pct"/>
            <w:vAlign w:val="center"/>
          </w:tcPr>
          <w:p w14:paraId="488DBAA0">
            <w:pPr>
              <w:widowControl/>
              <w:snapToGrid w:val="0"/>
              <w:rPr>
                <w:rFonts w:ascii="宋体" w:hAnsi="宋体" w:cs="宋体"/>
                <w:kern w:val="0"/>
              </w:rPr>
            </w:pPr>
            <w:r>
              <w:rPr>
                <w:rFonts w:hint="eastAsia" w:ascii="宋体" w:hAnsi="宋体" w:cs="宋体"/>
                <w:kern w:val="0"/>
              </w:rPr>
              <w:t>针对不同请假类型可以设置不同的安全协议以及请假管理办法。</w:t>
            </w:r>
          </w:p>
        </w:tc>
      </w:tr>
      <w:tr w14:paraId="29B25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8" w:type="pct"/>
            <w:vMerge w:val="continue"/>
            <w:vAlign w:val="center"/>
          </w:tcPr>
          <w:p w14:paraId="67906C96">
            <w:pPr>
              <w:widowControl/>
              <w:jc w:val="center"/>
              <w:rPr>
                <w:rFonts w:ascii="宋体" w:hAnsi="宋体" w:cs="宋体"/>
                <w:kern w:val="0"/>
              </w:rPr>
            </w:pPr>
          </w:p>
        </w:tc>
        <w:tc>
          <w:tcPr>
            <w:tcW w:w="749" w:type="pct"/>
            <w:vAlign w:val="center"/>
          </w:tcPr>
          <w:p w14:paraId="05E71940">
            <w:pPr>
              <w:widowControl/>
              <w:jc w:val="left"/>
              <w:rPr>
                <w:rFonts w:ascii="宋体" w:hAnsi="宋体" w:cs="宋体"/>
                <w:kern w:val="0"/>
              </w:rPr>
            </w:pPr>
            <w:r>
              <w:rPr>
                <w:rFonts w:hint="eastAsia" w:ascii="宋体" w:hAnsi="宋体" w:cs="宋体"/>
                <w:kern w:val="0"/>
              </w:rPr>
              <w:t>请假单</w:t>
            </w:r>
          </w:p>
        </w:tc>
        <w:tc>
          <w:tcPr>
            <w:tcW w:w="3772" w:type="pct"/>
            <w:vAlign w:val="center"/>
          </w:tcPr>
          <w:p w14:paraId="55E1A541">
            <w:pPr>
              <w:widowControl/>
              <w:snapToGrid w:val="0"/>
              <w:rPr>
                <w:rFonts w:ascii="宋体" w:hAnsi="宋体" w:cs="宋体"/>
                <w:kern w:val="0"/>
              </w:rPr>
            </w:pPr>
            <w:r>
              <w:rPr>
                <w:rFonts w:hint="eastAsia" w:ascii="宋体" w:hAnsi="宋体" w:cs="宋体"/>
                <w:kern w:val="0"/>
              </w:rPr>
              <w:t>支持生成不允许修改的请假单PDF并进行打印。请假单内嵌防伪条形码。</w:t>
            </w:r>
          </w:p>
        </w:tc>
      </w:tr>
      <w:tr w14:paraId="75C94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8" w:type="pct"/>
            <w:vMerge w:val="continue"/>
            <w:vAlign w:val="center"/>
          </w:tcPr>
          <w:p w14:paraId="69D562EF">
            <w:pPr>
              <w:widowControl/>
              <w:jc w:val="center"/>
              <w:rPr>
                <w:rFonts w:ascii="宋体" w:hAnsi="宋体" w:cs="宋体"/>
                <w:kern w:val="0"/>
              </w:rPr>
            </w:pPr>
          </w:p>
        </w:tc>
        <w:tc>
          <w:tcPr>
            <w:tcW w:w="749" w:type="pct"/>
            <w:vMerge w:val="restart"/>
            <w:vAlign w:val="center"/>
          </w:tcPr>
          <w:p w14:paraId="777C4C88">
            <w:pPr>
              <w:widowControl/>
              <w:jc w:val="left"/>
              <w:rPr>
                <w:rFonts w:ascii="宋体" w:hAnsi="宋体" w:cs="宋体"/>
                <w:kern w:val="0"/>
              </w:rPr>
            </w:pPr>
            <w:r>
              <w:rPr>
                <w:rFonts w:hint="eastAsia" w:ascii="宋体" w:hAnsi="宋体" w:cs="宋体"/>
                <w:kern w:val="0"/>
              </w:rPr>
              <w:t>请假销假</w:t>
            </w:r>
          </w:p>
        </w:tc>
        <w:tc>
          <w:tcPr>
            <w:tcW w:w="3772" w:type="pct"/>
            <w:vAlign w:val="center"/>
          </w:tcPr>
          <w:p w14:paraId="2984EDDE">
            <w:pPr>
              <w:widowControl/>
              <w:snapToGrid w:val="0"/>
              <w:rPr>
                <w:rFonts w:ascii="宋体" w:hAnsi="宋体" w:cs="宋体"/>
                <w:kern w:val="0"/>
              </w:rPr>
            </w:pPr>
            <w:r>
              <w:rPr>
                <w:rFonts w:hint="eastAsia" w:ascii="宋体" w:hAnsi="宋体" w:cs="宋体"/>
                <w:kern w:val="0"/>
              </w:rPr>
              <w:t>支持学员在移动端提交请销假申请，支持一键扫码销假，</w:t>
            </w:r>
            <w:r>
              <w:rPr>
                <w:rFonts w:ascii="宋体" w:hAnsi="宋体" w:cs="宋体"/>
                <w:kern w:val="0"/>
                <w:lang w:bidi="ar"/>
              </w:rPr>
              <w:t>用于管理部门确认请假结束人员已回岗</w:t>
            </w:r>
            <w:r>
              <w:rPr>
                <w:rFonts w:hint="eastAsia" w:ascii="宋体" w:hAnsi="宋体" w:cs="宋体"/>
                <w:kern w:val="0"/>
                <w:lang w:bidi="ar"/>
              </w:rPr>
              <w:t>。</w:t>
            </w:r>
          </w:p>
        </w:tc>
      </w:tr>
      <w:tr w14:paraId="02794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8" w:type="pct"/>
            <w:vMerge w:val="continue"/>
            <w:vAlign w:val="center"/>
          </w:tcPr>
          <w:p w14:paraId="1CFCDA72">
            <w:pPr>
              <w:widowControl/>
              <w:jc w:val="center"/>
              <w:rPr>
                <w:rFonts w:ascii="宋体" w:hAnsi="宋体" w:cs="宋体"/>
                <w:kern w:val="0"/>
              </w:rPr>
            </w:pPr>
          </w:p>
        </w:tc>
        <w:tc>
          <w:tcPr>
            <w:tcW w:w="749" w:type="pct"/>
            <w:vMerge w:val="continue"/>
            <w:vAlign w:val="center"/>
          </w:tcPr>
          <w:p w14:paraId="5A1CB1CA">
            <w:pPr>
              <w:widowControl/>
              <w:jc w:val="left"/>
              <w:rPr>
                <w:rFonts w:ascii="宋体" w:hAnsi="宋体" w:cs="宋体"/>
                <w:kern w:val="0"/>
              </w:rPr>
            </w:pPr>
          </w:p>
        </w:tc>
        <w:tc>
          <w:tcPr>
            <w:tcW w:w="3772" w:type="pct"/>
            <w:vAlign w:val="center"/>
          </w:tcPr>
          <w:p w14:paraId="56519330">
            <w:pPr>
              <w:widowControl/>
              <w:snapToGrid w:val="0"/>
              <w:rPr>
                <w:rFonts w:ascii="宋体" w:hAnsi="宋体" w:cs="宋体"/>
                <w:kern w:val="0"/>
              </w:rPr>
            </w:pPr>
            <w:r>
              <w:t>支持请假和销假的</w:t>
            </w:r>
            <w:r>
              <w:rPr>
                <w:rFonts w:hint="eastAsia"/>
              </w:rPr>
              <w:t>消息</w:t>
            </w:r>
            <w:r>
              <w:t>提醒，在请假结束时自动提醒销假</w:t>
            </w:r>
            <w:r>
              <w:rPr>
                <w:rFonts w:hint="eastAsia"/>
              </w:rPr>
              <w:t>。</w:t>
            </w:r>
          </w:p>
        </w:tc>
      </w:tr>
      <w:tr w14:paraId="713D4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8" w:type="pct"/>
            <w:vMerge w:val="continue"/>
            <w:vAlign w:val="center"/>
          </w:tcPr>
          <w:p w14:paraId="653BEEA7">
            <w:pPr>
              <w:widowControl/>
              <w:jc w:val="center"/>
              <w:rPr>
                <w:rFonts w:ascii="宋体" w:hAnsi="宋体" w:cs="宋体"/>
                <w:kern w:val="0"/>
              </w:rPr>
            </w:pPr>
          </w:p>
        </w:tc>
        <w:tc>
          <w:tcPr>
            <w:tcW w:w="749" w:type="pct"/>
            <w:vAlign w:val="center"/>
          </w:tcPr>
          <w:p w14:paraId="1D73AFB1">
            <w:pPr>
              <w:widowControl/>
              <w:jc w:val="left"/>
              <w:rPr>
                <w:rFonts w:ascii="宋体" w:hAnsi="宋体" w:cs="宋体"/>
                <w:kern w:val="0"/>
              </w:rPr>
            </w:pPr>
            <w:r>
              <w:rPr>
                <w:rFonts w:hint="eastAsia" w:ascii="宋体" w:hAnsi="宋体" w:cs="宋体"/>
                <w:kern w:val="0"/>
                <w:lang w:eastAsia="zh-Hans"/>
              </w:rPr>
              <w:t>值班申请</w:t>
            </w:r>
          </w:p>
        </w:tc>
        <w:tc>
          <w:tcPr>
            <w:tcW w:w="3772" w:type="pct"/>
            <w:vAlign w:val="center"/>
          </w:tcPr>
          <w:p w14:paraId="7547E049">
            <w:pPr>
              <w:widowControl/>
              <w:snapToGrid w:val="0"/>
              <w:rPr>
                <w:rFonts w:ascii="宋体" w:hAnsi="宋体" w:cs="宋体"/>
                <w:kern w:val="0"/>
              </w:rPr>
            </w:pPr>
            <w:r>
              <w:t>支持学员发起值班申请，支持登记值班的管床数，审核通过后自动同步到轮转记录并体现为出科内容项目</w:t>
            </w:r>
            <w:r>
              <w:rPr>
                <w:rFonts w:hint="eastAsia"/>
              </w:rPr>
              <w:t>。</w:t>
            </w:r>
          </w:p>
        </w:tc>
      </w:tr>
      <w:tr w14:paraId="7704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8" w:type="pct"/>
            <w:vMerge w:val="continue"/>
            <w:vAlign w:val="center"/>
          </w:tcPr>
          <w:p w14:paraId="0B5C3274">
            <w:pPr>
              <w:widowControl/>
              <w:jc w:val="center"/>
              <w:rPr>
                <w:rFonts w:ascii="宋体" w:hAnsi="宋体" w:cs="宋体"/>
                <w:kern w:val="0"/>
              </w:rPr>
            </w:pPr>
          </w:p>
        </w:tc>
        <w:tc>
          <w:tcPr>
            <w:tcW w:w="749" w:type="pct"/>
            <w:vAlign w:val="center"/>
          </w:tcPr>
          <w:p w14:paraId="1F3DD289">
            <w:pPr>
              <w:widowControl/>
              <w:jc w:val="left"/>
              <w:rPr>
                <w:rFonts w:ascii="宋体" w:hAnsi="宋体" w:cs="宋体"/>
                <w:kern w:val="0"/>
              </w:rPr>
            </w:pPr>
            <w:r>
              <w:rPr>
                <w:rFonts w:hint="eastAsia" w:ascii="宋体" w:hAnsi="宋体" w:cs="宋体"/>
                <w:kern w:val="0"/>
              </w:rPr>
              <w:t>请假审核</w:t>
            </w:r>
          </w:p>
        </w:tc>
        <w:tc>
          <w:tcPr>
            <w:tcW w:w="3772" w:type="pct"/>
            <w:vAlign w:val="center"/>
          </w:tcPr>
          <w:p w14:paraId="63192CA3">
            <w:pPr>
              <w:widowControl/>
              <w:snapToGrid w:val="0"/>
              <w:rPr>
                <w:rFonts w:ascii="宋体" w:hAnsi="宋体" w:cs="宋体"/>
                <w:kern w:val="0"/>
              </w:rPr>
            </w:pPr>
            <w:r>
              <w:rPr>
                <w:rFonts w:hint="eastAsia" w:ascii="宋体" w:hAnsi="宋体" w:cs="宋体"/>
                <w:kern w:val="0"/>
              </w:rPr>
              <w:t>可自定义请假审核流程，根据请假天数设置不同的审核人员和审核环节，支持维护请假规定、安全协议等。</w:t>
            </w:r>
          </w:p>
        </w:tc>
      </w:tr>
      <w:tr w14:paraId="6F619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8" w:type="pct"/>
            <w:vMerge w:val="restart"/>
            <w:vAlign w:val="center"/>
          </w:tcPr>
          <w:p w14:paraId="12B03D80">
            <w:pPr>
              <w:widowControl/>
              <w:jc w:val="center"/>
              <w:rPr>
                <w:rFonts w:ascii="宋体" w:hAnsi="宋体" w:cs="宋体"/>
                <w:kern w:val="0"/>
              </w:rPr>
            </w:pPr>
            <w:r>
              <w:rPr>
                <w:rFonts w:hint="eastAsia" w:ascii="宋体" w:hAnsi="宋体" w:cs="宋体"/>
                <w:kern w:val="0"/>
              </w:rPr>
              <w:t>住宿管理</w:t>
            </w:r>
          </w:p>
        </w:tc>
        <w:tc>
          <w:tcPr>
            <w:tcW w:w="749" w:type="pct"/>
            <w:vAlign w:val="center"/>
          </w:tcPr>
          <w:p w14:paraId="383DBE23">
            <w:pPr>
              <w:widowControl/>
              <w:jc w:val="left"/>
              <w:rPr>
                <w:rFonts w:ascii="宋体" w:hAnsi="宋体" w:cs="宋体"/>
                <w:kern w:val="0"/>
              </w:rPr>
            </w:pPr>
            <w:r>
              <w:rPr>
                <w:rFonts w:hint="eastAsia" w:ascii="宋体" w:hAnsi="宋体" w:cs="宋体"/>
                <w:kern w:val="0"/>
              </w:rPr>
              <w:t>宿舍迁入迁出管理</w:t>
            </w:r>
          </w:p>
        </w:tc>
        <w:tc>
          <w:tcPr>
            <w:tcW w:w="3772" w:type="pct"/>
            <w:vAlign w:val="center"/>
          </w:tcPr>
          <w:p w14:paraId="6E5FBBC8">
            <w:pPr>
              <w:widowControl/>
              <w:snapToGrid w:val="0"/>
              <w:rPr>
                <w:rFonts w:ascii="宋体" w:hAnsi="宋体" w:cs="宋体"/>
                <w:kern w:val="0"/>
              </w:rPr>
            </w:pPr>
            <w:r>
              <w:rPr>
                <w:rFonts w:hint="eastAsia" w:ascii="宋体" w:hAnsi="宋体" w:cs="宋体"/>
                <w:kern w:val="0"/>
              </w:rPr>
              <w:t>支持学员申请入住、管理员审核申请以及记录申请审核全过程管理。</w:t>
            </w:r>
          </w:p>
        </w:tc>
      </w:tr>
      <w:tr w14:paraId="0361D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8" w:type="pct"/>
            <w:vMerge w:val="continue"/>
            <w:vAlign w:val="center"/>
          </w:tcPr>
          <w:p w14:paraId="6B2655D5">
            <w:pPr>
              <w:widowControl/>
              <w:jc w:val="center"/>
              <w:rPr>
                <w:rFonts w:ascii="宋体" w:hAnsi="宋体" w:cs="宋体"/>
                <w:kern w:val="0"/>
              </w:rPr>
            </w:pPr>
          </w:p>
        </w:tc>
        <w:tc>
          <w:tcPr>
            <w:tcW w:w="749" w:type="pct"/>
            <w:vAlign w:val="center"/>
          </w:tcPr>
          <w:p w14:paraId="616882DF">
            <w:pPr>
              <w:widowControl/>
              <w:jc w:val="left"/>
              <w:rPr>
                <w:rFonts w:ascii="宋体" w:hAnsi="宋体" w:cs="宋体"/>
                <w:kern w:val="0"/>
              </w:rPr>
            </w:pPr>
            <w:r>
              <w:rPr>
                <w:rFonts w:hint="eastAsia" w:ascii="宋体" w:hAnsi="宋体" w:cs="宋体"/>
                <w:kern w:val="0"/>
              </w:rPr>
              <w:t>宿舍楼管理</w:t>
            </w:r>
          </w:p>
        </w:tc>
        <w:tc>
          <w:tcPr>
            <w:tcW w:w="3772" w:type="pct"/>
            <w:vAlign w:val="center"/>
          </w:tcPr>
          <w:p w14:paraId="6E5528AB">
            <w:pPr>
              <w:widowControl/>
              <w:snapToGrid w:val="0"/>
              <w:rPr>
                <w:rFonts w:ascii="宋体" w:hAnsi="宋体" w:cs="宋体"/>
                <w:kern w:val="0"/>
              </w:rPr>
            </w:pPr>
            <w:r>
              <w:rPr>
                <w:rFonts w:hint="eastAsia" w:ascii="宋体" w:hAnsi="宋体" w:cs="宋体"/>
                <w:kern w:val="0"/>
              </w:rPr>
              <w:t>支持对宿舍楼信息维护，管理楼栋名称、楼栋层数、每层户数、每户床数、是否支持上下铺。支持发布宿舍楼管理制度、消息通知等。支持登记每一个宿舍间的设备情况，例如是否有空调、是否是独立卫生间，以及登记其他设备。</w:t>
            </w:r>
          </w:p>
        </w:tc>
      </w:tr>
      <w:tr w14:paraId="42EA7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8" w:type="pct"/>
            <w:vMerge w:val="continue"/>
            <w:vAlign w:val="center"/>
          </w:tcPr>
          <w:p w14:paraId="2AF6D84F">
            <w:pPr>
              <w:widowControl/>
              <w:jc w:val="center"/>
              <w:rPr>
                <w:rFonts w:ascii="宋体" w:hAnsi="宋体" w:cs="宋体"/>
                <w:kern w:val="0"/>
              </w:rPr>
            </w:pPr>
          </w:p>
        </w:tc>
        <w:tc>
          <w:tcPr>
            <w:tcW w:w="749" w:type="pct"/>
            <w:vAlign w:val="center"/>
          </w:tcPr>
          <w:p w14:paraId="2535CB14">
            <w:pPr>
              <w:widowControl/>
              <w:jc w:val="left"/>
              <w:rPr>
                <w:rFonts w:ascii="宋体" w:hAnsi="宋体" w:cs="宋体"/>
                <w:kern w:val="0"/>
              </w:rPr>
            </w:pPr>
            <w:r>
              <w:rPr>
                <w:rFonts w:hint="eastAsia" w:ascii="宋体" w:hAnsi="宋体" w:cs="宋体"/>
                <w:kern w:val="0"/>
              </w:rPr>
              <w:t>宿舍信息管理</w:t>
            </w:r>
          </w:p>
        </w:tc>
        <w:tc>
          <w:tcPr>
            <w:tcW w:w="3772" w:type="pct"/>
            <w:vAlign w:val="center"/>
          </w:tcPr>
          <w:p w14:paraId="00A1282E">
            <w:pPr>
              <w:widowControl/>
              <w:snapToGrid w:val="0"/>
              <w:rPr>
                <w:rFonts w:ascii="宋体" w:hAnsi="宋体" w:cs="宋体"/>
                <w:kern w:val="0"/>
              </w:rPr>
            </w:pPr>
            <w:r>
              <w:rPr>
                <w:rFonts w:hint="eastAsia" w:ascii="宋体" w:hAnsi="宋体" w:cs="宋体"/>
                <w:kern w:val="0"/>
              </w:rPr>
              <w:t>支持入住人员对宿舍信息进行维护，包括宿舍水电度数、宿舍设备信息以及宿管信息；支持管理员对宿舍楼、宿舍以及宿舍信息进行增、删、改、查操作。</w:t>
            </w:r>
          </w:p>
        </w:tc>
      </w:tr>
      <w:tr w14:paraId="0305C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8" w:type="pct"/>
            <w:vMerge w:val="continue"/>
            <w:vAlign w:val="center"/>
          </w:tcPr>
          <w:p w14:paraId="469D26DC">
            <w:pPr>
              <w:widowControl/>
              <w:jc w:val="center"/>
              <w:rPr>
                <w:rFonts w:ascii="宋体" w:hAnsi="宋体" w:cs="宋体"/>
                <w:kern w:val="0"/>
              </w:rPr>
            </w:pPr>
          </w:p>
        </w:tc>
        <w:tc>
          <w:tcPr>
            <w:tcW w:w="749" w:type="pct"/>
            <w:vAlign w:val="center"/>
          </w:tcPr>
          <w:p w14:paraId="31C59761">
            <w:pPr>
              <w:widowControl/>
              <w:jc w:val="left"/>
              <w:rPr>
                <w:rFonts w:ascii="宋体" w:hAnsi="宋体" w:cs="宋体"/>
                <w:kern w:val="0"/>
              </w:rPr>
            </w:pPr>
            <w:r>
              <w:rPr>
                <w:rFonts w:hint="eastAsia" w:ascii="宋体" w:hAnsi="宋体" w:cs="宋体"/>
                <w:kern w:val="0"/>
              </w:rPr>
              <w:t>宿舍分配</w:t>
            </w:r>
          </w:p>
        </w:tc>
        <w:tc>
          <w:tcPr>
            <w:tcW w:w="3772" w:type="pct"/>
            <w:vAlign w:val="center"/>
          </w:tcPr>
          <w:p w14:paraId="33D560C3">
            <w:pPr>
              <w:widowControl/>
              <w:snapToGrid w:val="0"/>
              <w:rPr>
                <w:rFonts w:ascii="宋体" w:hAnsi="宋体" w:cs="宋体"/>
                <w:kern w:val="0"/>
              </w:rPr>
            </w:pPr>
            <w:r>
              <w:rPr>
                <w:rFonts w:hint="eastAsia" w:ascii="宋体" w:hAnsi="宋体" w:cs="宋体"/>
                <w:kern w:val="0"/>
              </w:rPr>
              <w:t>系统支持人员自动分配宿舍，并支持顺序分配、均衡分配等多种分配方式。</w:t>
            </w:r>
          </w:p>
        </w:tc>
      </w:tr>
      <w:tr w14:paraId="2B19A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8" w:type="pct"/>
            <w:vMerge w:val="continue"/>
            <w:vAlign w:val="center"/>
          </w:tcPr>
          <w:p w14:paraId="5625A2AF">
            <w:pPr>
              <w:widowControl/>
              <w:jc w:val="center"/>
              <w:rPr>
                <w:rFonts w:ascii="宋体" w:hAnsi="宋体" w:cs="宋体"/>
                <w:kern w:val="0"/>
              </w:rPr>
            </w:pPr>
          </w:p>
        </w:tc>
        <w:tc>
          <w:tcPr>
            <w:tcW w:w="749" w:type="pct"/>
            <w:vAlign w:val="center"/>
          </w:tcPr>
          <w:p w14:paraId="08795907">
            <w:pPr>
              <w:widowControl/>
              <w:jc w:val="left"/>
              <w:rPr>
                <w:rFonts w:ascii="宋体" w:hAnsi="宋体" w:cs="宋体"/>
                <w:kern w:val="0"/>
              </w:rPr>
            </w:pPr>
            <w:r>
              <w:rPr>
                <w:rFonts w:hint="eastAsia" w:ascii="宋体" w:hAnsi="宋体" w:cs="宋体"/>
                <w:kern w:val="0"/>
              </w:rPr>
              <w:t>宿舍数据统计</w:t>
            </w:r>
          </w:p>
        </w:tc>
        <w:tc>
          <w:tcPr>
            <w:tcW w:w="3772" w:type="pct"/>
            <w:vAlign w:val="center"/>
          </w:tcPr>
          <w:p w14:paraId="275E95DE">
            <w:pPr>
              <w:widowControl/>
              <w:snapToGrid w:val="0"/>
              <w:rPr>
                <w:rFonts w:ascii="宋体" w:hAnsi="宋体" w:cs="宋体"/>
                <w:kern w:val="0"/>
              </w:rPr>
            </w:pPr>
            <w:r>
              <w:rPr>
                <w:rFonts w:hint="eastAsia" w:ascii="宋体" w:hAnsi="宋体" w:cs="宋体"/>
                <w:kern w:val="0"/>
              </w:rPr>
              <w:t>支持统计宿舍月用水用电情况。</w:t>
            </w:r>
          </w:p>
        </w:tc>
      </w:tr>
      <w:tr w14:paraId="39153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8" w:type="pct"/>
            <w:vMerge w:val="restart"/>
            <w:vAlign w:val="center"/>
          </w:tcPr>
          <w:p w14:paraId="24335D30">
            <w:pPr>
              <w:widowControl/>
              <w:jc w:val="center"/>
              <w:rPr>
                <w:rFonts w:ascii="宋体" w:hAnsi="宋体" w:cs="宋体"/>
                <w:kern w:val="0"/>
              </w:rPr>
            </w:pPr>
            <w:r>
              <w:rPr>
                <w:rFonts w:hint="eastAsia" w:ascii="宋体" w:hAnsi="宋体" w:cs="宋体"/>
                <w:kern w:val="0"/>
              </w:rPr>
              <w:t>文档中心</w:t>
            </w:r>
          </w:p>
        </w:tc>
        <w:tc>
          <w:tcPr>
            <w:tcW w:w="749" w:type="pct"/>
            <w:vAlign w:val="center"/>
          </w:tcPr>
          <w:p w14:paraId="64910545">
            <w:pPr>
              <w:widowControl/>
              <w:jc w:val="left"/>
              <w:rPr>
                <w:rFonts w:ascii="宋体" w:hAnsi="宋体" w:cs="宋体"/>
                <w:kern w:val="0"/>
              </w:rPr>
            </w:pPr>
            <w:r>
              <w:rPr>
                <w:rFonts w:hint="eastAsia" w:ascii="宋体" w:hAnsi="宋体" w:cs="宋体"/>
                <w:kern w:val="0"/>
              </w:rPr>
              <w:t>文档管理</w:t>
            </w:r>
          </w:p>
        </w:tc>
        <w:tc>
          <w:tcPr>
            <w:tcW w:w="3772" w:type="pct"/>
            <w:vAlign w:val="center"/>
          </w:tcPr>
          <w:p w14:paraId="3415B833">
            <w:pPr>
              <w:widowControl/>
              <w:snapToGrid w:val="0"/>
              <w:rPr>
                <w:rFonts w:ascii="宋体" w:hAnsi="宋体" w:cs="宋体"/>
                <w:kern w:val="0"/>
              </w:rPr>
            </w:pPr>
            <w:r>
              <w:rPr>
                <w:rFonts w:hint="eastAsia" w:ascii="宋体" w:hAnsi="宋体" w:cs="宋体"/>
                <w:kern w:val="0"/>
              </w:rPr>
              <w:t>可以对文档中心的文档进行增删改查操作。</w:t>
            </w:r>
          </w:p>
        </w:tc>
      </w:tr>
      <w:tr w14:paraId="19D17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8" w:type="pct"/>
            <w:vMerge w:val="continue"/>
            <w:vAlign w:val="center"/>
          </w:tcPr>
          <w:p w14:paraId="7CC83E65">
            <w:pPr>
              <w:widowControl/>
              <w:jc w:val="center"/>
              <w:rPr>
                <w:rFonts w:ascii="宋体" w:hAnsi="宋体" w:cs="宋体"/>
                <w:kern w:val="0"/>
              </w:rPr>
            </w:pPr>
          </w:p>
        </w:tc>
        <w:tc>
          <w:tcPr>
            <w:tcW w:w="749" w:type="pct"/>
            <w:vAlign w:val="center"/>
          </w:tcPr>
          <w:p w14:paraId="38708C4B">
            <w:pPr>
              <w:widowControl/>
              <w:jc w:val="left"/>
              <w:rPr>
                <w:rFonts w:ascii="宋体" w:hAnsi="宋体" w:cs="宋体"/>
                <w:kern w:val="0"/>
              </w:rPr>
            </w:pPr>
            <w:r>
              <w:rPr>
                <w:rFonts w:hint="eastAsia" w:ascii="宋体" w:hAnsi="宋体" w:cs="宋体"/>
                <w:kern w:val="0"/>
              </w:rPr>
              <w:t>文档类型</w:t>
            </w:r>
          </w:p>
        </w:tc>
        <w:tc>
          <w:tcPr>
            <w:tcW w:w="3772" w:type="pct"/>
            <w:vAlign w:val="center"/>
          </w:tcPr>
          <w:p w14:paraId="0DB08921">
            <w:pPr>
              <w:widowControl/>
              <w:snapToGrid w:val="0"/>
              <w:rPr>
                <w:rFonts w:ascii="宋体" w:hAnsi="宋体" w:cs="宋体"/>
                <w:kern w:val="0"/>
              </w:rPr>
            </w:pPr>
            <w:r>
              <w:rPr>
                <w:rFonts w:hint="eastAsia" w:ascii="宋体" w:hAnsi="宋体" w:cs="宋体"/>
                <w:kern w:val="0"/>
              </w:rPr>
              <w:t>支持word/ppt/excel/pdf/png/jpg等常用文档格式的上传。</w:t>
            </w:r>
          </w:p>
        </w:tc>
      </w:tr>
      <w:tr w14:paraId="47736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8" w:type="pct"/>
            <w:vMerge w:val="continue"/>
            <w:vAlign w:val="center"/>
          </w:tcPr>
          <w:p w14:paraId="20B4B2D4">
            <w:pPr>
              <w:widowControl/>
              <w:jc w:val="center"/>
              <w:rPr>
                <w:rFonts w:ascii="宋体" w:hAnsi="宋体" w:cs="宋体"/>
                <w:kern w:val="0"/>
              </w:rPr>
            </w:pPr>
          </w:p>
        </w:tc>
        <w:tc>
          <w:tcPr>
            <w:tcW w:w="749" w:type="pct"/>
            <w:vAlign w:val="center"/>
          </w:tcPr>
          <w:p w14:paraId="780C7E65">
            <w:pPr>
              <w:widowControl/>
              <w:jc w:val="left"/>
              <w:rPr>
                <w:rFonts w:ascii="宋体" w:hAnsi="宋体" w:cs="宋体"/>
                <w:kern w:val="0"/>
              </w:rPr>
            </w:pPr>
            <w:r>
              <w:rPr>
                <w:rFonts w:hint="eastAsia" w:ascii="宋体" w:hAnsi="宋体" w:cs="宋体"/>
                <w:kern w:val="0"/>
              </w:rPr>
              <w:t>查看次数</w:t>
            </w:r>
          </w:p>
        </w:tc>
        <w:tc>
          <w:tcPr>
            <w:tcW w:w="3772" w:type="pct"/>
            <w:vAlign w:val="center"/>
          </w:tcPr>
          <w:p w14:paraId="4D5C6EE0">
            <w:pPr>
              <w:widowControl/>
              <w:snapToGrid w:val="0"/>
              <w:rPr>
                <w:rFonts w:ascii="宋体" w:hAnsi="宋体" w:cs="宋体"/>
                <w:kern w:val="0"/>
              </w:rPr>
            </w:pPr>
            <w:r>
              <w:rPr>
                <w:rFonts w:hint="eastAsia" w:ascii="宋体" w:hAnsi="宋体" w:cs="宋体"/>
                <w:kern w:val="0"/>
              </w:rPr>
              <w:t>可以查询文档的被查看次数。</w:t>
            </w:r>
          </w:p>
        </w:tc>
      </w:tr>
      <w:tr w14:paraId="16A0A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8" w:type="pct"/>
            <w:vMerge w:val="continue"/>
            <w:vAlign w:val="center"/>
          </w:tcPr>
          <w:p w14:paraId="3DBE863F">
            <w:pPr>
              <w:widowControl/>
              <w:jc w:val="center"/>
              <w:rPr>
                <w:rFonts w:ascii="宋体" w:hAnsi="宋体" w:cs="宋体"/>
                <w:kern w:val="0"/>
              </w:rPr>
            </w:pPr>
          </w:p>
        </w:tc>
        <w:tc>
          <w:tcPr>
            <w:tcW w:w="749" w:type="pct"/>
            <w:vAlign w:val="center"/>
          </w:tcPr>
          <w:p w14:paraId="690CFF18">
            <w:pPr>
              <w:widowControl/>
              <w:jc w:val="left"/>
              <w:rPr>
                <w:rFonts w:ascii="宋体" w:hAnsi="宋体" w:cs="宋体"/>
                <w:kern w:val="0"/>
              </w:rPr>
            </w:pPr>
            <w:r>
              <w:rPr>
                <w:rFonts w:hint="eastAsia" w:ascii="宋体" w:hAnsi="宋体" w:cs="宋体"/>
                <w:kern w:val="0"/>
              </w:rPr>
              <w:t>文档分类</w:t>
            </w:r>
          </w:p>
        </w:tc>
        <w:tc>
          <w:tcPr>
            <w:tcW w:w="3772" w:type="pct"/>
            <w:vAlign w:val="center"/>
          </w:tcPr>
          <w:p w14:paraId="3F74A441">
            <w:pPr>
              <w:widowControl/>
              <w:snapToGrid w:val="0"/>
              <w:rPr>
                <w:rFonts w:ascii="宋体" w:hAnsi="宋体" w:cs="宋体"/>
                <w:kern w:val="0"/>
              </w:rPr>
            </w:pPr>
            <w:r>
              <w:rPr>
                <w:rFonts w:hint="eastAsia" w:ascii="宋体" w:hAnsi="宋体" w:cs="宋体"/>
                <w:kern w:val="0"/>
              </w:rPr>
              <w:t>文档分类为学习资料/学术论文/岗前培训资料/政策制度等。</w:t>
            </w:r>
          </w:p>
        </w:tc>
      </w:tr>
      <w:tr w14:paraId="40475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8" w:type="pct"/>
            <w:vMerge w:val="continue"/>
            <w:vAlign w:val="center"/>
          </w:tcPr>
          <w:p w14:paraId="5E025446">
            <w:pPr>
              <w:widowControl/>
              <w:jc w:val="center"/>
              <w:rPr>
                <w:rFonts w:ascii="宋体" w:hAnsi="宋体" w:cs="宋体"/>
                <w:kern w:val="0"/>
              </w:rPr>
            </w:pPr>
          </w:p>
        </w:tc>
        <w:tc>
          <w:tcPr>
            <w:tcW w:w="749" w:type="pct"/>
            <w:vAlign w:val="center"/>
          </w:tcPr>
          <w:p w14:paraId="6BA88DFD">
            <w:pPr>
              <w:widowControl/>
              <w:jc w:val="left"/>
              <w:rPr>
                <w:rFonts w:ascii="宋体" w:hAnsi="宋体" w:cs="宋体"/>
                <w:kern w:val="0"/>
              </w:rPr>
            </w:pPr>
            <w:r>
              <w:rPr>
                <w:rFonts w:hint="eastAsia" w:ascii="宋体" w:hAnsi="宋体" w:cs="宋体"/>
                <w:kern w:val="0"/>
              </w:rPr>
              <w:t>文档发布</w:t>
            </w:r>
          </w:p>
        </w:tc>
        <w:tc>
          <w:tcPr>
            <w:tcW w:w="3772" w:type="pct"/>
            <w:vAlign w:val="center"/>
          </w:tcPr>
          <w:p w14:paraId="36C785EE">
            <w:pPr>
              <w:widowControl/>
              <w:snapToGrid w:val="0"/>
              <w:rPr>
                <w:rFonts w:ascii="宋体" w:hAnsi="宋体" w:cs="宋体"/>
                <w:kern w:val="0"/>
              </w:rPr>
            </w:pPr>
            <w:r>
              <w:rPr>
                <w:rFonts w:hint="eastAsia" w:ascii="宋体" w:hAnsi="宋体" w:cs="宋体"/>
                <w:kern w:val="0"/>
              </w:rPr>
              <w:t>文档分为草稿状态和发布状态，只有发布状态的文档可以被学员和老师查看到。</w:t>
            </w:r>
          </w:p>
        </w:tc>
      </w:tr>
    </w:tbl>
    <w:p w14:paraId="35C5CA67">
      <w:pPr>
        <w:spacing w:line="360" w:lineRule="auto"/>
        <w:rPr>
          <w:color w:val="auto"/>
        </w:rPr>
      </w:pPr>
    </w:p>
    <w:p w14:paraId="57F974E5">
      <w:pPr>
        <w:bidi w:val="0"/>
        <w:rPr>
          <w:rFonts w:hint="eastAsia"/>
          <w:b/>
          <w:bCs/>
          <w:sz w:val="28"/>
          <w:szCs w:val="28"/>
        </w:rPr>
      </w:pPr>
    </w:p>
    <w:p w14:paraId="678A8CEF">
      <w:pPr>
        <w:bidi w:val="0"/>
        <w:rPr>
          <w:b/>
          <w:bCs/>
          <w:sz w:val="28"/>
          <w:szCs w:val="28"/>
        </w:rPr>
      </w:pPr>
      <w:r>
        <w:rPr>
          <w:rFonts w:hint="eastAsia"/>
          <w:b/>
          <w:bCs/>
          <w:sz w:val="28"/>
          <w:szCs w:val="28"/>
        </w:rPr>
        <w:t>A</w:t>
      </w:r>
      <w:r>
        <w:rPr>
          <w:b/>
          <w:bCs/>
          <w:sz w:val="28"/>
          <w:szCs w:val="28"/>
        </w:rPr>
        <w:t>PP</w:t>
      </w:r>
      <w:r>
        <w:rPr>
          <w:rFonts w:hint="eastAsia"/>
          <w:b/>
          <w:bCs/>
          <w:sz w:val="28"/>
          <w:szCs w:val="28"/>
        </w:rPr>
        <w:t>端（手机端）</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844"/>
        <w:gridCol w:w="5862"/>
      </w:tblGrid>
      <w:tr w14:paraId="5AEE0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shd w:val="clear" w:color="000000" w:fill="D9D9D9"/>
            <w:vAlign w:val="center"/>
          </w:tcPr>
          <w:p w14:paraId="78A045D1">
            <w:pPr>
              <w:widowControl/>
              <w:jc w:val="center"/>
              <w:rPr>
                <w:rFonts w:ascii="宋体" w:hAnsi="宋体" w:cs="宋体"/>
                <w:b/>
                <w:bCs/>
                <w:kern w:val="0"/>
                <w:szCs w:val="21"/>
              </w:rPr>
            </w:pPr>
            <w:r>
              <w:rPr>
                <w:rFonts w:hint="eastAsia" w:ascii="宋体" w:hAnsi="宋体" w:cs="宋体"/>
                <w:b/>
                <w:bCs/>
                <w:kern w:val="0"/>
                <w:szCs w:val="21"/>
              </w:rPr>
              <w:t>功能模块</w:t>
            </w:r>
          </w:p>
        </w:tc>
        <w:tc>
          <w:tcPr>
            <w:tcW w:w="1082" w:type="pct"/>
            <w:shd w:val="clear" w:color="000000" w:fill="D9D9D9"/>
            <w:vAlign w:val="center"/>
          </w:tcPr>
          <w:p w14:paraId="5AB871B1">
            <w:pPr>
              <w:widowControl/>
              <w:jc w:val="center"/>
              <w:rPr>
                <w:rFonts w:ascii="宋体" w:hAnsi="宋体" w:cs="宋体"/>
                <w:b/>
                <w:bCs/>
                <w:kern w:val="0"/>
                <w:szCs w:val="21"/>
              </w:rPr>
            </w:pPr>
            <w:r>
              <w:rPr>
                <w:rFonts w:hint="eastAsia" w:ascii="宋体" w:hAnsi="宋体" w:cs="宋体"/>
                <w:b/>
                <w:bCs/>
                <w:kern w:val="0"/>
                <w:szCs w:val="21"/>
              </w:rPr>
              <w:t>功能点</w:t>
            </w:r>
          </w:p>
        </w:tc>
        <w:tc>
          <w:tcPr>
            <w:tcW w:w="3440" w:type="pct"/>
            <w:shd w:val="clear" w:color="000000" w:fill="D9D9D9"/>
            <w:vAlign w:val="center"/>
          </w:tcPr>
          <w:p w14:paraId="7212C5E3">
            <w:pPr>
              <w:widowControl/>
              <w:jc w:val="center"/>
              <w:rPr>
                <w:rFonts w:ascii="宋体" w:hAnsi="宋体" w:cs="宋体"/>
                <w:b/>
                <w:bCs/>
                <w:kern w:val="0"/>
                <w:szCs w:val="21"/>
              </w:rPr>
            </w:pPr>
            <w:r>
              <w:rPr>
                <w:rFonts w:hint="eastAsia" w:ascii="宋体" w:hAnsi="宋体" w:cs="宋体"/>
                <w:b/>
                <w:bCs/>
                <w:kern w:val="0"/>
                <w:szCs w:val="21"/>
              </w:rPr>
              <w:t>功能描述</w:t>
            </w:r>
          </w:p>
        </w:tc>
      </w:tr>
      <w:tr w14:paraId="75E31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restart"/>
            <w:vAlign w:val="center"/>
          </w:tcPr>
          <w:p w14:paraId="3D848A5E">
            <w:pPr>
              <w:widowControl/>
              <w:snapToGrid w:val="0"/>
              <w:jc w:val="center"/>
              <w:rPr>
                <w:rFonts w:ascii="宋体" w:hAnsi="宋体" w:cs="宋体"/>
                <w:kern w:val="0"/>
                <w:szCs w:val="21"/>
              </w:rPr>
            </w:pPr>
            <w:r>
              <w:rPr>
                <w:rFonts w:hint="eastAsia" w:ascii="宋体" w:hAnsi="宋体" w:cs="宋体"/>
                <w:kern w:val="0"/>
                <w:szCs w:val="21"/>
              </w:rPr>
              <w:t>多终端支持</w:t>
            </w:r>
          </w:p>
        </w:tc>
        <w:tc>
          <w:tcPr>
            <w:tcW w:w="1082" w:type="pct"/>
            <w:vAlign w:val="center"/>
          </w:tcPr>
          <w:p w14:paraId="68D45771">
            <w:pPr>
              <w:widowControl/>
              <w:snapToGrid w:val="0"/>
              <w:jc w:val="left"/>
              <w:rPr>
                <w:rFonts w:ascii="宋体" w:hAnsi="宋体" w:cs="宋体"/>
                <w:kern w:val="0"/>
                <w:szCs w:val="21"/>
              </w:rPr>
            </w:pPr>
            <w:r>
              <w:rPr>
                <w:rFonts w:hint="eastAsia" w:ascii="宋体" w:hAnsi="宋体" w:cs="宋体"/>
                <w:kern w:val="0"/>
                <w:szCs w:val="21"/>
              </w:rPr>
              <w:t>手机端支持</w:t>
            </w:r>
          </w:p>
        </w:tc>
        <w:tc>
          <w:tcPr>
            <w:tcW w:w="3440" w:type="pct"/>
            <w:vAlign w:val="center"/>
          </w:tcPr>
          <w:p w14:paraId="4B09D93C">
            <w:pPr>
              <w:widowControl/>
              <w:snapToGrid w:val="0"/>
              <w:jc w:val="left"/>
              <w:rPr>
                <w:rFonts w:ascii="宋体" w:hAnsi="宋体" w:cs="宋体"/>
                <w:kern w:val="0"/>
                <w:szCs w:val="21"/>
              </w:rPr>
            </w:pPr>
            <w:r>
              <w:rPr>
                <w:rFonts w:hint="eastAsia" w:ascii="宋体" w:hAnsi="宋体" w:cs="宋体"/>
                <w:kern w:val="0"/>
                <w:szCs w:val="21"/>
              </w:rPr>
              <w:t>提供手机端支持，学生老师均可通过手机端在线操作。</w:t>
            </w:r>
          </w:p>
        </w:tc>
      </w:tr>
      <w:tr w14:paraId="180B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continue"/>
            <w:vAlign w:val="center"/>
          </w:tcPr>
          <w:p w14:paraId="536DC260">
            <w:pPr>
              <w:widowControl/>
              <w:snapToGrid w:val="0"/>
              <w:jc w:val="center"/>
              <w:rPr>
                <w:rFonts w:ascii="宋体" w:hAnsi="宋体" w:cs="宋体"/>
                <w:kern w:val="0"/>
                <w:szCs w:val="21"/>
              </w:rPr>
            </w:pPr>
          </w:p>
        </w:tc>
        <w:tc>
          <w:tcPr>
            <w:tcW w:w="1082" w:type="pct"/>
            <w:vAlign w:val="center"/>
          </w:tcPr>
          <w:p w14:paraId="3682A63E">
            <w:pPr>
              <w:widowControl/>
              <w:snapToGrid w:val="0"/>
              <w:jc w:val="left"/>
              <w:rPr>
                <w:rFonts w:ascii="宋体" w:hAnsi="宋体" w:cs="宋体"/>
                <w:kern w:val="0"/>
                <w:szCs w:val="21"/>
              </w:rPr>
            </w:pPr>
            <w:r>
              <w:rPr>
                <w:rFonts w:hint="eastAsia" w:ascii="宋体" w:hAnsi="宋体" w:cs="宋体"/>
                <w:kern w:val="0"/>
                <w:szCs w:val="21"/>
              </w:rPr>
              <w:t>微信提醒支持</w:t>
            </w:r>
          </w:p>
        </w:tc>
        <w:tc>
          <w:tcPr>
            <w:tcW w:w="3440" w:type="pct"/>
            <w:vAlign w:val="center"/>
          </w:tcPr>
          <w:p w14:paraId="2155FCD7">
            <w:pPr>
              <w:widowControl/>
              <w:snapToGrid w:val="0"/>
              <w:jc w:val="left"/>
              <w:rPr>
                <w:rFonts w:ascii="宋体" w:hAnsi="宋体" w:cs="宋体"/>
                <w:kern w:val="0"/>
                <w:szCs w:val="21"/>
              </w:rPr>
            </w:pPr>
            <w:r>
              <w:rPr>
                <w:rFonts w:hint="eastAsia" w:ascii="宋体" w:hAnsi="宋体" w:cs="宋体"/>
                <w:kern w:val="0"/>
                <w:szCs w:val="21"/>
              </w:rPr>
              <w:t>系统支持配置微信消息模板，通过关注微信服务号后接收微信消息提醒及通知。</w:t>
            </w:r>
          </w:p>
        </w:tc>
      </w:tr>
      <w:tr w14:paraId="3D89D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restart"/>
            <w:vAlign w:val="center"/>
          </w:tcPr>
          <w:p w14:paraId="6B6E2259">
            <w:pPr>
              <w:widowControl/>
              <w:snapToGrid w:val="0"/>
              <w:jc w:val="center"/>
              <w:rPr>
                <w:rFonts w:ascii="宋体" w:hAnsi="宋体" w:cs="宋体"/>
                <w:kern w:val="0"/>
                <w:szCs w:val="21"/>
              </w:rPr>
            </w:pPr>
            <w:r>
              <w:rPr>
                <w:rFonts w:hint="eastAsia" w:ascii="宋体" w:hAnsi="宋体" w:cs="宋体"/>
                <w:kern w:val="0"/>
                <w:szCs w:val="21"/>
              </w:rPr>
              <w:t>待办工作</w:t>
            </w:r>
          </w:p>
        </w:tc>
        <w:tc>
          <w:tcPr>
            <w:tcW w:w="1082" w:type="pct"/>
            <w:vAlign w:val="center"/>
          </w:tcPr>
          <w:p w14:paraId="3EB57159">
            <w:pPr>
              <w:widowControl/>
              <w:snapToGrid w:val="0"/>
              <w:jc w:val="left"/>
              <w:rPr>
                <w:rFonts w:ascii="宋体" w:hAnsi="宋体" w:cs="宋体"/>
                <w:kern w:val="0"/>
                <w:szCs w:val="21"/>
              </w:rPr>
            </w:pPr>
            <w:r>
              <w:rPr>
                <w:rFonts w:hint="eastAsia" w:ascii="宋体" w:hAnsi="宋体" w:cs="宋体"/>
                <w:kern w:val="0"/>
                <w:szCs w:val="21"/>
              </w:rPr>
              <w:t>首页待办</w:t>
            </w:r>
          </w:p>
        </w:tc>
        <w:tc>
          <w:tcPr>
            <w:tcW w:w="3440" w:type="pct"/>
            <w:vAlign w:val="center"/>
          </w:tcPr>
          <w:p w14:paraId="30D6C4B0">
            <w:pPr>
              <w:widowControl/>
              <w:snapToGrid w:val="0"/>
              <w:jc w:val="left"/>
              <w:rPr>
                <w:rFonts w:ascii="宋体" w:hAnsi="宋体" w:cs="宋体"/>
                <w:kern w:val="0"/>
                <w:szCs w:val="21"/>
              </w:rPr>
            </w:pPr>
            <w:r>
              <w:rPr>
                <w:rFonts w:hint="eastAsia" w:ascii="宋体" w:hAnsi="宋体" w:cs="宋体"/>
                <w:kern w:val="0"/>
                <w:szCs w:val="21"/>
              </w:rPr>
              <w:t>手机端首页包含待办模块，支持待办事项提醒。</w:t>
            </w:r>
          </w:p>
        </w:tc>
      </w:tr>
      <w:tr w14:paraId="33ACE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continue"/>
            <w:vAlign w:val="center"/>
          </w:tcPr>
          <w:p w14:paraId="6CB1CAA8">
            <w:pPr>
              <w:widowControl/>
              <w:snapToGrid w:val="0"/>
              <w:jc w:val="center"/>
              <w:rPr>
                <w:rFonts w:ascii="宋体" w:hAnsi="宋体" w:cs="宋体"/>
                <w:kern w:val="0"/>
                <w:szCs w:val="21"/>
              </w:rPr>
            </w:pPr>
          </w:p>
        </w:tc>
        <w:tc>
          <w:tcPr>
            <w:tcW w:w="1082" w:type="pct"/>
            <w:vAlign w:val="center"/>
          </w:tcPr>
          <w:p w14:paraId="0C28B3D6">
            <w:pPr>
              <w:widowControl/>
              <w:snapToGrid w:val="0"/>
              <w:jc w:val="left"/>
              <w:rPr>
                <w:rFonts w:ascii="宋体" w:hAnsi="宋体" w:cs="宋体"/>
                <w:kern w:val="0"/>
                <w:szCs w:val="21"/>
              </w:rPr>
            </w:pPr>
            <w:r>
              <w:rPr>
                <w:rFonts w:hint="eastAsia" w:ascii="宋体" w:hAnsi="宋体" w:cs="宋体"/>
                <w:kern w:val="0"/>
                <w:szCs w:val="21"/>
              </w:rPr>
              <w:t>红点待办</w:t>
            </w:r>
          </w:p>
        </w:tc>
        <w:tc>
          <w:tcPr>
            <w:tcW w:w="3440" w:type="pct"/>
            <w:vAlign w:val="center"/>
          </w:tcPr>
          <w:p w14:paraId="20D598CB">
            <w:pPr>
              <w:widowControl/>
              <w:snapToGrid w:val="0"/>
              <w:jc w:val="left"/>
              <w:rPr>
                <w:rFonts w:ascii="宋体" w:hAnsi="宋体" w:cs="宋体"/>
                <w:kern w:val="0"/>
                <w:szCs w:val="21"/>
              </w:rPr>
            </w:pPr>
            <w:r>
              <w:rPr>
                <w:rFonts w:hint="eastAsia" w:ascii="宋体" w:hAnsi="宋体" w:cs="宋体"/>
                <w:kern w:val="0"/>
                <w:szCs w:val="21"/>
              </w:rPr>
              <w:t>重点工作手机端首页上有红点待办提醒。</w:t>
            </w:r>
          </w:p>
        </w:tc>
      </w:tr>
      <w:tr w14:paraId="3095A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continue"/>
            <w:vAlign w:val="center"/>
          </w:tcPr>
          <w:p w14:paraId="741242B1">
            <w:pPr>
              <w:widowControl/>
              <w:snapToGrid w:val="0"/>
              <w:jc w:val="center"/>
              <w:rPr>
                <w:rFonts w:ascii="宋体" w:hAnsi="宋体" w:cs="宋体"/>
                <w:kern w:val="0"/>
                <w:szCs w:val="21"/>
              </w:rPr>
            </w:pPr>
          </w:p>
        </w:tc>
        <w:tc>
          <w:tcPr>
            <w:tcW w:w="1082" w:type="pct"/>
            <w:vAlign w:val="center"/>
          </w:tcPr>
          <w:p w14:paraId="3FD6770D">
            <w:pPr>
              <w:widowControl/>
              <w:snapToGrid w:val="0"/>
              <w:jc w:val="left"/>
              <w:rPr>
                <w:rFonts w:ascii="宋体" w:hAnsi="宋体" w:cs="宋体"/>
                <w:kern w:val="0"/>
                <w:szCs w:val="21"/>
              </w:rPr>
            </w:pPr>
            <w:r>
              <w:rPr>
                <w:rFonts w:hint="eastAsia" w:ascii="宋体" w:hAnsi="宋体" w:cs="宋体"/>
                <w:kern w:val="0"/>
                <w:szCs w:val="21"/>
              </w:rPr>
              <w:t>消息通知</w:t>
            </w:r>
          </w:p>
        </w:tc>
        <w:tc>
          <w:tcPr>
            <w:tcW w:w="3440" w:type="pct"/>
            <w:vAlign w:val="center"/>
          </w:tcPr>
          <w:p w14:paraId="5B2ADA78">
            <w:pPr>
              <w:widowControl/>
              <w:snapToGrid w:val="0"/>
              <w:jc w:val="left"/>
              <w:rPr>
                <w:rFonts w:ascii="宋体" w:hAnsi="宋体" w:cs="宋体"/>
                <w:kern w:val="0"/>
                <w:szCs w:val="21"/>
              </w:rPr>
            </w:pPr>
            <w:r>
              <w:rPr>
                <w:rFonts w:hint="eastAsia" w:ascii="宋体" w:hAnsi="宋体" w:cs="宋体"/>
                <w:kern w:val="0"/>
                <w:szCs w:val="21"/>
              </w:rPr>
              <w:t>支持维护和发布消息通知，可指定通知类型、通知人群、通知科室、是否单独发送消息等。</w:t>
            </w:r>
          </w:p>
        </w:tc>
      </w:tr>
      <w:tr w14:paraId="362CE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continue"/>
            <w:vAlign w:val="center"/>
          </w:tcPr>
          <w:p w14:paraId="1589FE90">
            <w:pPr>
              <w:widowControl/>
              <w:snapToGrid w:val="0"/>
              <w:jc w:val="center"/>
              <w:rPr>
                <w:rFonts w:ascii="宋体" w:hAnsi="宋体" w:cs="宋体"/>
                <w:kern w:val="0"/>
                <w:szCs w:val="21"/>
              </w:rPr>
            </w:pPr>
          </w:p>
        </w:tc>
        <w:tc>
          <w:tcPr>
            <w:tcW w:w="1082" w:type="pct"/>
            <w:vAlign w:val="center"/>
          </w:tcPr>
          <w:p w14:paraId="69C31DC3">
            <w:pPr>
              <w:widowControl/>
              <w:snapToGrid w:val="0"/>
              <w:jc w:val="left"/>
              <w:rPr>
                <w:rFonts w:ascii="宋体" w:hAnsi="宋体" w:cs="宋体"/>
                <w:kern w:val="0"/>
                <w:szCs w:val="21"/>
              </w:rPr>
            </w:pPr>
            <w:r>
              <w:rPr>
                <w:rFonts w:hint="eastAsia" w:ascii="宋体" w:hAnsi="宋体" w:cs="宋体"/>
                <w:kern w:val="0"/>
                <w:szCs w:val="21"/>
              </w:rPr>
              <w:t>广告通知</w:t>
            </w:r>
          </w:p>
        </w:tc>
        <w:tc>
          <w:tcPr>
            <w:tcW w:w="3440" w:type="pct"/>
            <w:vAlign w:val="center"/>
          </w:tcPr>
          <w:p w14:paraId="5D052632">
            <w:pPr>
              <w:widowControl/>
              <w:snapToGrid w:val="0"/>
              <w:jc w:val="left"/>
              <w:rPr>
                <w:rFonts w:ascii="宋体" w:hAnsi="宋体" w:cs="宋体"/>
                <w:kern w:val="0"/>
                <w:szCs w:val="21"/>
              </w:rPr>
            </w:pPr>
            <w:r>
              <w:rPr>
                <w:rFonts w:hint="eastAsia" w:ascii="宋体" w:hAnsi="宋体" w:cs="宋体"/>
                <w:kern w:val="0"/>
                <w:szCs w:val="21"/>
              </w:rPr>
              <w:t>手机端支持配置内嵌广告轮播图片，实现重要消息插播。</w:t>
            </w:r>
          </w:p>
        </w:tc>
      </w:tr>
      <w:tr w14:paraId="70E2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restart"/>
            <w:vAlign w:val="center"/>
          </w:tcPr>
          <w:p w14:paraId="69EC2B8B">
            <w:pPr>
              <w:widowControl/>
              <w:snapToGrid w:val="0"/>
              <w:jc w:val="center"/>
              <w:rPr>
                <w:rFonts w:ascii="宋体" w:hAnsi="宋体" w:cs="宋体"/>
                <w:kern w:val="0"/>
                <w:szCs w:val="21"/>
              </w:rPr>
            </w:pPr>
            <w:r>
              <w:rPr>
                <w:rFonts w:hint="eastAsia" w:ascii="宋体" w:hAnsi="宋体" w:cs="宋体"/>
                <w:kern w:val="0"/>
                <w:szCs w:val="21"/>
              </w:rPr>
              <w:t>轮转计划</w:t>
            </w:r>
          </w:p>
        </w:tc>
        <w:tc>
          <w:tcPr>
            <w:tcW w:w="1082" w:type="pct"/>
            <w:vAlign w:val="center"/>
          </w:tcPr>
          <w:p w14:paraId="090193DD">
            <w:pPr>
              <w:widowControl/>
              <w:snapToGrid w:val="0"/>
              <w:jc w:val="left"/>
              <w:rPr>
                <w:rFonts w:ascii="宋体" w:hAnsi="宋体" w:cs="宋体"/>
                <w:kern w:val="0"/>
                <w:szCs w:val="21"/>
              </w:rPr>
            </w:pPr>
            <w:r>
              <w:rPr>
                <w:rFonts w:hint="eastAsia" w:ascii="宋体" w:hAnsi="宋体" w:cs="宋体"/>
                <w:kern w:val="0"/>
                <w:szCs w:val="21"/>
              </w:rPr>
              <w:t>查看轮转计划</w:t>
            </w:r>
          </w:p>
        </w:tc>
        <w:tc>
          <w:tcPr>
            <w:tcW w:w="3440" w:type="pct"/>
            <w:vAlign w:val="center"/>
          </w:tcPr>
          <w:p w14:paraId="67B12C67">
            <w:pPr>
              <w:widowControl/>
              <w:snapToGrid w:val="0"/>
              <w:jc w:val="left"/>
              <w:rPr>
                <w:rFonts w:ascii="宋体" w:hAnsi="宋体" w:cs="宋体"/>
                <w:kern w:val="0"/>
                <w:szCs w:val="21"/>
              </w:rPr>
            </w:pPr>
            <w:r>
              <w:rPr>
                <w:rFonts w:hint="eastAsia"/>
              </w:rPr>
              <w:t>支持学员查看本人历史及现在的轮转计划清单。并可查看轮转计划详情。</w:t>
            </w:r>
          </w:p>
        </w:tc>
      </w:tr>
      <w:tr w14:paraId="5FFE3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continue"/>
            <w:vAlign w:val="center"/>
          </w:tcPr>
          <w:p w14:paraId="5384E3D5">
            <w:pPr>
              <w:widowControl/>
              <w:snapToGrid w:val="0"/>
              <w:jc w:val="center"/>
              <w:rPr>
                <w:rFonts w:ascii="宋体" w:hAnsi="宋体" w:cs="宋体"/>
                <w:kern w:val="0"/>
                <w:szCs w:val="21"/>
              </w:rPr>
            </w:pPr>
          </w:p>
        </w:tc>
        <w:tc>
          <w:tcPr>
            <w:tcW w:w="1082" w:type="pct"/>
            <w:vAlign w:val="center"/>
          </w:tcPr>
          <w:p w14:paraId="538D78A5">
            <w:pPr>
              <w:widowControl/>
              <w:snapToGrid w:val="0"/>
              <w:jc w:val="left"/>
              <w:rPr>
                <w:rFonts w:ascii="宋体" w:hAnsi="宋体" w:cs="宋体"/>
                <w:kern w:val="0"/>
                <w:szCs w:val="21"/>
              </w:rPr>
            </w:pPr>
            <w:r>
              <w:rPr>
                <w:rFonts w:hint="eastAsia" w:ascii="宋体" w:hAnsi="宋体" w:cs="宋体"/>
                <w:kern w:val="0"/>
                <w:szCs w:val="21"/>
              </w:rPr>
              <w:t>查看轮转计划限制</w:t>
            </w:r>
          </w:p>
        </w:tc>
        <w:tc>
          <w:tcPr>
            <w:tcW w:w="3440" w:type="pct"/>
            <w:vAlign w:val="center"/>
          </w:tcPr>
          <w:p w14:paraId="6F926BB9">
            <w:pPr>
              <w:widowControl/>
              <w:snapToGrid w:val="0"/>
              <w:jc w:val="left"/>
              <w:rPr>
                <w:rFonts w:ascii="宋体" w:hAnsi="宋体" w:cs="宋体"/>
                <w:kern w:val="0"/>
                <w:szCs w:val="21"/>
              </w:rPr>
            </w:pPr>
            <w:r>
              <w:rPr>
                <w:rFonts w:hint="eastAsia"/>
              </w:rPr>
              <w:t>根据系统参数开关动态控制是否显示未来的轮转计划。支持医院配置是否允许查看未来的轮转计划以及未来多少个月内的轮转计划。</w:t>
            </w:r>
          </w:p>
        </w:tc>
      </w:tr>
      <w:tr w14:paraId="78A04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continue"/>
            <w:vAlign w:val="center"/>
          </w:tcPr>
          <w:p w14:paraId="3A0B100F">
            <w:pPr>
              <w:widowControl/>
              <w:snapToGrid w:val="0"/>
              <w:jc w:val="center"/>
              <w:rPr>
                <w:rFonts w:ascii="宋体" w:hAnsi="宋体" w:cs="宋体"/>
                <w:kern w:val="0"/>
                <w:szCs w:val="21"/>
              </w:rPr>
            </w:pPr>
          </w:p>
        </w:tc>
        <w:tc>
          <w:tcPr>
            <w:tcW w:w="1082" w:type="pct"/>
            <w:vAlign w:val="center"/>
          </w:tcPr>
          <w:p w14:paraId="6AAC974A">
            <w:pPr>
              <w:widowControl/>
              <w:snapToGrid w:val="0"/>
              <w:jc w:val="left"/>
              <w:rPr>
                <w:rFonts w:ascii="宋体" w:hAnsi="宋体" w:cs="宋体"/>
                <w:kern w:val="0"/>
                <w:szCs w:val="21"/>
              </w:rPr>
            </w:pPr>
            <w:r>
              <w:rPr>
                <w:rFonts w:hint="eastAsia" w:ascii="宋体" w:hAnsi="宋体" w:cs="宋体"/>
                <w:kern w:val="0"/>
                <w:szCs w:val="21"/>
              </w:rPr>
              <w:t>手机维护轮转计划</w:t>
            </w:r>
          </w:p>
        </w:tc>
        <w:tc>
          <w:tcPr>
            <w:tcW w:w="3440" w:type="pct"/>
            <w:vAlign w:val="center"/>
          </w:tcPr>
          <w:p w14:paraId="2191E9CF">
            <w:pPr>
              <w:widowControl/>
              <w:snapToGrid w:val="0"/>
              <w:jc w:val="left"/>
              <w:rPr>
                <w:rFonts w:ascii="宋体" w:hAnsi="宋体" w:cs="宋体"/>
                <w:kern w:val="0"/>
                <w:szCs w:val="21"/>
              </w:rPr>
            </w:pPr>
            <w:r>
              <w:rPr>
                <w:rFonts w:hint="eastAsia" w:ascii="宋体" w:hAnsi="宋体" w:cs="宋体"/>
                <w:kern w:val="0"/>
                <w:szCs w:val="21"/>
              </w:rPr>
              <w:t>支持管理人员在手机端新增、修改和管理轮转计划。</w:t>
            </w:r>
          </w:p>
        </w:tc>
      </w:tr>
      <w:tr w14:paraId="3F4D9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continue"/>
            <w:vAlign w:val="center"/>
          </w:tcPr>
          <w:p w14:paraId="0765826C">
            <w:pPr>
              <w:widowControl/>
              <w:snapToGrid w:val="0"/>
              <w:jc w:val="center"/>
              <w:rPr>
                <w:rFonts w:ascii="宋体" w:hAnsi="宋体" w:cs="宋体"/>
                <w:kern w:val="0"/>
                <w:szCs w:val="21"/>
              </w:rPr>
            </w:pPr>
          </w:p>
        </w:tc>
        <w:tc>
          <w:tcPr>
            <w:tcW w:w="1082" w:type="pct"/>
            <w:vAlign w:val="center"/>
          </w:tcPr>
          <w:p w14:paraId="1F2D3981">
            <w:pPr>
              <w:widowControl/>
              <w:snapToGrid w:val="0"/>
              <w:jc w:val="left"/>
              <w:rPr>
                <w:rFonts w:ascii="宋体" w:hAnsi="宋体" w:cs="宋体"/>
                <w:kern w:val="0"/>
                <w:szCs w:val="21"/>
              </w:rPr>
            </w:pPr>
            <w:r>
              <w:rPr>
                <w:rFonts w:hint="eastAsia" w:ascii="宋体" w:hAnsi="宋体" w:cs="宋体"/>
                <w:kern w:val="0"/>
                <w:szCs w:val="21"/>
              </w:rPr>
              <w:t>出科鉴定</w:t>
            </w:r>
          </w:p>
        </w:tc>
        <w:tc>
          <w:tcPr>
            <w:tcW w:w="3440" w:type="pct"/>
            <w:vAlign w:val="center"/>
          </w:tcPr>
          <w:p w14:paraId="5A0F0F13">
            <w:pPr>
              <w:widowControl/>
              <w:snapToGrid w:val="0"/>
              <w:jc w:val="left"/>
              <w:rPr>
                <w:rFonts w:ascii="宋体" w:hAnsi="宋体" w:cs="宋体"/>
                <w:kern w:val="0"/>
                <w:szCs w:val="21"/>
              </w:rPr>
            </w:pPr>
            <w:r>
              <w:rPr>
                <w:rFonts w:hint="eastAsia" w:ascii="宋体" w:hAnsi="宋体" w:cs="宋体"/>
                <w:kern w:val="0"/>
                <w:szCs w:val="21"/>
              </w:rPr>
              <w:t>支持学员在手机端发起出科申请，填写出科小结内容。支持在手机端对带教老师、轮转科室进行评价。</w:t>
            </w:r>
          </w:p>
        </w:tc>
      </w:tr>
      <w:tr w14:paraId="57F5B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continue"/>
            <w:vAlign w:val="center"/>
          </w:tcPr>
          <w:p w14:paraId="43EEF3A0">
            <w:pPr>
              <w:widowControl/>
              <w:snapToGrid w:val="0"/>
              <w:jc w:val="center"/>
              <w:rPr>
                <w:rFonts w:ascii="宋体" w:hAnsi="宋体" w:cs="宋体"/>
                <w:kern w:val="0"/>
                <w:szCs w:val="21"/>
              </w:rPr>
            </w:pPr>
          </w:p>
        </w:tc>
        <w:tc>
          <w:tcPr>
            <w:tcW w:w="1082" w:type="pct"/>
            <w:vAlign w:val="center"/>
          </w:tcPr>
          <w:p w14:paraId="692E2FE6">
            <w:pPr>
              <w:widowControl/>
              <w:snapToGrid w:val="0"/>
              <w:jc w:val="left"/>
              <w:rPr>
                <w:rFonts w:ascii="宋体" w:hAnsi="宋体" w:cs="宋体"/>
                <w:kern w:val="0"/>
                <w:szCs w:val="21"/>
              </w:rPr>
            </w:pPr>
            <w:r>
              <w:rPr>
                <w:rFonts w:hint="eastAsia" w:ascii="宋体" w:hAnsi="宋体" w:cs="宋体"/>
                <w:kern w:val="0"/>
                <w:szCs w:val="21"/>
              </w:rPr>
              <w:t>填写出科评语</w:t>
            </w:r>
          </w:p>
        </w:tc>
        <w:tc>
          <w:tcPr>
            <w:tcW w:w="3440" w:type="pct"/>
            <w:vAlign w:val="center"/>
          </w:tcPr>
          <w:p w14:paraId="17F08229">
            <w:pPr>
              <w:widowControl/>
              <w:snapToGrid w:val="0"/>
              <w:jc w:val="left"/>
              <w:rPr>
                <w:rFonts w:ascii="宋体" w:hAnsi="宋体" w:cs="宋体"/>
                <w:kern w:val="0"/>
                <w:szCs w:val="21"/>
              </w:rPr>
            </w:pPr>
            <w:r>
              <w:rPr>
                <w:rFonts w:hint="eastAsia" w:ascii="宋体" w:hAnsi="宋体" w:cs="宋体"/>
                <w:kern w:val="0"/>
                <w:szCs w:val="21"/>
              </w:rPr>
              <w:t>支持带教老师在手机端填写出科评语，在手机端对带教学员进行评价。</w:t>
            </w:r>
          </w:p>
        </w:tc>
      </w:tr>
      <w:tr w14:paraId="108EB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continue"/>
            <w:vAlign w:val="center"/>
          </w:tcPr>
          <w:p w14:paraId="50717499">
            <w:pPr>
              <w:widowControl/>
              <w:snapToGrid w:val="0"/>
              <w:jc w:val="center"/>
              <w:rPr>
                <w:rFonts w:ascii="宋体" w:hAnsi="宋体" w:cs="宋体"/>
                <w:kern w:val="0"/>
                <w:szCs w:val="21"/>
              </w:rPr>
            </w:pPr>
          </w:p>
        </w:tc>
        <w:tc>
          <w:tcPr>
            <w:tcW w:w="1082" w:type="pct"/>
            <w:vAlign w:val="center"/>
          </w:tcPr>
          <w:p w14:paraId="0EF840E1">
            <w:pPr>
              <w:widowControl/>
              <w:snapToGrid w:val="0"/>
              <w:jc w:val="left"/>
              <w:rPr>
                <w:rFonts w:ascii="宋体" w:hAnsi="宋体" w:cs="宋体"/>
                <w:kern w:val="0"/>
                <w:szCs w:val="21"/>
              </w:rPr>
            </w:pPr>
            <w:r>
              <w:rPr>
                <w:rFonts w:hint="eastAsia" w:ascii="宋体" w:hAnsi="宋体" w:cs="宋体"/>
                <w:kern w:val="0"/>
                <w:szCs w:val="21"/>
              </w:rPr>
              <w:t>登记出科成绩</w:t>
            </w:r>
          </w:p>
        </w:tc>
        <w:tc>
          <w:tcPr>
            <w:tcW w:w="3440" w:type="pct"/>
            <w:vAlign w:val="center"/>
          </w:tcPr>
          <w:p w14:paraId="7737C03D">
            <w:pPr>
              <w:widowControl/>
              <w:snapToGrid w:val="0"/>
              <w:jc w:val="left"/>
              <w:rPr>
                <w:rFonts w:ascii="宋体" w:hAnsi="宋体" w:cs="宋体"/>
                <w:kern w:val="0"/>
                <w:szCs w:val="21"/>
              </w:rPr>
            </w:pPr>
            <w:r>
              <w:rPr>
                <w:rFonts w:hint="eastAsia" w:ascii="宋体" w:hAnsi="宋体" w:cs="宋体"/>
                <w:kern w:val="0"/>
                <w:szCs w:val="21"/>
              </w:rPr>
              <w:t>支持科室秘书在手机端填写学员的出科各项成绩，登记出勤情况并进行出科鉴定。</w:t>
            </w:r>
          </w:p>
        </w:tc>
      </w:tr>
      <w:tr w14:paraId="3B978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continue"/>
            <w:vAlign w:val="center"/>
          </w:tcPr>
          <w:p w14:paraId="72B0A5B4">
            <w:pPr>
              <w:widowControl/>
              <w:snapToGrid w:val="0"/>
              <w:jc w:val="center"/>
              <w:rPr>
                <w:rFonts w:ascii="宋体" w:hAnsi="宋体" w:cs="宋体"/>
                <w:kern w:val="0"/>
                <w:szCs w:val="21"/>
              </w:rPr>
            </w:pPr>
          </w:p>
        </w:tc>
        <w:tc>
          <w:tcPr>
            <w:tcW w:w="1082" w:type="pct"/>
            <w:vAlign w:val="center"/>
          </w:tcPr>
          <w:p w14:paraId="3E40AB69">
            <w:pPr>
              <w:widowControl/>
              <w:snapToGrid w:val="0"/>
              <w:jc w:val="left"/>
              <w:rPr>
                <w:rFonts w:ascii="宋体" w:hAnsi="宋体" w:cs="宋体"/>
                <w:kern w:val="0"/>
                <w:szCs w:val="21"/>
              </w:rPr>
            </w:pPr>
            <w:r>
              <w:rPr>
                <w:rFonts w:hint="eastAsia" w:ascii="宋体" w:hAnsi="宋体" w:cs="宋体"/>
                <w:kern w:val="0"/>
                <w:szCs w:val="21"/>
              </w:rPr>
              <w:t>出科成绩计算</w:t>
            </w:r>
          </w:p>
        </w:tc>
        <w:tc>
          <w:tcPr>
            <w:tcW w:w="3440" w:type="pct"/>
            <w:vAlign w:val="center"/>
          </w:tcPr>
          <w:p w14:paraId="18FA9FD4">
            <w:pPr>
              <w:widowControl/>
              <w:snapToGrid w:val="0"/>
              <w:jc w:val="left"/>
              <w:rPr>
                <w:rFonts w:ascii="宋体" w:hAnsi="宋体" w:cs="宋体"/>
                <w:kern w:val="0"/>
              </w:rPr>
            </w:pPr>
            <w:r>
              <w:rPr>
                <w:rFonts w:hint="eastAsia" w:ascii="宋体" w:hAnsi="宋体" w:cs="宋体"/>
                <w:color w:val="000000"/>
                <w:kern w:val="0"/>
                <w:lang w:bidi="ar"/>
              </w:rPr>
              <w:t>根据后台可</w:t>
            </w:r>
            <w:r>
              <w:rPr>
                <w:rFonts w:ascii="宋体" w:hAnsi="宋体" w:cs="宋体"/>
                <w:color w:val="000000"/>
                <w:kern w:val="0"/>
                <w:lang w:bidi="ar"/>
              </w:rPr>
              <w:t>配置</w:t>
            </w:r>
            <w:r>
              <w:rPr>
                <w:rFonts w:hint="eastAsia" w:ascii="宋体" w:hAnsi="宋体" w:cs="宋体"/>
                <w:color w:val="000000"/>
                <w:kern w:val="0"/>
                <w:lang w:bidi="ar"/>
              </w:rPr>
              <w:t>的</w:t>
            </w:r>
            <w:r>
              <w:rPr>
                <w:rFonts w:ascii="宋体" w:hAnsi="宋体" w:cs="宋体"/>
                <w:color w:val="000000"/>
                <w:kern w:val="0"/>
                <w:lang w:bidi="ar"/>
              </w:rPr>
              <w:t>出科成绩项</w:t>
            </w:r>
            <w:r>
              <w:rPr>
                <w:rFonts w:hint="eastAsia" w:ascii="宋体" w:hAnsi="宋体" w:cs="宋体"/>
                <w:color w:val="000000"/>
                <w:kern w:val="0"/>
                <w:lang w:bidi="ar"/>
              </w:rPr>
              <w:t>动态显示出科内容</w:t>
            </w:r>
            <w:r>
              <w:rPr>
                <w:rFonts w:ascii="宋体" w:hAnsi="宋体" w:cs="宋体"/>
                <w:color w:val="000000"/>
                <w:kern w:val="0"/>
                <w:lang w:bidi="ar"/>
              </w:rPr>
              <w:t>。</w:t>
            </w:r>
            <w:r>
              <w:rPr>
                <w:rFonts w:hint="eastAsia" w:ascii="宋体" w:hAnsi="宋体" w:cs="宋体"/>
                <w:color w:val="000000"/>
                <w:kern w:val="0"/>
                <w:lang w:bidi="ar"/>
              </w:rPr>
              <w:t>根据</w:t>
            </w:r>
            <w:r>
              <w:rPr>
                <w:rFonts w:ascii="宋体" w:hAnsi="宋体" w:cs="宋体"/>
                <w:color w:val="000000"/>
                <w:kern w:val="0"/>
                <w:lang w:bidi="ar"/>
              </w:rPr>
              <w:t>成绩项权重自动计算出科总成绩。</w:t>
            </w:r>
            <w:r>
              <w:rPr>
                <w:rFonts w:hint="eastAsia" w:ascii="宋体" w:hAnsi="宋体" w:cs="宋体"/>
                <w:color w:val="000000"/>
                <w:kern w:val="0"/>
                <w:lang w:bidi="ar"/>
              </w:rPr>
              <w:t>可手工点击计算按钮计算出科总成绩</w:t>
            </w:r>
          </w:p>
        </w:tc>
      </w:tr>
      <w:tr w14:paraId="4E442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continue"/>
            <w:vAlign w:val="center"/>
          </w:tcPr>
          <w:p w14:paraId="564B3DD2">
            <w:pPr>
              <w:widowControl/>
              <w:snapToGrid w:val="0"/>
              <w:jc w:val="center"/>
              <w:rPr>
                <w:rFonts w:ascii="宋体" w:hAnsi="宋体" w:cs="宋体"/>
                <w:kern w:val="0"/>
                <w:szCs w:val="21"/>
              </w:rPr>
            </w:pPr>
          </w:p>
        </w:tc>
        <w:tc>
          <w:tcPr>
            <w:tcW w:w="1082" w:type="pct"/>
            <w:vAlign w:val="center"/>
          </w:tcPr>
          <w:p w14:paraId="47159F8B">
            <w:pPr>
              <w:widowControl/>
              <w:snapToGrid w:val="0"/>
              <w:jc w:val="left"/>
              <w:rPr>
                <w:rFonts w:ascii="宋体" w:hAnsi="宋体" w:cs="宋体"/>
                <w:kern w:val="0"/>
                <w:szCs w:val="21"/>
              </w:rPr>
            </w:pPr>
            <w:r>
              <w:rPr>
                <w:rFonts w:hint="eastAsia" w:ascii="宋体" w:hAnsi="宋体" w:cs="宋体"/>
                <w:kern w:val="0"/>
                <w:szCs w:val="21"/>
              </w:rPr>
              <w:t>出科成绩附件</w:t>
            </w:r>
          </w:p>
        </w:tc>
        <w:tc>
          <w:tcPr>
            <w:tcW w:w="3440" w:type="pct"/>
            <w:vAlign w:val="center"/>
          </w:tcPr>
          <w:p w14:paraId="3D66662D">
            <w:pPr>
              <w:widowControl/>
              <w:snapToGrid w:val="0"/>
              <w:jc w:val="left"/>
              <w:rPr>
                <w:rFonts w:ascii="宋体" w:hAnsi="宋体" w:cs="宋体"/>
                <w:kern w:val="0"/>
                <w:szCs w:val="21"/>
              </w:rPr>
            </w:pPr>
            <w:r>
              <w:t>支持</w:t>
            </w:r>
            <w:r>
              <w:rPr>
                <w:rFonts w:hint="eastAsia"/>
              </w:rPr>
              <w:t>上传出科成绩项佐证附件，支持</w:t>
            </w:r>
            <w:r>
              <w:t>上传多个附件</w:t>
            </w:r>
            <w:r>
              <w:rPr>
                <w:rFonts w:hint="eastAsia"/>
              </w:rPr>
              <w:t>。</w:t>
            </w:r>
          </w:p>
        </w:tc>
      </w:tr>
      <w:tr w14:paraId="3A60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continue"/>
            <w:vAlign w:val="center"/>
          </w:tcPr>
          <w:p w14:paraId="25695D1F">
            <w:pPr>
              <w:widowControl/>
              <w:snapToGrid w:val="0"/>
              <w:jc w:val="center"/>
              <w:rPr>
                <w:rFonts w:ascii="宋体" w:hAnsi="宋体" w:cs="宋体"/>
                <w:kern w:val="0"/>
                <w:szCs w:val="21"/>
              </w:rPr>
            </w:pPr>
          </w:p>
        </w:tc>
        <w:tc>
          <w:tcPr>
            <w:tcW w:w="1082" w:type="pct"/>
            <w:vAlign w:val="center"/>
          </w:tcPr>
          <w:p w14:paraId="530DAFEC">
            <w:pPr>
              <w:widowControl/>
              <w:snapToGrid w:val="0"/>
              <w:jc w:val="left"/>
              <w:rPr>
                <w:rFonts w:ascii="宋体" w:hAnsi="宋体" w:cs="宋体"/>
                <w:kern w:val="0"/>
              </w:rPr>
            </w:pPr>
            <w:r>
              <w:rPr>
                <w:rFonts w:hint="eastAsia" w:ascii="宋体" w:hAnsi="宋体" w:cs="宋体"/>
                <w:kern w:val="0"/>
              </w:rPr>
              <w:t>病例书写照片</w:t>
            </w:r>
          </w:p>
        </w:tc>
        <w:tc>
          <w:tcPr>
            <w:tcW w:w="3440" w:type="pct"/>
            <w:vAlign w:val="center"/>
          </w:tcPr>
          <w:p w14:paraId="2033F129">
            <w:pPr>
              <w:widowControl/>
              <w:snapToGrid w:val="0"/>
              <w:jc w:val="left"/>
              <w:rPr>
                <w:rFonts w:ascii="宋体" w:hAnsi="宋体" w:cs="宋体"/>
                <w:kern w:val="0"/>
              </w:rPr>
            </w:pPr>
            <w:r>
              <w:rPr>
                <w:rFonts w:hint="eastAsia" w:ascii="宋体" w:hAnsi="宋体" w:cs="宋体"/>
                <w:kern w:val="0"/>
              </w:rPr>
              <w:t>支持独立的上传病例书写照片功能。</w:t>
            </w:r>
          </w:p>
        </w:tc>
      </w:tr>
      <w:tr w14:paraId="4D4AD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continue"/>
            <w:vAlign w:val="center"/>
          </w:tcPr>
          <w:p w14:paraId="2A845391">
            <w:pPr>
              <w:widowControl/>
              <w:snapToGrid w:val="0"/>
              <w:jc w:val="center"/>
              <w:rPr>
                <w:rFonts w:ascii="宋体" w:hAnsi="宋体" w:cs="宋体"/>
                <w:kern w:val="0"/>
                <w:szCs w:val="21"/>
              </w:rPr>
            </w:pPr>
          </w:p>
        </w:tc>
        <w:tc>
          <w:tcPr>
            <w:tcW w:w="1082" w:type="pct"/>
            <w:vAlign w:val="center"/>
          </w:tcPr>
          <w:p w14:paraId="464CFEC5">
            <w:pPr>
              <w:widowControl/>
              <w:snapToGrid w:val="0"/>
              <w:jc w:val="left"/>
              <w:rPr>
                <w:rFonts w:ascii="宋体" w:hAnsi="宋体" w:cs="宋体"/>
                <w:kern w:val="0"/>
                <w:szCs w:val="21"/>
              </w:rPr>
            </w:pPr>
            <w:r>
              <w:rPr>
                <w:rFonts w:hint="eastAsia" w:ascii="宋体" w:hAnsi="宋体" w:cs="宋体"/>
                <w:kern w:val="0"/>
              </w:rPr>
              <w:t>月度入科</w:t>
            </w:r>
          </w:p>
        </w:tc>
        <w:tc>
          <w:tcPr>
            <w:tcW w:w="3440" w:type="pct"/>
            <w:vAlign w:val="center"/>
          </w:tcPr>
          <w:p w14:paraId="1CB70555">
            <w:pPr>
              <w:widowControl/>
              <w:snapToGrid w:val="0"/>
              <w:jc w:val="left"/>
              <w:rPr>
                <w:rFonts w:ascii="宋体" w:hAnsi="宋体" w:cs="宋体"/>
                <w:kern w:val="0"/>
                <w:szCs w:val="21"/>
              </w:rPr>
            </w:pPr>
            <w:r>
              <w:rPr>
                <w:rFonts w:hint="eastAsia" w:ascii="宋体" w:hAnsi="宋体" w:cs="宋体"/>
                <w:kern w:val="0"/>
              </w:rPr>
              <w:t>自动展示本月有哪些学员会入科到本科室</w:t>
            </w:r>
          </w:p>
        </w:tc>
      </w:tr>
      <w:tr w14:paraId="4E708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continue"/>
            <w:vAlign w:val="center"/>
          </w:tcPr>
          <w:p w14:paraId="0CA16A80">
            <w:pPr>
              <w:widowControl/>
              <w:snapToGrid w:val="0"/>
              <w:jc w:val="center"/>
              <w:rPr>
                <w:rFonts w:ascii="宋体" w:hAnsi="宋体" w:cs="宋体"/>
                <w:kern w:val="0"/>
                <w:szCs w:val="21"/>
              </w:rPr>
            </w:pPr>
          </w:p>
        </w:tc>
        <w:tc>
          <w:tcPr>
            <w:tcW w:w="1082" w:type="pct"/>
            <w:vAlign w:val="center"/>
          </w:tcPr>
          <w:p w14:paraId="18C673C0">
            <w:pPr>
              <w:widowControl/>
              <w:snapToGrid w:val="0"/>
              <w:jc w:val="left"/>
              <w:rPr>
                <w:rFonts w:ascii="宋体" w:hAnsi="宋体" w:cs="宋体"/>
                <w:kern w:val="0"/>
                <w:szCs w:val="21"/>
              </w:rPr>
            </w:pPr>
            <w:r>
              <w:rPr>
                <w:rFonts w:hint="eastAsia" w:ascii="宋体" w:hAnsi="宋体" w:cs="宋体"/>
                <w:kern w:val="0"/>
              </w:rPr>
              <w:t>月度出科</w:t>
            </w:r>
          </w:p>
        </w:tc>
        <w:tc>
          <w:tcPr>
            <w:tcW w:w="3440" w:type="pct"/>
            <w:vAlign w:val="center"/>
          </w:tcPr>
          <w:p w14:paraId="253439F1">
            <w:pPr>
              <w:widowControl/>
              <w:snapToGrid w:val="0"/>
              <w:jc w:val="left"/>
              <w:rPr>
                <w:rFonts w:ascii="宋体" w:hAnsi="宋体" w:cs="宋体"/>
                <w:kern w:val="0"/>
                <w:szCs w:val="21"/>
              </w:rPr>
            </w:pPr>
            <w:r>
              <w:rPr>
                <w:rFonts w:hint="eastAsia" w:ascii="宋体" w:hAnsi="宋体" w:cs="宋体"/>
                <w:kern w:val="0"/>
              </w:rPr>
              <w:t>自动展示本月有哪些学员会从本科室出科</w:t>
            </w:r>
          </w:p>
        </w:tc>
      </w:tr>
      <w:tr w14:paraId="06D43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continue"/>
            <w:vAlign w:val="center"/>
          </w:tcPr>
          <w:p w14:paraId="3BE5E9EB">
            <w:pPr>
              <w:widowControl/>
              <w:snapToGrid w:val="0"/>
              <w:jc w:val="center"/>
              <w:rPr>
                <w:rFonts w:ascii="宋体" w:hAnsi="宋体" w:cs="宋体"/>
                <w:kern w:val="0"/>
                <w:szCs w:val="21"/>
              </w:rPr>
            </w:pPr>
          </w:p>
        </w:tc>
        <w:tc>
          <w:tcPr>
            <w:tcW w:w="1082" w:type="pct"/>
            <w:vAlign w:val="center"/>
          </w:tcPr>
          <w:p w14:paraId="76C0E3C5">
            <w:pPr>
              <w:widowControl/>
              <w:snapToGrid w:val="0"/>
              <w:jc w:val="left"/>
              <w:rPr>
                <w:rFonts w:ascii="宋体" w:hAnsi="宋体" w:cs="宋体"/>
                <w:kern w:val="0"/>
                <w:szCs w:val="21"/>
              </w:rPr>
            </w:pPr>
            <w:r>
              <w:rPr>
                <w:rFonts w:hint="eastAsia" w:ascii="宋体" w:hAnsi="宋体" w:cs="宋体"/>
                <w:kern w:val="0"/>
                <w:szCs w:val="21"/>
              </w:rPr>
              <w:t>科室学员</w:t>
            </w:r>
          </w:p>
        </w:tc>
        <w:tc>
          <w:tcPr>
            <w:tcW w:w="3440" w:type="pct"/>
            <w:vAlign w:val="center"/>
          </w:tcPr>
          <w:p w14:paraId="7591D8A4">
            <w:pPr>
              <w:widowControl/>
              <w:snapToGrid w:val="0"/>
              <w:jc w:val="left"/>
              <w:rPr>
                <w:rFonts w:ascii="宋体" w:hAnsi="宋体" w:cs="宋体"/>
                <w:kern w:val="0"/>
                <w:szCs w:val="21"/>
              </w:rPr>
            </w:pPr>
            <w:r>
              <w:rPr>
                <w:rFonts w:hint="eastAsia" w:ascii="宋体" w:hAnsi="宋体" w:cs="宋体"/>
                <w:kern w:val="0"/>
                <w:szCs w:val="21"/>
              </w:rPr>
              <w:t>学员名单可按待入科、轮转中、已出科等多种条件筛选，可查看学员的基本情况，可与实际报到学员核对有哪些人实际没有入科。</w:t>
            </w:r>
          </w:p>
        </w:tc>
      </w:tr>
      <w:tr w14:paraId="239BE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continue"/>
            <w:vAlign w:val="center"/>
          </w:tcPr>
          <w:p w14:paraId="5207B0A3">
            <w:pPr>
              <w:widowControl/>
              <w:snapToGrid w:val="0"/>
              <w:jc w:val="center"/>
              <w:rPr>
                <w:rFonts w:ascii="宋体" w:hAnsi="宋体" w:cs="宋体"/>
                <w:kern w:val="0"/>
                <w:szCs w:val="21"/>
              </w:rPr>
            </w:pPr>
          </w:p>
        </w:tc>
        <w:tc>
          <w:tcPr>
            <w:tcW w:w="1082" w:type="pct"/>
            <w:vAlign w:val="center"/>
          </w:tcPr>
          <w:p w14:paraId="6C0C4994">
            <w:pPr>
              <w:widowControl/>
              <w:snapToGrid w:val="0"/>
              <w:jc w:val="left"/>
              <w:rPr>
                <w:rFonts w:ascii="宋体" w:hAnsi="宋体" w:cs="宋体"/>
                <w:kern w:val="0"/>
                <w:szCs w:val="21"/>
              </w:rPr>
            </w:pPr>
            <w:r>
              <w:rPr>
                <w:rFonts w:hint="eastAsia" w:ascii="宋体" w:hAnsi="宋体" w:cs="宋体"/>
                <w:kern w:val="0"/>
                <w:szCs w:val="21"/>
              </w:rPr>
              <w:t>基地学员</w:t>
            </w:r>
          </w:p>
        </w:tc>
        <w:tc>
          <w:tcPr>
            <w:tcW w:w="3440" w:type="pct"/>
            <w:vAlign w:val="center"/>
          </w:tcPr>
          <w:p w14:paraId="47651975">
            <w:pPr>
              <w:widowControl/>
              <w:snapToGrid w:val="0"/>
              <w:jc w:val="left"/>
              <w:rPr>
                <w:rFonts w:ascii="宋体" w:hAnsi="宋体" w:cs="宋体"/>
                <w:kern w:val="0"/>
                <w:szCs w:val="21"/>
              </w:rPr>
            </w:pPr>
            <w:r>
              <w:rPr>
                <w:rFonts w:hint="eastAsia" w:ascii="宋体" w:hAnsi="宋体" w:cs="宋体"/>
                <w:kern w:val="0"/>
                <w:szCs w:val="21"/>
              </w:rPr>
              <w:t>查看专业基地下辖所有学员的信息，例如麻醉科基地秘书可跟踪已安排到内科轮转的学员轮转情况。</w:t>
            </w:r>
          </w:p>
        </w:tc>
      </w:tr>
      <w:tr w14:paraId="030D8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continue"/>
            <w:vAlign w:val="center"/>
          </w:tcPr>
          <w:p w14:paraId="3A6929B1">
            <w:pPr>
              <w:widowControl/>
              <w:snapToGrid w:val="0"/>
              <w:jc w:val="center"/>
              <w:rPr>
                <w:rFonts w:ascii="宋体" w:hAnsi="宋体" w:cs="宋体"/>
                <w:kern w:val="0"/>
                <w:szCs w:val="21"/>
              </w:rPr>
            </w:pPr>
          </w:p>
        </w:tc>
        <w:tc>
          <w:tcPr>
            <w:tcW w:w="1082" w:type="pct"/>
            <w:vAlign w:val="center"/>
          </w:tcPr>
          <w:p w14:paraId="3504712D">
            <w:pPr>
              <w:widowControl/>
              <w:snapToGrid w:val="0"/>
              <w:jc w:val="left"/>
              <w:rPr>
                <w:rFonts w:ascii="宋体" w:hAnsi="宋体" w:cs="宋体"/>
                <w:kern w:val="0"/>
                <w:szCs w:val="21"/>
              </w:rPr>
            </w:pPr>
            <w:r>
              <w:rPr>
                <w:rFonts w:hint="eastAsia" w:ascii="宋体" w:hAnsi="宋体" w:cs="宋体"/>
                <w:kern w:val="0"/>
                <w:szCs w:val="21"/>
              </w:rPr>
              <w:t>指定带教</w:t>
            </w:r>
          </w:p>
        </w:tc>
        <w:tc>
          <w:tcPr>
            <w:tcW w:w="3440" w:type="pct"/>
            <w:vAlign w:val="center"/>
          </w:tcPr>
          <w:p w14:paraId="056A5BDE">
            <w:pPr>
              <w:widowControl/>
              <w:snapToGrid w:val="0"/>
              <w:jc w:val="left"/>
              <w:rPr>
                <w:rFonts w:ascii="宋体" w:hAnsi="宋体" w:cs="宋体"/>
                <w:kern w:val="0"/>
                <w:szCs w:val="21"/>
              </w:rPr>
            </w:pPr>
            <w:r>
              <w:rPr>
                <w:rFonts w:hint="eastAsia" w:ascii="宋体" w:hAnsi="宋体" w:cs="宋体"/>
                <w:kern w:val="0"/>
                <w:szCs w:val="21"/>
              </w:rPr>
              <w:t>给学员指定带教老师，入科确认，支持入科确认，同一科室3个月轮转计划一次性入科确认。</w:t>
            </w:r>
          </w:p>
        </w:tc>
      </w:tr>
      <w:tr w14:paraId="70862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continue"/>
            <w:vAlign w:val="center"/>
          </w:tcPr>
          <w:p w14:paraId="12FEBCCF">
            <w:pPr>
              <w:widowControl/>
              <w:snapToGrid w:val="0"/>
              <w:jc w:val="center"/>
              <w:rPr>
                <w:rFonts w:ascii="宋体" w:hAnsi="宋体" w:cs="宋体"/>
                <w:kern w:val="0"/>
                <w:szCs w:val="21"/>
              </w:rPr>
            </w:pPr>
          </w:p>
        </w:tc>
        <w:tc>
          <w:tcPr>
            <w:tcW w:w="1082" w:type="pct"/>
            <w:vAlign w:val="center"/>
          </w:tcPr>
          <w:p w14:paraId="03DB9A67">
            <w:pPr>
              <w:widowControl/>
              <w:snapToGrid w:val="0"/>
              <w:jc w:val="left"/>
              <w:rPr>
                <w:rFonts w:ascii="宋体" w:hAnsi="宋体" w:cs="宋体"/>
                <w:kern w:val="0"/>
                <w:szCs w:val="21"/>
              </w:rPr>
            </w:pPr>
            <w:r>
              <w:rPr>
                <w:rFonts w:hint="eastAsia" w:ascii="宋体" w:hAnsi="宋体" w:cs="宋体"/>
                <w:kern w:val="0"/>
                <w:szCs w:val="21"/>
              </w:rPr>
              <w:t>指定导师</w:t>
            </w:r>
          </w:p>
        </w:tc>
        <w:tc>
          <w:tcPr>
            <w:tcW w:w="3440" w:type="pct"/>
            <w:vAlign w:val="center"/>
          </w:tcPr>
          <w:p w14:paraId="395AB151">
            <w:pPr>
              <w:widowControl/>
              <w:snapToGrid w:val="0"/>
              <w:jc w:val="left"/>
              <w:rPr>
                <w:rFonts w:ascii="宋体" w:hAnsi="宋体" w:cs="宋体"/>
                <w:kern w:val="0"/>
                <w:szCs w:val="21"/>
              </w:rPr>
            </w:pPr>
            <w:r>
              <w:rPr>
                <w:rFonts w:hint="eastAsia" w:ascii="宋体" w:hAnsi="宋体" w:cs="宋体"/>
                <w:kern w:val="0"/>
                <w:szCs w:val="21"/>
              </w:rPr>
              <w:t>指定学员的责任导师，导师除了查看自己科室的学员，还能查看自己教导的配对学员。</w:t>
            </w:r>
          </w:p>
        </w:tc>
      </w:tr>
      <w:tr w14:paraId="304A8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continue"/>
            <w:vAlign w:val="center"/>
          </w:tcPr>
          <w:p w14:paraId="39B9BB91">
            <w:pPr>
              <w:widowControl/>
              <w:snapToGrid w:val="0"/>
              <w:jc w:val="center"/>
              <w:rPr>
                <w:rFonts w:ascii="宋体" w:hAnsi="宋体" w:cs="宋体"/>
                <w:kern w:val="0"/>
                <w:szCs w:val="21"/>
              </w:rPr>
            </w:pPr>
          </w:p>
        </w:tc>
        <w:tc>
          <w:tcPr>
            <w:tcW w:w="1082" w:type="pct"/>
            <w:vAlign w:val="center"/>
          </w:tcPr>
          <w:p w14:paraId="090186E4">
            <w:pPr>
              <w:widowControl/>
              <w:snapToGrid w:val="0"/>
              <w:jc w:val="left"/>
              <w:rPr>
                <w:rFonts w:ascii="宋体" w:hAnsi="宋体" w:cs="宋体"/>
                <w:kern w:val="0"/>
                <w:szCs w:val="21"/>
              </w:rPr>
            </w:pPr>
            <w:r>
              <w:rPr>
                <w:rFonts w:hint="eastAsia" w:ascii="宋体" w:hAnsi="宋体" w:cs="宋体"/>
                <w:kern w:val="0"/>
                <w:szCs w:val="21"/>
              </w:rPr>
              <w:t>带教小组</w:t>
            </w:r>
          </w:p>
        </w:tc>
        <w:tc>
          <w:tcPr>
            <w:tcW w:w="3440" w:type="pct"/>
            <w:vAlign w:val="center"/>
          </w:tcPr>
          <w:p w14:paraId="056F18BC">
            <w:pPr>
              <w:widowControl/>
              <w:snapToGrid w:val="0"/>
              <w:jc w:val="left"/>
              <w:rPr>
                <w:rFonts w:ascii="宋体" w:hAnsi="宋体" w:cs="宋体"/>
                <w:kern w:val="0"/>
                <w:szCs w:val="21"/>
              </w:rPr>
            </w:pPr>
            <w:r>
              <w:rPr>
                <w:rFonts w:hint="eastAsia" w:ascii="宋体" w:hAnsi="宋体" w:cs="宋体"/>
                <w:kern w:val="0"/>
                <w:szCs w:val="21"/>
                <w:lang w:eastAsia="zh-Hans"/>
              </w:rPr>
              <w:t>按国家最新管理要求支持带教小组。</w:t>
            </w:r>
          </w:p>
        </w:tc>
      </w:tr>
      <w:tr w14:paraId="3E007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restart"/>
            <w:vAlign w:val="center"/>
          </w:tcPr>
          <w:p w14:paraId="7D3D408D">
            <w:pPr>
              <w:widowControl/>
              <w:snapToGrid w:val="0"/>
              <w:jc w:val="center"/>
              <w:rPr>
                <w:rFonts w:ascii="宋体" w:hAnsi="宋体" w:cs="宋体"/>
                <w:kern w:val="0"/>
                <w:szCs w:val="21"/>
              </w:rPr>
            </w:pPr>
            <w:r>
              <w:rPr>
                <w:rFonts w:hint="eastAsia" w:ascii="宋体" w:hAnsi="宋体" w:cs="宋体"/>
                <w:kern w:val="0"/>
                <w:szCs w:val="21"/>
              </w:rPr>
              <w:t>教学活动</w:t>
            </w:r>
          </w:p>
        </w:tc>
        <w:tc>
          <w:tcPr>
            <w:tcW w:w="1082" w:type="pct"/>
            <w:vMerge w:val="restart"/>
            <w:vAlign w:val="center"/>
          </w:tcPr>
          <w:p w14:paraId="5DEC4E8D">
            <w:pPr>
              <w:widowControl/>
              <w:snapToGrid w:val="0"/>
              <w:jc w:val="left"/>
              <w:rPr>
                <w:rFonts w:ascii="宋体" w:hAnsi="宋体" w:cs="宋体"/>
                <w:kern w:val="0"/>
                <w:szCs w:val="21"/>
              </w:rPr>
            </w:pPr>
            <w:r>
              <w:rPr>
                <w:rFonts w:hint="eastAsia" w:ascii="宋体" w:hAnsi="宋体" w:cs="宋体"/>
                <w:kern w:val="0"/>
                <w:szCs w:val="21"/>
              </w:rPr>
              <w:t>课程表</w:t>
            </w:r>
          </w:p>
        </w:tc>
        <w:tc>
          <w:tcPr>
            <w:tcW w:w="3440" w:type="pct"/>
            <w:vAlign w:val="center"/>
          </w:tcPr>
          <w:p w14:paraId="37A66130">
            <w:pPr>
              <w:widowControl/>
              <w:snapToGrid w:val="0"/>
              <w:jc w:val="left"/>
              <w:rPr>
                <w:rFonts w:ascii="宋体" w:hAnsi="宋体" w:cs="宋体"/>
                <w:kern w:val="0"/>
                <w:szCs w:val="21"/>
              </w:rPr>
            </w:pPr>
            <w:r>
              <w:rPr>
                <w:rFonts w:hint="eastAsia" w:ascii="宋体" w:hAnsi="宋体" w:cs="宋体"/>
                <w:kern w:val="0"/>
                <w:szCs w:val="21"/>
              </w:rPr>
              <w:t>周课程表功能，以日历形式展现一周的教学安排。</w:t>
            </w:r>
          </w:p>
        </w:tc>
      </w:tr>
      <w:tr w14:paraId="7983D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continue"/>
            <w:vAlign w:val="center"/>
          </w:tcPr>
          <w:p w14:paraId="0C088F1F">
            <w:pPr>
              <w:widowControl/>
              <w:snapToGrid w:val="0"/>
              <w:jc w:val="center"/>
              <w:rPr>
                <w:rFonts w:ascii="宋体" w:hAnsi="宋体" w:cs="宋体"/>
                <w:kern w:val="0"/>
                <w:szCs w:val="21"/>
              </w:rPr>
            </w:pPr>
          </w:p>
        </w:tc>
        <w:tc>
          <w:tcPr>
            <w:tcW w:w="1082" w:type="pct"/>
            <w:vMerge w:val="continue"/>
            <w:vAlign w:val="center"/>
          </w:tcPr>
          <w:p w14:paraId="5CAB88D8">
            <w:pPr>
              <w:widowControl/>
              <w:snapToGrid w:val="0"/>
              <w:jc w:val="left"/>
              <w:rPr>
                <w:rFonts w:ascii="宋体" w:hAnsi="宋体" w:cs="宋体"/>
                <w:kern w:val="0"/>
                <w:szCs w:val="21"/>
              </w:rPr>
            </w:pPr>
          </w:p>
        </w:tc>
        <w:tc>
          <w:tcPr>
            <w:tcW w:w="3440" w:type="pct"/>
            <w:vAlign w:val="center"/>
          </w:tcPr>
          <w:p w14:paraId="5A2FF1B4">
            <w:pPr>
              <w:widowControl/>
              <w:snapToGrid w:val="0"/>
              <w:jc w:val="left"/>
              <w:rPr>
                <w:rFonts w:ascii="宋体" w:hAnsi="宋体" w:cs="宋体"/>
                <w:kern w:val="0"/>
                <w:szCs w:val="21"/>
              </w:rPr>
            </w:pPr>
            <w:r>
              <w:rPr>
                <w:rFonts w:hint="eastAsia" w:ascii="宋体" w:hAnsi="宋体" w:cs="宋体"/>
                <w:kern w:val="0"/>
                <w:szCs w:val="21"/>
              </w:rPr>
              <w:t>月课程表功能，以列表形式展现一月的教学安排。</w:t>
            </w:r>
          </w:p>
        </w:tc>
      </w:tr>
      <w:tr w14:paraId="56E9E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continue"/>
            <w:vAlign w:val="center"/>
          </w:tcPr>
          <w:p w14:paraId="0F33B19D">
            <w:pPr>
              <w:widowControl/>
              <w:snapToGrid w:val="0"/>
              <w:jc w:val="center"/>
              <w:rPr>
                <w:rFonts w:ascii="宋体" w:hAnsi="宋体" w:cs="宋体"/>
                <w:kern w:val="0"/>
                <w:szCs w:val="21"/>
              </w:rPr>
            </w:pPr>
          </w:p>
        </w:tc>
        <w:tc>
          <w:tcPr>
            <w:tcW w:w="1082" w:type="pct"/>
            <w:vAlign w:val="center"/>
          </w:tcPr>
          <w:p w14:paraId="36B13A39">
            <w:pPr>
              <w:widowControl/>
              <w:snapToGrid w:val="0"/>
              <w:jc w:val="left"/>
              <w:rPr>
                <w:rFonts w:ascii="宋体" w:hAnsi="宋体" w:cs="宋体"/>
                <w:kern w:val="0"/>
                <w:szCs w:val="21"/>
              </w:rPr>
            </w:pPr>
            <w:r>
              <w:rPr>
                <w:rFonts w:hint="eastAsia" w:ascii="宋体" w:hAnsi="宋体" w:cs="宋体"/>
                <w:kern w:val="0"/>
                <w:szCs w:val="21"/>
              </w:rPr>
              <w:t>活动创建</w:t>
            </w:r>
          </w:p>
        </w:tc>
        <w:tc>
          <w:tcPr>
            <w:tcW w:w="3440" w:type="pct"/>
            <w:vAlign w:val="center"/>
          </w:tcPr>
          <w:p w14:paraId="61D91DD1">
            <w:pPr>
              <w:widowControl/>
              <w:snapToGrid w:val="0"/>
              <w:jc w:val="left"/>
              <w:rPr>
                <w:rFonts w:ascii="宋体" w:hAnsi="宋体" w:cs="宋体"/>
                <w:kern w:val="0"/>
                <w:szCs w:val="21"/>
              </w:rPr>
            </w:pPr>
            <w:r>
              <w:rPr>
                <w:rFonts w:hint="eastAsia" w:ascii="宋体" w:hAnsi="宋体" w:cs="宋体"/>
                <w:kern w:val="0"/>
                <w:szCs w:val="21"/>
              </w:rPr>
              <w:t>支持在手机端创建和发布教学活动，支持把教学活动生成活动报名/签到二维码图片发布出去。支持快速创建教学活动。可创建的类型包括全院级、专业基地级、科室级的岗前培训、理论授课、小讲课、教学查房等。</w:t>
            </w:r>
          </w:p>
        </w:tc>
      </w:tr>
      <w:tr w14:paraId="73DE6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continue"/>
            <w:vAlign w:val="center"/>
          </w:tcPr>
          <w:p w14:paraId="14CF25F2">
            <w:pPr>
              <w:widowControl/>
              <w:snapToGrid w:val="0"/>
              <w:jc w:val="center"/>
              <w:rPr>
                <w:rFonts w:ascii="宋体" w:hAnsi="宋体" w:cs="宋体"/>
                <w:kern w:val="0"/>
                <w:szCs w:val="21"/>
              </w:rPr>
            </w:pPr>
          </w:p>
        </w:tc>
        <w:tc>
          <w:tcPr>
            <w:tcW w:w="1082" w:type="pct"/>
            <w:vAlign w:val="center"/>
          </w:tcPr>
          <w:p w14:paraId="0F639A5B">
            <w:pPr>
              <w:widowControl/>
              <w:snapToGrid w:val="0"/>
              <w:jc w:val="left"/>
              <w:rPr>
                <w:rFonts w:ascii="宋体" w:hAnsi="宋体" w:cs="宋体"/>
                <w:kern w:val="0"/>
                <w:szCs w:val="21"/>
              </w:rPr>
            </w:pPr>
            <w:r>
              <w:rPr>
                <w:rFonts w:hint="eastAsia" w:ascii="宋体" w:hAnsi="宋体" w:cs="宋体"/>
                <w:kern w:val="0"/>
              </w:rPr>
              <w:t>随堂考试码</w:t>
            </w:r>
          </w:p>
        </w:tc>
        <w:tc>
          <w:tcPr>
            <w:tcW w:w="3440" w:type="pct"/>
            <w:vAlign w:val="center"/>
          </w:tcPr>
          <w:p w14:paraId="605E41CE">
            <w:pPr>
              <w:widowControl/>
              <w:snapToGrid w:val="0"/>
              <w:jc w:val="left"/>
              <w:rPr>
                <w:rFonts w:ascii="宋体" w:hAnsi="宋体" w:cs="宋体"/>
                <w:kern w:val="0"/>
                <w:szCs w:val="21"/>
              </w:rPr>
            </w:pPr>
            <w:r>
              <w:rPr>
                <w:rFonts w:hint="eastAsia" w:ascii="宋体" w:hAnsi="宋体" w:cs="宋体"/>
                <w:kern w:val="0"/>
                <w:lang w:bidi="ar"/>
              </w:rPr>
              <w:t>支持创建教学活动的同时设置随堂考试码，点击考试码直接进入考试单元，自动回填随堂考试码直接点击即可开始正式考试。</w:t>
            </w:r>
          </w:p>
        </w:tc>
      </w:tr>
      <w:tr w14:paraId="67717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continue"/>
            <w:vAlign w:val="center"/>
          </w:tcPr>
          <w:p w14:paraId="3FCD4FED">
            <w:pPr>
              <w:widowControl/>
              <w:snapToGrid w:val="0"/>
              <w:jc w:val="center"/>
              <w:rPr>
                <w:rFonts w:ascii="宋体" w:hAnsi="宋体" w:cs="宋体"/>
                <w:kern w:val="0"/>
                <w:szCs w:val="21"/>
              </w:rPr>
            </w:pPr>
          </w:p>
        </w:tc>
        <w:tc>
          <w:tcPr>
            <w:tcW w:w="1082" w:type="pct"/>
            <w:vAlign w:val="center"/>
          </w:tcPr>
          <w:p w14:paraId="5B46CA6C">
            <w:pPr>
              <w:widowControl/>
              <w:snapToGrid w:val="0"/>
              <w:jc w:val="left"/>
              <w:rPr>
                <w:rFonts w:ascii="宋体" w:hAnsi="宋体" w:cs="宋体"/>
                <w:kern w:val="0"/>
                <w:szCs w:val="21"/>
              </w:rPr>
            </w:pPr>
            <w:r>
              <w:rPr>
                <w:rFonts w:hint="eastAsia" w:ascii="宋体" w:hAnsi="宋体" w:cs="宋体"/>
                <w:kern w:val="0"/>
                <w:szCs w:val="21"/>
              </w:rPr>
              <w:t>活动发布</w:t>
            </w:r>
          </w:p>
        </w:tc>
        <w:tc>
          <w:tcPr>
            <w:tcW w:w="3440" w:type="pct"/>
            <w:vAlign w:val="center"/>
          </w:tcPr>
          <w:p w14:paraId="01EAF919">
            <w:pPr>
              <w:widowControl/>
              <w:snapToGrid w:val="0"/>
              <w:jc w:val="left"/>
              <w:rPr>
                <w:rFonts w:ascii="宋体" w:hAnsi="宋体" w:cs="宋体"/>
                <w:kern w:val="0"/>
                <w:szCs w:val="21"/>
              </w:rPr>
            </w:pPr>
            <w:r>
              <w:rPr>
                <w:rFonts w:hint="eastAsia" w:ascii="宋体" w:hAnsi="宋体" w:cs="宋体"/>
                <w:kern w:val="0"/>
              </w:rPr>
              <w:t>支持发布静态二维码和动态二维码两种，其中动态二维码具备每隔10秒刷新防伪和防非现场签到机制</w:t>
            </w:r>
          </w:p>
        </w:tc>
      </w:tr>
      <w:tr w14:paraId="1A888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continue"/>
            <w:vAlign w:val="center"/>
          </w:tcPr>
          <w:p w14:paraId="0F925F4D">
            <w:pPr>
              <w:widowControl/>
              <w:snapToGrid w:val="0"/>
              <w:jc w:val="center"/>
              <w:rPr>
                <w:rFonts w:ascii="宋体" w:hAnsi="宋体" w:cs="宋体"/>
                <w:kern w:val="0"/>
                <w:szCs w:val="21"/>
              </w:rPr>
            </w:pPr>
          </w:p>
        </w:tc>
        <w:tc>
          <w:tcPr>
            <w:tcW w:w="1082" w:type="pct"/>
            <w:vAlign w:val="center"/>
          </w:tcPr>
          <w:p w14:paraId="2C2230FC">
            <w:pPr>
              <w:widowControl/>
              <w:snapToGrid w:val="0"/>
              <w:jc w:val="left"/>
              <w:rPr>
                <w:rFonts w:ascii="宋体" w:hAnsi="宋体" w:cs="宋体"/>
                <w:kern w:val="0"/>
                <w:szCs w:val="21"/>
              </w:rPr>
            </w:pPr>
            <w:r>
              <w:rPr>
                <w:rFonts w:hint="eastAsia" w:ascii="宋体" w:hAnsi="宋体" w:cs="宋体"/>
                <w:kern w:val="0"/>
                <w:szCs w:val="21"/>
              </w:rPr>
              <w:t>活动报名</w:t>
            </w:r>
          </w:p>
        </w:tc>
        <w:tc>
          <w:tcPr>
            <w:tcW w:w="3440" w:type="pct"/>
            <w:vAlign w:val="center"/>
          </w:tcPr>
          <w:p w14:paraId="4D379315">
            <w:pPr>
              <w:widowControl/>
              <w:snapToGrid w:val="0"/>
              <w:jc w:val="left"/>
              <w:rPr>
                <w:rFonts w:ascii="宋体" w:hAnsi="宋体" w:cs="宋体"/>
                <w:kern w:val="0"/>
                <w:szCs w:val="21"/>
              </w:rPr>
            </w:pPr>
            <w:r>
              <w:rPr>
                <w:rFonts w:hint="eastAsia" w:ascii="宋体" w:hAnsi="宋体" w:cs="宋体"/>
                <w:kern w:val="0"/>
                <w:szCs w:val="21"/>
              </w:rPr>
              <w:t>可通过扫码的方式，参加其他科室的活动，并记录在参会人员名册中。</w:t>
            </w:r>
          </w:p>
        </w:tc>
      </w:tr>
      <w:tr w14:paraId="0C91F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continue"/>
            <w:vAlign w:val="center"/>
          </w:tcPr>
          <w:p w14:paraId="75DB00AB">
            <w:pPr>
              <w:widowControl/>
              <w:snapToGrid w:val="0"/>
              <w:jc w:val="center"/>
              <w:rPr>
                <w:rFonts w:ascii="宋体" w:hAnsi="宋体" w:cs="宋体"/>
                <w:kern w:val="0"/>
                <w:szCs w:val="21"/>
              </w:rPr>
            </w:pPr>
          </w:p>
        </w:tc>
        <w:tc>
          <w:tcPr>
            <w:tcW w:w="1082" w:type="pct"/>
            <w:vAlign w:val="center"/>
          </w:tcPr>
          <w:p w14:paraId="06772A61">
            <w:pPr>
              <w:widowControl/>
              <w:snapToGrid w:val="0"/>
              <w:jc w:val="left"/>
              <w:rPr>
                <w:rFonts w:ascii="宋体" w:hAnsi="宋体" w:cs="宋体"/>
                <w:kern w:val="0"/>
                <w:szCs w:val="21"/>
              </w:rPr>
            </w:pPr>
            <w:r>
              <w:rPr>
                <w:rFonts w:hint="eastAsia" w:ascii="宋体" w:hAnsi="宋体" w:cs="宋体"/>
                <w:kern w:val="0"/>
                <w:szCs w:val="21"/>
              </w:rPr>
              <w:t>活动扫码</w:t>
            </w:r>
          </w:p>
        </w:tc>
        <w:tc>
          <w:tcPr>
            <w:tcW w:w="3440" w:type="pct"/>
            <w:vAlign w:val="center"/>
          </w:tcPr>
          <w:p w14:paraId="135EE411">
            <w:pPr>
              <w:widowControl/>
              <w:snapToGrid w:val="0"/>
              <w:jc w:val="left"/>
              <w:rPr>
                <w:rFonts w:ascii="宋体" w:hAnsi="宋体" w:cs="宋体"/>
                <w:kern w:val="0"/>
                <w:szCs w:val="21"/>
              </w:rPr>
            </w:pPr>
            <w:r>
              <w:rPr>
                <w:rFonts w:hint="eastAsia" w:ascii="宋体" w:hAnsi="宋体" w:cs="宋体"/>
                <w:kern w:val="0"/>
                <w:szCs w:val="21"/>
              </w:rPr>
              <w:t>通过扫描动态二维码的方式进行活动签到，包括病例讨论、教学查房、临床操作指导、理论授课等</w:t>
            </w:r>
          </w:p>
        </w:tc>
      </w:tr>
      <w:tr w14:paraId="7755A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continue"/>
            <w:vAlign w:val="center"/>
          </w:tcPr>
          <w:p w14:paraId="55B2F307">
            <w:pPr>
              <w:widowControl/>
              <w:snapToGrid w:val="0"/>
              <w:jc w:val="center"/>
              <w:rPr>
                <w:rFonts w:ascii="宋体" w:hAnsi="宋体" w:cs="宋体"/>
                <w:kern w:val="0"/>
                <w:szCs w:val="21"/>
              </w:rPr>
            </w:pPr>
          </w:p>
        </w:tc>
        <w:tc>
          <w:tcPr>
            <w:tcW w:w="1082" w:type="pct"/>
            <w:vAlign w:val="center"/>
          </w:tcPr>
          <w:p w14:paraId="1524FBC2">
            <w:pPr>
              <w:widowControl/>
              <w:snapToGrid w:val="0"/>
              <w:jc w:val="left"/>
              <w:rPr>
                <w:rFonts w:ascii="宋体" w:hAnsi="宋体" w:cs="宋体"/>
                <w:kern w:val="0"/>
                <w:szCs w:val="21"/>
              </w:rPr>
            </w:pPr>
            <w:r>
              <w:rPr>
                <w:rFonts w:hint="eastAsia" w:ascii="宋体" w:hAnsi="宋体" w:cs="宋体"/>
                <w:kern w:val="0"/>
              </w:rPr>
              <w:t>在线预览</w:t>
            </w:r>
          </w:p>
        </w:tc>
        <w:tc>
          <w:tcPr>
            <w:tcW w:w="3440" w:type="pct"/>
            <w:vAlign w:val="center"/>
          </w:tcPr>
          <w:p w14:paraId="533580C2">
            <w:pPr>
              <w:widowControl/>
              <w:snapToGrid w:val="0"/>
              <w:jc w:val="left"/>
              <w:rPr>
                <w:rFonts w:ascii="宋体" w:hAnsi="宋体" w:cs="宋体"/>
                <w:kern w:val="0"/>
                <w:szCs w:val="21"/>
              </w:rPr>
            </w:pPr>
            <w:r>
              <w:rPr>
                <w:rFonts w:ascii="宋体" w:hAnsi="宋体" w:cs="宋体"/>
                <w:kern w:val="0"/>
                <w:lang w:bidi="ar"/>
              </w:rPr>
              <w:t>支持各类课件和教案直接在线预览，需支持PDF、Word、Excel、PPT文档的在线预览</w:t>
            </w:r>
          </w:p>
        </w:tc>
      </w:tr>
      <w:tr w14:paraId="033B8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continue"/>
            <w:vAlign w:val="center"/>
          </w:tcPr>
          <w:p w14:paraId="7BFB90A3">
            <w:pPr>
              <w:widowControl/>
              <w:snapToGrid w:val="0"/>
              <w:jc w:val="center"/>
              <w:rPr>
                <w:rFonts w:ascii="宋体" w:hAnsi="宋体" w:cs="宋体"/>
                <w:kern w:val="0"/>
                <w:szCs w:val="21"/>
              </w:rPr>
            </w:pPr>
          </w:p>
        </w:tc>
        <w:tc>
          <w:tcPr>
            <w:tcW w:w="1082" w:type="pct"/>
            <w:vAlign w:val="center"/>
          </w:tcPr>
          <w:p w14:paraId="76A635E9">
            <w:pPr>
              <w:widowControl/>
              <w:snapToGrid w:val="0"/>
              <w:jc w:val="left"/>
              <w:rPr>
                <w:rFonts w:ascii="宋体" w:hAnsi="宋体" w:cs="宋体"/>
                <w:kern w:val="0"/>
                <w:szCs w:val="21"/>
              </w:rPr>
            </w:pPr>
            <w:r>
              <w:rPr>
                <w:rFonts w:hint="eastAsia" w:ascii="宋体" w:hAnsi="宋体" w:cs="宋体"/>
                <w:kern w:val="0"/>
              </w:rPr>
              <w:t>活动参加</w:t>
            </w:r>
          </w:p>
        </w:tc>
        <w:tc>
          <w:tcPr>
            <w:tcW w:w="3440" w:type="pct"/>
            <w:vAlign w:val="center"/>
          </w:tcPr>
          <w:p w14:paraId="0513137C">
            <w:pPr>
              <w:widowControl/>
              <w:snapToGrid w:val="0"/>
              <w:jc w:val="left"/>
              <w:rPr>
                <w:rFonts w:ascii="宋体" w:hAnsi="宋体" w:cs="宋体"/>
                <w:kern w:val="0"/>
                <w:szCs w:val="21"/>
              </w:rPr>
            </w:pPr>
            <w:r>
              <w:rPr>
                <w:rFonts w:hint="eastAsia" w:ascii="宋体" w:hAnsi="宋体" w:cs="宋体"/>
                <w:kern w:val="0"/>
              </w:rPr>
              <w:t>查看自己参加过的教学活动列表，并且可对活动进行评价、上传活动照片、查看课件等</w:t>
            </w:r>
          </w:p>
        </w:tc>
      </w:tr>
      <w:tr w14:paraId="12DD1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continue"/>
            <w:vAlign w:val="center"/>
          </w:tcPr>
          <w:p w14:paraId="70D1DF7E">
            <w:pPr>
              <w:widowControl/>
              <w:snapToGrid w:val="0"/>
              <w:jc w:val="center"/>
              <w:rPr>
                <w:rFonts w:ascii="宋体" w:hAnsi="宋体" w:cs="宋体"/>
                <w:kern w:val="0"/>
                <w:szCs w:val="21"/>
              </w:rPr>
            </w:pPr>
          </w:p>
        </w:tc>
        <w:tc>
          <w:tcPr>
            <w:tcW w:w="1082" w:type="pct"/>
            <w:vAlign w:val="center"/>
          </w:tcPr>
          <w:p w14:paraId="18F1318D">
            <w:pPr>
              <w:widowControl/>
              <w:snapToGrid w:val="0"/>
              <w:jc w:val="left"/>
              <w:rPr>
                <w:rFonts w:ascii="宋体" w:hAnsi="宋体" w:cs="宋体"/>
                <w:kern w:val="0"/>
                <w:szCs w:val="21"/>
              </w:rPr>
            </w:pPr>
            <w:r>
              <w:rPr>
                <w:rFonts w:hint="eastAsia" w:ascii="宋体" w:hAnsi="宋体" w:cs="宋体"/>
                <w:kern w:val="0"/>
              </w:rPr>
              <w:t>参会统计</w:t>
            </w:r>
          </w:p>
        </w:tc>
        <w:tc>
          <w:tcPr>
            <w:tcW w:w="3440" w:type="pct"/>
            <w:vAlign w:val="center"/>
          </w:tcPr>
          <w:p w14:paraId="504FEB29">
            <w:pPr>
              <w:widowControl/>
              <w:snapToGrid w:val="0"/>
              <w:jc w:val="left"/>
              <w:rPr>
                <w:rFonts w:ascii="宋体" w:hAnsi="宋体" w:cs="宋体"/>
                <w:kern w:val="0"/>
                <w:szCs w:val="21"/>
              </w:rPr>
            </w:pPr>
            <w:r>
              <w:rPr>
                <w:rFonts w:hint="eastAsia" w:ascii="宋体" w:hAnsi="宋体" w:cs="宋体"/>
                <w:kern w:val="0"/>
              </w:rPr>
              <w:t>可查询查看活动的签到人员、请假人员等。对各个活动类型进行签到率分类统计，可直接查看应参教学活动的实际参加情况统计。</w:t>
            </w:r>
          </w:p>
        </w:tc>
      </w:tr>
      <w:tr w14:paraId="2A7A1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continue"/>
            <w:vAlign w:val="center"/>
          </w:tcPr>
          <w:p w14:paraId="00D5EC73">
            <w:pPr>
              <w:widowControl/>
              <w:snapToGrid w:val="0"/>
              <w:jc w:val="center"/>
              <w:rPr>
                <w:rFonts w:ascii="宋体" w:hAnsi="宋体" w:cs="宋体"/>
                <w:kern w:val="0"/>
                <w:szCs w:val="21"/>
              </w:rPr>
            </w:pPr>
          </w:p>
        </w:tc>
        <w:tc>
          <w:tcPr>
            <w:tcW w:w="1082" w:type="pct"/>
            <w:vAlign w:val="center"/>
          </w:tcPr>
          <w:p w14:paraId="27059182">
            <w:pPr>
              <w:widowControl/>
              <w:snapToGrid w:val="0"/>
              <w:jc w:val="left"/>
              <w:rPr>
                <w:rFonts w:ascii="宋体" w:hAnsi="宋体" w:cs="宋体"/>
                <w:kern w:val="0"/>
                <w:szCs w:val="21"/>
              </w:rPr>
            </w:pPr>
            <w:r>
              <w:rPr>
                <w:rFonts w:hint="eastAsia" w:ascii="宋体" w:hAnsi="宋体" w:cs="宋体"/>
                <w:kern w:val="0"/>
              </w:rPr>
              <w:t>活动测评</w:t>
            </w:r>
          </w:p>
        </w:tc>
        <w:tc>
          <w:tcPr>
            <w:tcW w:w="3440" w:type="pct"/>
            <w:vAlign w:val="center"/>
          </w:tcPr>
          <w:p w14:paraId="784364CA">
            <w:pPr>
              <w:widowControl/>
              <w:snapToGrid w:val="0"/>
              <w:jc w:val="left"/>
              <w:rPr>
                <w:rFonts w:ascii="宋体" w:hAnsi="宋体" w:cs="宋体"/>
                <w:kern w:val="0"/>
                <w:szCs w:val="21"/>
              </w:rPr>
            </w:pPr>
            <w:r>
              <w:rPr>
                <w:rFonts w:hint="eastAsia" w:ascii="宋体" w:hAnsi="宋体" w:cs="宋体"/>
                <w:kern w:val="0"/>
              </w:rPr>
              <w:t>支持对教学活动进行测评，支持问答题形式测评。</w:t>
            </w:r>
          </w:p>
        </w:tc>
      </w:tr>
      <w:tr w14:paraId="5D3BA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continue"/>
            <w:vAlign w:val="center"/>
          </w:tcPr>
          <w:p w14:paraId="57A99905">
            <w:pPr>
              <w:widowControl/>
              <w:snapToGrid w:val="0"/>
              <w:jc w:val="center"/>
              <w:rPr>
                <w:rFonts w:ascii="宋体" w:hAnsi="宋体" w:cs="宋体"/>
                <w:kern w:val="0"/>
                <w:szCs w:val="21"/>
              </w:rPr>
            </w:pPr>
          </w:p>
        </w:tc>
        <w:tc>
          <w:tcPr>
            <w:tcW w:w="1082" w:type="pct"/>
            <w:vAlign w:val="center"/>
          </w:tcPr>
          <w:p w14:paraId="1798EBEA">
            <w:pPr>
              <w:widowControl/>
              <w:snapToGrid w:val="0"/>
              <w:jc w:val="left"/>
              <w:rPr>
                <w:rFonts w:ascii="宋体" w:hAnsi="宋体" w:cs="宋体"/>
                <w:kern w:val="0"/>
                <w:szCs w:val="21"/>
              </w:rPr>
            </w:pPr>
            <w:r>
              <w:rPr>
                <w:rFonts w:hint="eastAsia" w:ascii="宋体" w:hAnsi="宋体" w:cs="宋体"/>
                <w:kern w:val="0"/>
              </w:rPr>
              <w:t>互动留言</w:t>
            </w:r>
          </w:p>
        </w:tc>
        <w:tc>
          <w:tcPr>
            <w:tcW w:w="3440" w:type="pct"/>
            <w:vAlign w:val="center"/>
          </w:tcPr>
          <w:p w14:paraId="3937F54C">
            <w:pPr>
              <w:widowControl/>
              <w:snapToGrid w:val="0"/>
              <w:jc w:val="left"/>
              <w:rPr>
                <w:rFonts w:ascii="宋体" w:hAnsi="宋体" w:cs="宋体"/>
                <w:kern w:val="0"/>
                <w:szCs w:val="21"/>
              </w:rPr>
            </w:pPr>
            <w:r>
              <w:rPr>
                <w:rFonts w:hint="eastAsia" w:ascii="宋体" w:hAnsi="宋体" w:cs="宋体"/>
                <w:kern w:val="0"/>
              </w:rPr>
              <w:t>支持对开放式教学活动进行评论留言，支持回复留言互动。</w:t>
            </w:r>
          </w:p>
        </w:tc>
      </w:tr>
      <w:tr w14:paraId="4C6D3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continue"/>
            <w:vAlign w:val="center"/>
          </w:tcPr>
          <w:p w14:paraId="1953322B">
            <w:pPr>
              <w:widowControl/>
              <w:snapToGrid w:val="0"/>
              <w:jc w:val="center"/>
              <w:rPr>
                <w:rFonts w:ascii="宋体" w:hAnsi="宋体" w:cs="宋体"/>
                <w:kern w:val="0"/>
                <w:szCs w:val="21"/>
              </w:rPr>
            </w:pPr>
          </w:p>
        </w:tc>
        <w:tc>
          <w:tcPr>
            <w:tcW w:w="1082" w:type="pct"/>
            <w:vAlign w:val="center"/>
          </w:tcPr>
          <w:p w14:paraId="3273979A">
            <w:pPr>
              <w:widowControl/>
              <w:snapToGrid w:val="0"/>
              <w:jc w:val="left"/>
              <w:rPr>
                <w:rFonts w:ascii="宋体" w:hAnsi="宋体" w:cs="宋体"/>
                <w:kern w:val="0"/>
                <w:szCs w:val="21"/>
              </w:rPr>
            </w:pPr>
            <w:r>
              <w:rPr>
                <w:rFonts w:hint="eastAsia" w:ascii="宋体" w:hAnsi="宋体" w:cs="宋体"/>
                <w:kern w:val="0"/>
                <w:szCs w:val="21"/>
              </w:rPr>
              <w:t>活动存档</w:t>
            </w:r>
          </w:p>
        </w:tc>
        <w:tc>
          <w:tcPr>
            <w:tcW w:w="3440" w:type="pct"/>
            <w:vAlign w:val="center"/>
          </w:tcPr>
          <w:p w14:paraId="62714EEA">
            <w:pPr>
              <w:widowControl/>
              <w:snapToGrid w:val="0"/>
              <w:jc w:val="left"/>
              <w:rPr>
                <w:rFonts w:ascii="宋体" w:hAnsi="宋体" w:cs="宋体"/>
                <w:kern w:val="0"/>
                <w:szCs w:val="21"/>
              </w:rPr>
            </w:pPr>
            <w:r>
              <w:rPr>
                <w:rFonts w:hint="eastAsia" w:ascii="宋体" w:hAnsi="宋体" w:cs="宋体"/>
                <w:kern w:val="0"/>
              </w:rPr>
              <w:t>支持将教学活动进行过程中所有痕迹导出为教学记录，支持直接导出为WORD，支持WORD中直接嵌入现场图片</w:t>
            </w:r>
          </w:p>
        </w:tc>
      </w:tr>
      <w:tr w14:paraId="499D2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continue"/>
            <w:vAlign w:val="center"/>
          </w:tcPr>
          <w:p w14:paraId="526C861F">
            <w:pPr>
              <w:widowControl/>
              <w:snapToGrid w:val="0"/>
              <w:jc w:val="center"/>
              <w:rPr>
                <w:rFonts w:ascii="宋体" w:hAnsi="宋体" w:cs="宋体"/>
                <w:kern w:val="0"/>
                <w:szCs w:val="21"/>
              </w:rPr>
            </w:pPr>
          </w:p>
        </w:tc>
        <w:tc>
          <w:tcPr>
            <w:tcW w:w="1082" w:type="pct"/>
            <w:vAlign w:val="center"/>
          </w:tcPr>
          <w:p w14:paraId="23F4C783">
            <w:pPr>
              <w:widowControl/>
              <w:snapToGrid w:val="0"/>
              <w:jc w:val="left"/>
              <w:rPr>
                <w:rFonts w:ascii="宋体" w:hAnsi="宋体" w:cs="宋体"/>
                <w:kern w:val="0"/>
                <w:szCs w:val="21"/>
              </w:rPr>
            </w:pPr>
            <w:r>
              <w:rPr>
                <w:rFonts w:hint="eastAsia" w:ascii="宋体" w:hAnsi="宋体" w:cs="宋体"/>
                <w:kern w:val="0"/>
              </w:rPr>
              <w:t>教学达标</w:t>
            </w:r>
          </w:p>
        </w:tc>
        <w:tc>
          <w:tcPr>
            <w:tcW w:w="3440" w:type="pct"/>
            <w:vAlign w:val="center"/>
          </w:tcPr>
          <w:p w14:paraId="59081759">
            <w:pPr>
              <w:widowControl/>
              <w:snapToGrid w:val="0"/>
              <w:jc w:val="left"/>
              <w:rPr>
                <w:rFonts w:ascii="宋体" w:hAnsi="宋体" w:cs="宋体"/>
                <w:kern w:val="0"/>
                <w:szCs w:val="21"/>
              </w:rPr>
            </w:pPr>
            <w:r>
              <w:rPr>
                <w:rFonts w:hint="eastAsia" w:ascii="宋体" w:hAnsi="宋体" w:cs="宋体"/>
                <w:kern w:val="0"/>
              </w:rPr>
              <w:t>教学活动自动计算达标，根据管理后台达标教学活动计算规则，在达标教学活动标题中醒目位置显示“达标”，并可用于计算老师的教学津贴</w:t>
            </w:r>
          </w:p>
        </w:tc>
      </w:tr>
      <w:tr w14:paraId="581F8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continue"/>
            <w:vAlign w:val="center"/>
          </w:tcPr>
          <w:p w14:paraId="4CBECF14">
            <w:pPr>
              <w:widowControl/>
              <w:snapToGrid w:val="0"/>
              <w:jc w:val="center"/>
              <w:rPr>
                <w:rFonts w:ascii="宋体" w:hAnsi="宋体" w:cs="宋体"/>
                <w:kern w:val="0"/>
                <w:szCs w:val="21"/>
              </w:rPr>
            </w:pPr>
          </w:p>
        </w:tc>
        <w:tc>
          <w:tcPr>
            <w:tcW w:w="1082" w:type="pct"/>
            <w:vAlign w:val="center"/>
          </w:tcPr>
          <w:p w14:paraId="0DAC51DC">
            <w:pPr>
              <w:widowControl/>
              <w:snapToGrid w:val="0"/>
              <w:jc w:val="left"/>
              <w:rPr>
                <w:rFonts w:ascii="宋体" w:hAnsi="宋体" w:cs="宋体"/>
                <w:kern w:val="0"/>
                <w:szCs w:val="21"/>
              </w:rPr>
            </w:pPr>
            <w:r>
              <w:rPr>
                <w:rFonts w:hint="eastAsia" w:ascii="宋体" w:hAnsi="宋体" w:cs="宋体"/>
                <w:kern w:val="0"/>
              </w:rPr>
              <w:t>活动公示</w:t>
            </w:r>
          </w:p>
        </w:tc>
        <w:tc>
          <w:tcPr>
            <w:tcW w:w="3440" w:type="pct"/>
            <w:vAlign w:val="center"/>
          </w:tcPr>
          <w:p w14:paraId="7D22531B">
            <w:pPr>
              <w:widowControl/>
              <w:snapToGrid w:val="0"/>
              <w:jc w:val="left"/>
              <w:rPr>
                <w:rFonts w:ascii="宋体" w:hAnsi="宋体" w:cs="宋体"/>
                <w:kern w:val="0"/>
                <w:szCs w:val="21"/>
              </w:rPr>
            </w:pPr>
            <w:r>
              <w:rPr>
                <w:rFonts w:hint="eastAsia" w:ascii="宋体" w:hAnsi="宋体" w:cs="宋体"/>
                <w:kern w:val="0"/>
              </w:rPr>
              <w:t>支持向全院公示优秀教学活动，支持在公示活动下方留言互动。</w:t>
            </w:r>
          </w:p>
        </w:tc>
      </w:tr>
      <w:tr w14:paraId="364BF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restart"/>
            <w:vAlign w:val="center"/>
          </w:tcPr>
          <w:p w14:paraId="4057CC82">
            <w:pPr>
              <w:widowControl/>
              <w:snapToGrid w:val="0"/>
              <w:jc w:val="center"/>
              <w:rPr>
                <w:rFonts w:ascii="宋体" w:hAnsi="宋体" w:cs="宋体"/>
                <w:kern w:val="0"/>
                <w:szCs w:val="21"/>
              </w:rPr>
            </w:pPr>
            <w:r>
              <w:rPr>
                <w:rFonts w:hint="eastAsia" w:ascii="宋体" w:hAnsi="宋体" w:cs="宋体"/>
                <w:kern w:val="0"/>
                <w:szCs w:val="21"/>
              </w:rPr>
              <w:t>考勤管理</w:t>
            </w:r>
          </w:p>
        </w:tc>
        <w:tc>
          <w:tcPr>
            <w:tcW w:w="1082" w:type="pct"/>
            <w:vAlign w:val="center"/>
          </w:tcPr>
          <w:p w14:paraId="1574A5AD">
            <w:pPr>
              <w:widowControl/>
              <w:snapToGrid w:val="0"/>
              <w:jc w:val="left"/>
              <w:rPr>
                <w:rFonts w:ascii="宋体" w:hAnsi="宋体" w:cs="宋体"/>
                <w:kern w:val="0"/>
                <w:szCs w:val="21"/>
              </w:rPr>
            </w:pPr>
            <w:r>
              <w:rPr>
                <w:rFonts w:hint="eastAsia" w:ascii="宋体" w:hAnsi="宋体" w:cs="宋体"/>
                <w:kern w:val="0"/>
                <w:szCs w:val="21"/>
              </w:rPr>
              <w:t>考勤日历</w:t>
            </w:r>
          </w:p>
        </w:tc>
        <w:tc>
          <w:tcPr>
            <w:tcW w:w="3440" w:type="pct"/>
            <w:vAlign w:val="center"/>
          </w:tcPr>
          <w:p w14:paraId="5EEF3A8A">
            <w:pPr>
              <w:widowControl/>
              <w:snapToGrid w:val="0"/>
              <w:jc w:val="left"/>
              <w:rPr>
                <w:rFonts w:ascii="宋体" w:hAnsi="宋体" w:cs="宋体"/>
                <w:kern w:val="0"/>
                <w:szCs w:val="21"/>
              </w:rPr>
            </w:pPr>
            <w:r>
              <w:rPr>
                <w:rFonts w:hint="eastAsia" w:ascii="宋体" w:hAnsi="宋体" w:cs="宋体"/>
                <w:kern w:val="0"/>
                <w:szCs w:val="21"/>
              </w:rPr>
              <w:t>以月日历的形式展现学员自己整个月份的考勤情况，支持手机端进行考勤，支持日班/值班/值休。</w:t>
            </w:r>
          </w:p>
        </w:tc>
      </w:tr>
      <w:tr w14:paraId="0A2C5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continue"/>
            <w:vAlign w:val="center"/>
          </w:tcPr>
          <w:p w14:paraId="1BB1A915">
            <w:pPr>
              <w:widowControl/>
              <w:snapToGrid w:val="0"/>
              <w:jc w:val="center"/>
              <w:rPr>
                <w:rFonts w:ascii="宋体" w:hAnsi="宋体" w:cs="宋体"/>
                <w:kern w:val="0"/>
                <w:szCs w:val="21"/>
              </w:rPr>
            </w:pPr>
          </w:p>
        </w:tc>
        <w:tc>
          <w:tcPr>
            <w:tcW w:w="1082" w:type="pct"/>
            <w:vAlign w:val="center"/>
          </w:tcPr>
          <w:p w14:paraId="069A0849">
            <w:pPr>
              <w:widowControl/>
              <w:snapToGrid w:val="0"/>
              <w:jc w:val="left"/>
              <w:rPr>
                <w:rFonts w:ascii="宋体" w:hAnsi="宋体" w:cs="宋体"/>
                <w:kern w:val="0"/>
                <w:szCs w:val="21"/>
              </w:rPr>
            </w:pPr>
            <w:r>
              <w:rPr>
                <w:rFonts w:hint="eastAsia" w:ascii="宋体" w:hAnsi="宋体" w:cs="宋体"/>
                <w:kern w:val="0"/>
                <w:szCs w:val="21"/>
              </w:rPr>
              <w:t>考勤周历</w:t>
            </w:r>
          </w:p>
        </w:tc>
        <w:tc>
          <w:tcPr>
            <w:tcW w:w="3440" w:type="pct"/>
            <w:vAlign w:val="center"/>
          </w:tcPr>
          <w:p w14:paraId="1FE1FC82">
            <w:pPr>
              <w:widowControl/>
              <w:snapToGrid w:val="0"/>
              <w:jc w:val="left"/>
              <w:rPr>
                <w:rFonts w:ascii="宋体" w:hAnsi="宋体" w:cs="宋体"/>
                <w:kern w:val="0"/>
                <w:szCs w:val="21"/>
              </w:rPr>
            </w:pPr>
            <w:r>
              <w:rPr>
                <w:rFonts w:hint="eastAsia" w:ascii="宋体" w:hAnsi="宋体" w:cs="宋体"/>
                <w:kern w:val="0"/>
                <w:szCs w:val="21"/>
              </w:rPr>
              <w:t>显示一周学员自己的排班及实际考勤情况，方便学员本周补勤，并支持控制每周补勤的次数</w:t>
            </w:r>
          </w:p>
        </w:tc>
      </w:tr>
      <w:tr w14:paraId="42339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continue"/>
            <w:vAlign w:val="center"/>
          </w:tcPr>
          <w:p w14:paraId="43D56DAB">
            <w:pPr>
              <w:widowControl/>
              <w:snapToGrid w:val="0"/>
              <w:jc w:val="center"/>
              <w:rPr>
                <w:rFonts w:ascii="宋体" w:hAnsi="宋体" w:cs="宋体"/>
                <w:kern w:val="0"/>
                <w:szCs w:val="21"/>
              </w:rPr>
            </w:pPr>
          </w:p>
        </w:tc>
        <w:tc>
          <w:tcPr>
            <w:tcW w:w="1082" w:type="pct"/>
            <w:vAlign w:val="center"/>
          </w:tcPr>
          <w:p w14:paraId="12DE02BC">
            <w:pPr>
              <w:widowControl/>
              <w:snapToGrid w:val="0"/>
              <w:jc w:val="left"/>
              <w:rPr>
                <w:rFonts w:ascii="宋体" w:hAnsi="宋体" w:cs="宋体"/>
                <w:kern w:val="0"/>
                <w:szCs w:val="21"/>
              </w:rPr>
            </w:pPr>
            <w:r>
              <w:rPr>
                <w:rFonts w:hint="eastAsia" w:ascii="宋体" w:hAnsi="宋体" w:cs="宋体"/>
                <w:kern w:val="0"/>
                <w:szCs w:val="21"/>
              </w:rPr>
              <w:t>考勤排班</w:t>
            </w:r>
          </w:p>
        </w:tc>
        <w:tc>
          <w:tcPr>
            <w:tcW w:w="3440" w:type="pct"/>
            <w:vAlign w:val="center"/>
          </w:tcPr>
          <w:p w14:paraId="31B4F513">
            <w:pPr>
              <w:widowControl/>
              <w:snapToGrid w:val="0"/>
              <w:jc w:val="left"/>
              <w:rPr>
                <w:rFonts w:ascii="宋体" w:hAnsi="宋体" w:cs="宋体"/>
                <w:kern w:val="0"/>
                <w:sz w:val="22"/>
                <w:szCs w:val="22"/>
              </w:rPr>
            </w:pPr>
            <w:r>
              <w:rPr>
                <w:rFonts w:hint="eastAsia" w:ascii="宋体" w:hAnsi="宋体" w:cs="宋体"/>
                <w:kern w:val="0"/>
                <w:szCs w:val="21"/>
              </w:rPr>
              <w:t>支持科室秘书按月排班、按人排班。</w:t>
            </w:r>
          </w:p>
        </w:tc>
      </w:tr>
      <w:tr w14:paraId="571B9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continue"/>
            <w:vAlign w:val="center"/>
          </w:tcPr>
          <w:p w14:paraId="42DE1D34">
            <w:pPr>
              <w:widowControl/>
              <w:snapToGrid w:val="0"/>
              <w:jc w:val="center"/>
              <w:rPr>
                <w:rFonts w:ascii="宋体" w:hAnsi="宋体" w:cs="宋体"/>
                <w:kern w:val="0"/>
                <w:szCs w:val="21"/>
              </w:rPr>
            </w:pPr>
          </w:p>
        </w:tc>
        <w:tc>
          <w:tcPr>
            <w:tcW w:w="1082" w:type="pct"/>
            <w:vAlign w:val="center"/>
          </w:tcPr>
          <w:p w14:paraId="01C87C07">
            <w:pPr>
              <w:widowControl/>
              <w:snapToGrid w:val="0"/>
              <w:jc w:val="left"/>
              <w:rPr>
                <w:rFonts w:ascii="宋体" w:hAnsi="宋体" w:cs="宋体"/>
                <w:kern w:val="0"/>
                <w:szCs w:val="21"/>
              </w:rPr>
            </w:pPr>
            <w:r>
              <w:rPr>
                <w:rFonts w:hint="eastAsia" w:ascii="宋体" w:hAnsi="宋体" w:cs="宋体"/>
                <w:kern w:val="0"/>
                <w:szCs w:val="21"/>
              </w:rPr>
              <w:t>本周考勤</w:t>
            </w:r>
          </w:p>
        </w:tc>
        <w:tc>
          <w:tcPr>
            <w:tcW w:w="3440" w:type="pct"/>
            <w:vAlign w:val="center"/>
          </w:tcPr>
          <w:p w14:paraId="1EF2ADFC">
            <w:pPr>
              <w:widowControl/>
              <w:snapToGrid w:val="0"/>
              <w:jc w:val="left"/>
              <w:rPr>
                <w:rFonts w:ascii="宋体" w:hAnsi="宋体" w:cs="宋体"/>
                <w:kern w:val="0"/>
                <w:sz w:val="22"/>
                <w:szCs w:val="22"/>
              </w:rPr>
            </w:pPr>
            <w:r>
              <w:rPr>
                <w:rFonts w:hint="eastAsia" w:ascii="宋体" w:hAnsi="宋体" w:cs="宋体"/>
                <w:kern w:val="0"/>
                <w:szCs w:val="21"/>
              </w:rPr>
              <w:t>可按周展示科室学员的考勤情况，除去正常上班学员外有哪些人是休息中/请假中/缺勤未到。</w:t>
            </w:r>
          </w:p>
        </w:tc>
      </w:tr>
      <w:tr w14:paraId="15C86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continue"/>
            <w:vAlign w:val="center"/>
          </w:tcPr>
          <w:p w14:paraId="641A7895">
            <w:pPr>
              <w:widowControl/>
              <w:snapToGrid w:val="0"/>
              <w:jc w:val="center"/>
              <w:rPr>
                <w:rFonts w:ascii="宋体" w:hAnsi="宋体" w:cs="宋体"/>
                <w:kern w:val="0"/>
                <w:szCs w:val="21"/>
              </w:rPr>
            </w:pPr>
          </w:p>
        </w:tc>
        <w:tc>
          <w:tcPr>
            <w:tcW w:w="1082" w:type="pct"/>
            <w:vMerge w:val="restart"/>
            <w:vAlign w:val="center"/>
          </w:tcPr>
          <w:p w14:paraId="0DE4B6C1">
            <w:pPr>
              <w:widowControl/>
              <w:snapToGrid w:val="0"/>
              <w:jc w:val="left"/>
              <w:rPr>
                <w:rFonts w:ascii="宋体" w:hAnsi="宋体" w:cs="宋体"/>
                <w:kern w:val="0"/>
                <w:szCs w:val="21"/>
              </w:rPr>
            </w:pPr>
            <w:r>
              <w:rPr>
                <w:rFonts w:hint="eastAsia" w:ascii="宋体" w:hAnsi="宋体" w:cs="宋体"/>
                <w:kern w:val="0"/>
                <w:szCs w:val="21"/>
              </w:rPr>
              <w:t>考勤打卡</w:t>
            </w:r>
          </w:p>
        </w:tc>
        <w:tc>
          <w:tcPr>
            <w:tcW w:w="3440" w:type="pct"/>
            <w:vAlign w:val="center"/>
          </w:tcPr>
          <w:p w14:paraId="5EFC493F">
            <w:pPr>
              <w:widowControl/>
              <w:snapToGrid w:val="0"/>
              <w:jc w:val="left"/>
              <w:rPr>
                <w:rFonts w:ascii="宋体" w:hAnsi="宋体" w:cs="宋体"/>
                <w:kern w:val="0"/>
                <w:szCs w:val="21"/>
              </w:rPr>
            </w:pPr>
            <w:r>
              <w:rPr>
                <w:rFonts w:hint="eastAsia" w:ascii="宋体" w:hAnsi="宋体" w:cs="宋体"/>
                <w:kern w:val="0"/>
                <w:szCs w:val="21"/>
              </w:rPr>
              <w:t>GPS定位：学员在上报考勤时静默上送考勤的位置，并与管理后台设置的GPS围栏进行校验，判断是否在围栏范围内（即是否在医院范围内考勤）</w:t>
            </w:r>
          </w:p>
        </w:tc>
      </w:tr>
      <w:tr w14:paraId="7886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continue"/>
            <w:vAlign w:val="center"/>
          </w:tcPr>
          <w:p w14:paraId="2BA25605">
            <w:pPr>
              <w:widowControl/>
              <w:snapToGrid w:val="0"/>
              <w:jc w:val="center"/>
              <w:rPr>
                <w:rFonts w:ascii="宋体" w:hAnsi="宋体" w:cs="宋体"/>
                <w:kern w:val="0"/>
                <w:szCs w:val="21"/>
              </w:rPr>
            </w:pPr>
          </w:p>
        </w:tc>
        <w:tc>
          <w:tcPr>
            <w:tcW w:w="1082" w:type="pct"/>
            <w:vMerge w:val="continue"/>
            <w:vAlign w:val="center"/>
          </w:tcPr>
          <w:p w14:paraId="2F358A93">
            <w:pPr>
              <w:widowControl/>
              <w:snapToGrid w:val="0"/>
              <w:jc w:val="left"/>
              <w:rPr>
                <w:rFonts w:ascii="宋体" w:hAnsi="宋体" w:cs="宋体"/>
                <w:kern w:val="0"/>
                <w:szCs w:val="21"/>
              </w:rPr>
            </w:pPr>
          </w:p>
        </w:tc>
        <w:tc>
          <w:tcPr>
            <w:tcW w:w="3440" w:type="pct"/>
            <w:vAlign w:val="center"/>
          </w:tcPr>
          <w:p w14:paraId="2A62AF29">
            <w:pPr>
              <w:widowControl/>
              <w:snapToGrid w:val="0"/>
              <w:jc w:val="left"/>
              <w:rPr>
                <w:rFonts w:ascii="宋体" w:hAnsi="宋体" w:cs="宋体"/>
                <w:kern w:val="0"/>
                <w:szCs w:val="21"/>
              </w:rPr>
            </w:pPr>
            <w:r>
              <w:rPr>
                <w:rFonts w:hint="eastAsia" w:ascii="宋体" w:hAnsi="宋体" w:cs="宋体"/>
                <w:kern w:val="0"/>
                <w:szCs w:val="21"/>
              </w:rPr>
              <w:t>考勤上报时自动根据学员今日排班计划提示直接考勤。</w:t>
            </w:r>
          </w:p>
        </w:tc>
      </w:tr>
      <w:tr w14:paraId="18A81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continue"/>
            <w:vAlign w:val="center"/>
          </w:tcPr>
          <w:p w14:paraId="78FCFF11">
            <w:pPr>
              <w:widowControl/>
              <w:snapToGrid w:val="0"/>
              <w:jc w:val="center"/>
              <w:rPr>
                <w:rFonts w:ascii="宋体" w:hAnsi="宋体" w:cs="宋体"/>
                <w:kern w:val="0"/>
                <w:szCs w:val="21"/>
              </w:rPr>
            </w:pPr>
          </w:p>
        </w:tc>
        <w:tc>
          <w:tcPr>
            <w:tcW w:w="1082" w:type="pct"/>
            <w:vAlign w:val="center"/>
          </w:tcPr>
          <w:p w14:paraId="46C427E7">
            <w:pPr>
              <w:widowControl/>
              <w:snapToGrid w:val="0"/>
              <w:jc w:val="left"/>
              <w:rPr>
                <w:rFonts w:ascii="宋体" w:hAnsi="宋体" w:cs="宋体"/>
                <w:kern w:val="0"/>
                <w:szCs w:val="21"/>
              </w:rPr>
            </w:pPr>
            <w:r>
              <w:rPr>
                <w:rFonts w:hint="eastAsia" w:ascii="宋体" w:hAnsi="宋体" w:cs="宋体"/>
                <w:kern w:val="0"/>
                <w:szCs w:val="21"/>
              </w:rPr>
              <w:t>查看考勤</w:t>
            </w:r>
          </w:p>
        </w:tc>
        <w:tc>
          <w:tcPr>
            <w:tcW w:w="3440" w:type="pct"/>
            <w:vAlign w:val="center"/>
          </w:tcPr>
          <w:p w14:paraId="3DD0E894">
            <w:pPr>
              <w:widowControl/>
              <w:snapToGrid w:val="0"/>
              <w:jc w:val="left"/>
              <w:rPr>
                <w:rFonts w:ascii="宋体" w:hAnsi="宋体" w:cs="宋体"/>
                <w:kern w:val="0"/>
                <w:szCs w:val="21"/>
              </w:rPr>
            </w:pPr>
            <w:r>
              <w:rPr>
                <w:rFonts w:hint="eastAsia" w:ascii="宋体" w:hAnsi="宋体" w:cs="宋体"/>
                <w:kern w:val="0"/>
                <w:szCs w:val="21"/>
              </w:rPr>
              <w:t>支持教员查看所在科室所有学员考勤情况。支持带教/科秘提醒学员打卡。</w:t>
            </w:r>
          </w:p>
        </w:tc>
      </w:tr>
      <w:tr w14:paraId="1AFD0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continue"/>
            <w:vAlign w:val="center"/>
          </w:tcPr>
          <w:p w14:paraId="30742445">
            <w:pPr>
              <w:widowControl/>
              <w:snapToGrid w:val="0"/>
              <w:jc w:val="center"/>
              <w:rPr>
                <w:rFonts w:ascii="宋体" w:hAnsi="宋体" w:cs="宋体"/>
                <w:kern w:val="0"/>
                <w:szCs w:val="21"/>
              </w:rPr>
            </w:pPr>
          </w:p>
        </w:tc>
        <w:tc>
          <w:tcPr>
            <w:tcW w:w="1082" w:type="pct"/>
            <w:vAlign w:val="center"/>
          </w:tcPr>
          <w:p w14:paraId="57E48880">
            <w:pPr>
              <w:widowControl/>
              <w:snapToGrid w:val="0"/>
              <w:jc w:val="left"/>
              <w:rPr>
                <w:rFonts w:ascii="宋体" w:hAnsi="宋体" w:cs="宋体"/>
                <w:kern w:val="0"/>
                <w:szCs w:val="21"/>
              </w:rPr>
            </w:pPr>
            <w:r>
              <w:rPr>
                <w:rFonts w:hint="eastAsia" w:ascii="宋体" w:hAnsi="宋体" w:cs="宋体"/>
                <w:kern w:val="0"/>
                <w:szCs w:val="21"/>
              </w:rPr>
              <w:t>标记缺勤</w:t>
            </w:r>
          </w:p>
        </w:tc>
        <w:tc>
          <w:tcPr>
            <w:tcW w:w="3440" w:type="pct"/>
            <w:vAlign w:val="center"/>
          </w:tcPr>
          <w:p w14:paraId="2CF466EC">
            <w:pPr>
              <w:widowControl/>
              <w:snapToGrid w:val="0"/>
              <w:jc w:val="left"/>
              <w:rPr>
                <w:rFonts w:ascii="宋体" w:hAnsi="宋体" w:cs="宋体"/>
                <w:kern w:val="0"/>
                <w:szCs w:val="21"/>
              </w:rPr>
            </w:pPr>
            <w:r>
              <w:rPr>
                <w:rFonts w:hint="eastAsia" w:ascii="宋体" w:hAnsi="宋体" w:cs="宋体"/>
                <w:kern w:val="0"/>
                <w:szCs w:val="21"/>
              </w:rPr>
              <w:t>支持通过手机端直接将学员标记为缺勤状态。</w:t>
            </w:r>
          </w:p>
        </w:tc>
      </w:tr>
      <w:tr w14:paraId="2176F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continue"/>
            <w:vAlign w:val="center"/>
          </w:tcPr>
          <w:p w14:paraId="1AA7EBA1">
            <w:pPr>
              <w:widowControl/>
              <w:snapToGrid w:val="0"/>
              <w:jc w:val="center"/>
              <w:rPr>
                <w:rFonts w:ascii="宋体" w:hAnsi="宋体" w:cs="宋体"/>
                <w:kern w:val="0"/>
                <w:szCs w:val="21"/>
              </w:rPr>
            </w:pPr>
          </w:p>
        </w:tc>
        <w:tc>
          <w:tcPr>
            <w:tcW w:w="1082" w:type="pct"/>
            <w:vAlign w:val="center"/>
          </w:tcPr>
          <w:p w14:paraId="24F767FE">
            <w:pPr>
              <w:widowControl/>
              <w:snapToGrid w:val="0"/>
              <w:jc w:val="left"/>
              <w:rPr>
                <w:rFonts w:ascii="宋体" w:hAnsi="宋体" w:cs="宋体"/>
                <w:kern w:val="0"/>
                <w:szCs w:val="21"/>
              </w:rPr>
            </w:pPr>
            <w:r>
              <w:rPr>
                <w:rFonts w:hint="eastAsia" w:ascii="宋体" w:hAnsi="宋体" w:cs="宋体"/>
                <w:kern w:val="0"/>
                <w:szCs w:val="21"/>
              </w:rPr>
              <w:t>考勤统计</w:t>
            </w:r>
          </w:p>
        </w:tc>
        <w:tc>
          <w:tcPr>
            <w:tcW w:w="3440" w:type="pct"/>
            <w:vAlign w:val="center"/>
          </w:tcPr>
          <w:p w14:paraId="2963DACF">
            <w:pPr>
              <w:widowControl/>
              <w:snapToGrid w:val="0"/>
              <w:jc w:val="left"/>
              <w:rPr>
                <w:rFonts w:ascii="宋体" w:hAnsi="宋体" w:cs="宋体"/>
                <w:kern w:val="0"/>
                <w:szCs w:val="21"/>
              </w:rPr>
            </w:pPr>
            <w:r>
              <w:rPr>
                <w:rFonts w:hint="eastAsia" w:ascii="宋体" w:hAnsi="宋体" w:cs="宋体"/>
                <w:kern w:val="0"/>
                <w:szCs w:val="21"/>
              </w:rPr>
              <w:t>直接在手机上显示学员月度考勤情况统计，统计某个月份整月的出勤/值班/休息/请假情况。</w:t>
            </w:r>
          </w:p>
        </w:tc>
      </w:tr>
      <w:tr w14:paraId="450EF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restart"/>
            <w:vAlign w:val="center"/>
          </w:tcPr>
          <w:p w14:paraId="7F678C95">
            <w:pPr>
              <w:widowControl/>
              <w:snapToGrid w:val="0"/>
              <w:jc w:val="center"/>
              <w:rPr>
                <w:rFonts w:ascii="宋体" w:hAnsi="宋体" w:cs="宋体"/>
                <w:kern w:val="0"/>
                <w:szCs w:val="21"/>
              </w:rPr>
            </w:pPr>
            <w:r>
              <w:rPr>
                <w:rFonts w:hint="eastAsia" w:ascii="宋体" w:hAnsi="宋体" w:cs="宋体"/>
                <w:kern w:val="0"/>
                <w:szCs w:val="21"/>
              </w:rPr>
              <w:t>住宿管理</w:t>
            </w:r>
          </w:p>
        </w:tc>
        <w:tc>
          <w:tcPr>
            <w:tcW w:w="1082" w:type="pct"/>
            <w:vAlign w:val="center"/>
          </w:tcPr>
          <w:p w14:paraId="6A4CDABC">
            <w:pPr>
              <w:widowControl/>
              <w:snapToGrid w:val="0"/>
              <w:jc w:val="left"/>
              <w:rPr>
                <w:rFonts w:ascii="宋体" w:hAnsi="宋体" w:cs="宋体"/>
                <w:kern w:val="0"/>
                <w:szCs w:val="21"/>
              </w:rPr>
            </w:pPr>
            <w:r>
              <w:rPr>
                <w:rFonts w:hint="eastAsia" w:ascii="宋体" w:hAnsi="宋体" w:cs="宋体"/>
                <w:kern w:val="0"/>
                <w:szCs w:val="21"/>
              </w:rPr>
              <w:t>我的住宿</w:t>
            </w:r>
          </w:p>
        </w:tc>
        <w:tc>
          <w:tcPr>
            <w:tcW w:w="3440" w:type="pct"/>
            <w:vAlign w:val="center"/>
          </w:tcPr>
          <w:p w14:paraId="4B93C32D">
            <w:pPr>
              <w:widowControl/>
              <w:snapToGrid w:val="0"/>
              <w:jc w:val="left"/>
              <w:rPr>
                <w:rFonts w:ascii="宋体" w:hAnsi="宋体" w:cs="宋体"/>
                <w:kern w:val="0"/>
              </w:rPr>
            </w:pPr>
            <w:r>
              <w:rPr>
                <w:rFonts w:hint="eastAsia" w:ascii="宋体" w:hAnsi="宋体" w:cs="宋体"/>
                <w:kern w:val="0"/>
                <w:szCs w:val="21"/>
              </w:rPr>
              <w:t>支持学员办理宿舍入住/迁出申请以及宿舍信息维护（基础信息、宿管信息、水电信息、设备信息）。</w:t>
            </w:r>
          </w:p>
        </w:tc>
      </w:tr>
      <w:tr w14:paraId="01841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continue"/>
            <w:vAlign w:val="center"/>
          </w:tcPr>
          <w:p w14:paraId="43D3C5C1">
            <w:pPr>
              <w:widowControl/>
              <w:snapToGrid w:val="0"/>
              <w:jc w:val="center"/>
              <w:rPr>
                <w:rFonts w:ascii="宋体" w:hAnsi="宋体" w:cs="宋体"/>
                <w:kern w:val="0"/>
                <w:szCs w:val="21"/>
              </w:rPr>
            </w:pPr>
          </w:p>
        </w:tc>
        <w:tc>
          <w:tcPr>
            <w:tcW w:w="1082" w:type="pct"/>
            <w:vAlign w:val="center"/>
          </w:tcPr>
          <w:p w14:paraId="4703A393">
            <w:pPr>
              <w:widowControl/>
              <w:snapToGrid w:val="0"/>
              <w:jc w:val="left"/>
              <w:rPr>
                <w:rFonts w:ascii="宋体" w:hAnsi="宋体" w:cs="宋体"/>
                <w:kern w:val="0"/>
                <w:szCs w:val="21"/>
              </w:rPr>
            </w:pPr>
            <w:r>
              <w:rPr>
                <w:rFonts w:hint="eastAsia" w:ascii="宋体" w:hAnsi="宋体" w:cs="宋体"/>
                <w:kern w:val="0"/>
                <w:szCs w:val="21"/>
              </w:rPr>
              <w:t>住宿管理</w:t>
            </w:r>
          </w:p>
        </w:tc>
        <w:tc>
          <w:tcPr>
            <w:tcW w:w="3440" w:type="pct"/>
            <w:vAlign w:val="center"/>
          </w:tcPr>
          <w:p w14:paraId="5F4685C8">
            <w:pPr>
              <w:widowControl/>
              <w:snapToGrid w:val="0"/>
              <w:jc w:val="left"/>
              <w:rPr>
                <w:rFonts w:ascii="宋体" w:hAnsi="宋体" w:cs="宋体"/>
                <w:kern w:val="0"/>
              </w:rPr>
            </w:pPr>
            <w:r>
              <w:rPr>
                <w:rFonts w:hint="eastAsia" w:ascii="宋体" w:hAnsi="宋体" w:cs="宋体"/>
                <w:kern w:val="0"/>
                <w:szCs w:val="21"/>
              </w:rPr>
              <w:t>支持管理员对宿舍楼、宿舍以及宿舍信息进行增删改查操作；支持对宿舍申请信息进行审核操作</w:t>
            </w:r>
          </w:p>
        </w:tc>
      </w:tr>
      <w:tr w14:paraId="0BE3F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restart"/>
            <w:vAlign w:val="center"/>
          </w:tcPr>
          <w:p w14:paraId="64B4F429">
            <w:pPr>
              <w:widowControl/>
              <w:snapToGrid w:val="0"/>
              <w:jc w:val="center"/>
              <w:rPr>
                <w:rFonts w:ascii="宋体" w:hAnsi="宋体" w:cs="宋体"/>
                <w:kern w:val="0"/>
                <w:szCs w:val="21"/>
              </w:rPr>
            </w:pPr>
            <w:r>
              <w:rPr>
                <w:rFonts w:hint="eastAsia" w:ascii="宋体" w:hAnsi="宋体" w:cs="宋体"/>
                <w:kern w:val="0"/>
                <w:szCs w:val="21"/>
              </w:rPr>
              <w:t>请假销假</w:t>
            </w:r>
          </w:p>
        </w:tc>
        <w:tc>
          <w:tcPr>
            <w:tcW w:w="1082" w:type="pct"/>
            <w:vMerge w:val="restart"/>
            <w:vAlign w:val="center"/>
          </w:tcPr>
          <w:p w14:paraId="201272E9">
            <w:pPr>
              <w:widowControl/>
              <w:snapToGrid w:val="0"/>
              <w:jc w:val="left"/>
              <w:rPr>
                <w:rFonts w:ascii="宋体" w:hAnsi="宋体" w:cs="宋体"/>
                <w:kern w:val="0"/>
                <w:szCs w:val="21"/>
              </w:rPr>
            </w:pPr>
            <w:r>
              <w:rPr>
                <w:rFonts w:hint="eastAsia" w:ascii="宋体" w:hAnsi="宋体" w:cs="宋体"/>
                <w:kern w:val="0"/>
                <w:szCs w:val="21"/>
              </w:rPr>
              <w:t>学员请假销假</w:t>
            </w:r>
          </w:p>
        </w:tc>
        <w:tc>
          <w:tcPr>
            <w:tcW w:w="3440" w:type="pct"/>
            <w:vAlign w:val="center"/>
          </w:tcPr>
          <w:p w14:paraId="190E5A98">
            <w:pPr>
              <w:widowControl/>
              <w:snapToGrid w:val="0"/>
              <w:jc w:val="left"/>
              <w:rPr>
                <w:rFonts w:ascii="宋体" w:hAnsi="宋体" w:cs="宋体"/>
                <w:kern w:val="0"/>
              </w:rPr>
            </w:pPr>
            <w:r>
              <w:rPr>
                <w:rFonts w:hint="eastAsia" w:ascii="宋体" w:hAnsi="宋体" w:cs="宋体"/>
                <w:kern w:val="0"/>
              </w:rPr>
              <w:t>支持学员请假、销假，</w:t>
            </w:r>
            <w:r>
              <w:rPr>
                <w:rFonts w:ascii="宋体" w:hAnsi="宋体" w:cs="宋体"/>
                <w:color w:val="000000"/>
                <w:kern w:val="0"/>
                <w:lang w:bidi="ar"/>
              </w:rPr>
              <w:t>支持学员请假完毕后的销假申请功能，支持扫码销假确认</w:t>
            </w:r>
            <w:r>
              <w:rPr>
                <w:rFonts w:hint="eastAsia" w:ascii="宋体" w:hAnsi="宋体" w:cs="宋体"/>
                <w:color w:val="000000"/>
                <w:kern w:val="0"/>
                <w:lang w:bidi="ar"/>
              </w:rPr>
              <w:t>。</w:t>
            </w:r>
          </w:p>
        </w:tc>
      </w:tr>
      <w:tr w14:paraId="40B4F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continue"/>
            <w:vAlign w:val="center"/>
          </w:tcPr>
          <w:p w14:paraId="1535667C">
            <w:pPr>
              <w:widowControl/>
              <w:snapToGrid w:val="0"/>
              <w:jc w:val="center"/>
              <w:rPr>
                <w:rFonts w:ascii="宋体" w:hAnsi="宋体" w:cs="宋体"/>
                <w:kern w:val="0"/>
                <w:szCs w:val="21"/>
              </w:rPr>
            </w:pPr>
          </w:p>
        </w:tc>
        <w:tc>
          <w:tcPr>
            <w:tcW w:w="1082" w:type="pct"/>
            <w:vMerge w:val="continue"/>
            <w:vAlign w:val="center"/>
          </w:tcPr>
          <w:p w14:paraId="0C1B0D0F">
            <w:pPr>
              <w:widowControl/>
              <w:snapToGrid w:val="0"/>
              <w:jc w:val="left"/>
              <w:rPr>
                <w:rFonts w:ascii="宋体" w:hAnsi="宋体" w:cs="宋体"/>
                <w:kern w:val="0"/>
                <w:szCs w:val="21"/>
              </w:rPr>
            </w:pPr>
          </w:p>
        </w:tc>
        <w:tc>
          <w:tcPr>
            <w:tcW w:w="3440" w:type="pct"/>
            <w:vAlign w:val="center"/>
          </w:tcPr>
          <w:p w14:paraId="04B26420">
            <w:pPr>
              <w:widowControl/>
              <w:snapToGrid w:val="0"/>
              <w:jc w:val="left"/>
              <w:rPr>
                <w:rFonts w:ascii="宋体" w:hAnsi="宋体" w:cs="宋体"/>
                <w:kern w:val="0"/>
              </w:rPr>
            </w:pPr>
            <w:r>
              <w:t>支持请假和销假的短信提醒，在请假结束时自动提醒销假</w:t>
            </w:r>
            <w:r>
              <w:rPr>
                <w:rFonts w:hint="eastAsia"/>
              </w:rPr>
              <w:t>。</w:t>
            </w:r>
          </w:p>
        </w:tc>
      </w:tr>
      <w:tr w14:paraId="266FA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restart"/>
            <w:vAlign w:val="center"/>
          </w:tcPr>
          <w:p w14:paraId="3829AD2F">
            <w:pPr>
              <w:widowControl/>
              <w:snapToGrid w:val="0"/>
              <w:jc w:val="center"/>
              <w:rPr>
                <w:rFonts w:ascii="宋体" w:hAnsi="宋体" w:cs="宋体"/>
                <w:kern w:val="0"/>
                <w:szCs w:val="21"/>
              </w:rPr>
            </w:pPr>
            <w:r>
              <w:rPr>
                <w:rFonts w:hint="eastAsia" w:ascii="宋体" w:hAnsi="宋体" w:cs="宋体"/>
                <w:kern w:val="0"/>
                <w:szCs w:val="21"/>
              </w:rPr>
              <w:t>登记手册</w:t>
            </w:r>
          </w:p>
        </w:tc>
        <w:tc>
          <w:tcPr>
            <w:tcW w:w="1082" w:type="pct"/>
            <w:vAlign w:val="center"/>
          </w:tcPr>
          <w:p w14:paraId="09050070">
            <w:pPr>
              <w:widowControl/>
              <w:snapToGrid w:val="0"/>
              <w:jc w:val="left"/>
              <w:rPr>
                <w:rFonts w:ascii="宋体" w:hAnsi="宋体" w:cs="宋体"/>
                <w:kern w:val="0"/>
                <w:szCs w:val="21"/>
              </w:rPr>
            </w:pPr>
            <w:r>
              <w:rPr>
                <w:rFonts w:hint="eastAsia" w:ascii="宋体" w:hAnsi="宋体" w:cs="宋体"/>
                <w:kern w:val="0"/>
                <w:szCs w:val="21"/>
              </w:rPr>
              <w:t>手册类别</w:t>
            </w:r>
          </w:p>
        </w:tc>
        <w:tc>
          <w:tcPr>
            <w:tcW w:w="3440" w:type="pct"/>
            <w:vAlign w:val="center"/>
          </w:tcPr>
          <w:p w14:paraId="202D2777">
            <w:pPr>
              <w:widowControl/>
              <w:snapToGrid w:val="0"/>
              <w:jc w:val="left"/>
            </w:pPr>
            <w:r>
              <w:rPr>
                <w:rFonts w:hint="eastAsia" w:ascii="宋体" w:hAnsi="宋体" w:cs="宋体"/>
                <w:kern w:val="0"/>
                <w:szCs w:val="21"/>
              </w:rPr>
              <w:t>支持记录电子轮转手册（登记手册），可登记病例病种、技能操作、手术及其他电子病例情况。</w:t>
            </w:r>
          </w:p>
        </w:tc>
      </w:tr>
      <w:tr w14:paraId="69AB1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continue"/>
            <w:vAlign w:val="center"/>
          </w:tcPr>
          <w:p w14:paraId="7EE3DAD4">
            <w:pPr>
              <w:widowControl/>
              <w:snapToGrid w:val="0"/>
              <w:jc w:val="center"/>
              <w:rPr>
                <w:rFonts w:ascii="宋体" w:hAnsi="宋体" w:cs="宋体"/>
                <w:kern w:val="0"/>
                <w:szCs w:val="21"/>
              </w:rPr>
            </w:pPr>
          </w:p>
        </w:tc>
        <w:tc>
          <w:tcPr>
            <w:tcW w:w="1082" w:type="pct"/>
            <w:vAlign w:val="center"/>
          </w:tcPr>
          <w:p w14:paraId="1CAC7B35">
            <w:pPr>
              <w:widowControl/>
              <w:snapToGrid w:val="0"/>
              <w:jc w:val="left"/>
              <w:rPr>
                <w:rFonts w:ascii="宋体" w:hAnsi="宋体" w:cs="宋体"/>
                <w:kern w:val="0"/>
                <w:szCs w:val="21"/>
              </w:rPr>
            </w:pPr>
            <w:r>
              <w:rPr>
                <w:rFonts w:hint="eastAsia" w:ascii="宋体" w:hAnsi="宋体" w:cs="宋体"/>
                <w:kern w:val="0"/>
                <w:szCs w:val="21"/>
              </w:rPr>
              <w:t>批量填写</w:t>
            </w:r>
          </w:p>
        </w:tc>
        <w:tc>
          <w:tcPr>
            <w:tcW w:w="3440" w:type="pct"/>
            <w:vAlign w:val="center"/>
          </w:tcPr>
          <w:p w14:paraId="7B44777F">
            <w:pPr>
              <w:widowControl/>
              <w:snapToGrid w:val="0"/>
              <w:jc w:val="left"/>
            </w:pPr>
            <w:r>
              <w:rPr>
                <w:rFonts w:hint="eastAsia"/>
              </w:rPr>
              <w:t>支持手机端批量填写登记手册。可同时填写病种、技能、手术记录，一次性批量提交多条。</w:t>
            </w:r>
          </w:p>
        </w:tc>
      </w:tr>
      <w:tr w14:paraId="21AB5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Align w:val="center"/>
          </w:tcPr>
          <w:p w14:paraId="148D5AB3">
            <w:pPr>
              <w:widowControl/>
              <w:snapToGrid w:val="0"/>
              <w:jc w:val="center"/>
              <w:rPr>
                <w:rFonts w:ascii="宋体" w:hAnsi="宋体" w:cs="宋体"/>
                <w:kern w:val="0"/>
                <w:szCs w:val="21"/>
              </w:rPr>
            </w:pPr>
            <w:r>
              <w:rPr>
                <w:rFonts w:hint="eastAsia" w:ascii="宋体" w:hAnsi="宋体" w:cs="宋体"/>
                <w:kern w:val="0"/>
                <w:szCs w:val="21"/>
              </w:rPr>
              <w:t>申请带教</w:t>
            </w:r>
          </w:p>
        </w:tc>
        <w:tc>
          <w:tcPr>
            <w:tcW w:w="1082" w:type="pct"/>
            <w:vAlign w:val="center"/>
          </w:tcPr>
          <w:p w14:paraId="2A578C6C">
            <w:pPr>
              <w:widowControl/>
              <w:snapToGrid w:val="0"/>
              <w:jc w:val="left"/>
              <w:rPr>
                <w:rFonts w:ascii="宋体" w:hAnsi="宋体" w:cs="宋体"/>
                <w:kern w:val="0"/>
                <w:szCs w:val="21"/>
              </w:rPr>
            </w:pPr>
            <w:r>
              <w:rPr>
                <w:rFonts w:hint="eastAsia" w:ascii="宋体" w:hAnsi="宋体" w:cs="宋体"/>
                <w:kern w:val="0"/>
                <w:szCs w:val="21"/>
              </w:rPr>
              <w:t>双带教</w:t>
            </w:r>
          </w:p>
        </w:tc>
        <w:tc>
          <w:tcPr>
            <w:tcW w:w="3440" w:type="pct"/>
            <w:vAlign w:val="center"/>
          </w:tcPr>
          <w:p w14:paraId="0B32B870">
            <w:pPr>
              <w:widowControl/>
              <w:snapToGrid w:val="0"/>
              <w:jc w:val="left"/>
            </w:pPr>
            <w:r>
              <w:rPr>
                <w:rFonts w:hint="eastAsia" w:ascii="宋体" w:hAnsi="宋体" w:cs="宋体"/>
                <w:kern w:val="0"/>
                <w:szCs w:val="21"/>
              </w:rPr>
              <w:t>学员可同时申请两个带教（第一选择带教和第二选择带教）第一选择带教会以最高优先级比配，其次是第二选择带教。</w:t>
            </w:r>
          </w:p>
        </w:tc>
      </w:tr>
      <w:tr w14:paraId="1B04C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restart"/>
            <w:vAlign w:val="center"/>
          </w:tcPr>
          <w:p w14:paraId="41DC5925">
            <w:pPr>
              <w:widowControl/>
              <w:snapToGrid w:val="0"/>
              <w:jc w:val="center"/>
              <w:rPr>
                <w:rFonts w:ascii="宋体" w:hAnsi="宋体" w:cs="宋体"/>
                <w:kern w:val="0"/>
                <w:szCs w:val="21"/>
              </w:rPr>
            </w:pPr>
            <w:r>
              <w:rPr>
                <w:rFonts w:hint="eastAsia" w:ascii="宋体" w:hAnsi="宋体" w:cs="宋体"/>
                <w:kern w:val="0"/>
                <w:szCs w:val="21"/>
              </w:rPr>
              <w:t>申请导师</w:t>
            </w:r>
          </w:p>
        </w:tc>
        <w:tc>
          <w:tcPr>
            <w:tcW w:w="1082" w:type="pct"/>
            <w:vAlign w:val="center"/>
          </w:tcPr>
          <w:p w14:paraId="51446582">
            <w:pPr>
              <w:widowControl/>
              <w:snapToGrid w:val="0"/>
              <w:jc w:val="left"/>
              <w:rPr>
                <w:rFonts w:ascii="宋体" w:hAnsi="宋体" w:cs="宋体"/>
                <w:kern w:val="0"/>
                <w:szCs w:val="21"/>
              </w:rPr>
            </w:pPr>
            <w:r>
              <w:rPr>
                <w:rFonts w:hint="eastAsia" w:ascii="宋体" w:hAnsi="宋体" w:cs="宋体"/>
                <w:kern w:val="0"/>
                <w:szCs w:val="21"/>
              </w:rPr>
              <w:t>双导师</w:t>
            </w:r>
          </w:p>
        </w:tc>
        <w:tc>
          <w:tcPr>
            <w:tcW w:w="3440" w:type="pct"/>
            <w:vAlign w:val="center"/>
          </w:tcPr>
          <w:p w14:paraId="7BED484C">
            <w:pPr>
              <w:widowControl/>
              <w:snapToGrid w:val="0"/>
              <w:jc w:val="left"/>
              <w:rPr>
                <w:rFonts w:ascii="宋体" w:hAnsi="宋体" w:cs="宋体"/>
                <w:kern w:val="0"/>
                <w:sz w:val="22"/>
                <w:szCs w:val="22"/>
              </w:rPr>
            </w:pPr>
            <w:r>
              <w:rPr>
                <w:rFonts w:hint="eastAsia" w:ascii="宋体" w:hAnsi="宋体" w:cs="宋体"/>
                <w:kern w:val="0"/>
                <w:szCs w:val="21"/>
              </w:rPr>
              <w:t>学员可同时申请两个责导，第一责导和第二责导，支持将第一责导以最高优先级通过审核，建立责导关系</w:t>
            </w:r>
          </w:p>
        </w:tc>
      </w:tr>
      <w:tr w14:paraId="4AB55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continue"/>
            <w:vAlign w:val="center"/>
          </w:tcPr>
          <w:p w14:paraId="2AF8EE96">
            <w:pPr>
              <w:widowControl/>
              <w:snapToGrid w:val="0"/>
              <w:jc w:val="center"/>
              <w:rPr>
                <w:rFonts w:ascii="宋体" w:hAnsi="宋体" w:cs="宋体"/>
                <w:kern w:val="0"/>
                <w:szCs w:val="21"/>
              </w:rPr>
            </w:pPr>
          </w:p>
        </w:tc>
        <w:tc>
          <w:tcPr>
            <w:tcW w:w="1082" w:type="pct"/>
            <w:vAlign w:val="center"/>
          </w:tcPr>
          <w:p w14:paraId="23528B41">
            <w:pPr>
              <w:widowControl/>
              <w:snapToGrid w:val="0"/>
              <w:jc w:val="left"/>
              <w:rPr>
                <w:rFonts w:ascii="宋体" w:hAnsi="宋体" w:cs="宋体"/>
                <w:kern w:val="0"/>
                <w:szCs w:val="21"/>
              </w:rPr>
            </w:pPr>
            <w:r>
              <w:rPr>
                <w:rFonts w:hint="eastAsia" w:ascii="宋体" w:hAnsi="宋体" w:cs="宋体"/>
                <w:kern w:val="0"/>
                <w:szCs w:val="21"/>
              </w:rPr>
              <w:t>师生互动</w:t>
            </w:r>
          </w:p>
        </w:tc>
        <w:tc>
          <w:tcPr>
            <w:tcW w:w="3440" w:type="pct"/>
            <w:vAlign w:val="center"/>
          </w:tcPr>
          <w:p w14:paraId="027F5BBC">
            <w:pPr>
              <w:widowControl/>
              <w:snapToGrid w:val="0"/>
              <w:jc w:val="left"/>
              <w:rPr>
                <w:rFonts w:ascii="宋体" w:hAnsi="宋体" w:cs="宋体"/>
                <w:kern w:val="0"/>
                <w:sz w:val="22"/>
                <w:szCs w:val="22"/>
              </w:rPr>
            </w:pPr>
            <w:r>
              <w:rPr>
                <w:rFonts w:hint="eastAsia" w:ascii="宋体" w:hAnsi="宋体" w:cs="宋体"/>
                <w:kern w:val="0"/>
                <w:szCs w:val="21"/>
              </w:rPr>
              <w:t>支持独立的师生互动模块，支持学生和指导导师定期互动并记录。支持老师对学员登记的指导记录进行评论和回复。支持导出为师生互动记录Word文档。</w:t>
            </w:r>
          </w:p>
        </w:tc>
      </w:tr>
      <w:tr w14:paraId="57C0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restart"/>
            <w:vAlign w:val="center"/>
          </w:tcPr>
          <w:p w14:paraId="135E4942">
            <w:pPr>
              <w:widowControl/>
              <w:snapToGrid w:val="0"/>
              <w:jc w:val="center"/>
              <w:rPr>
                <w:rFonts w:ascii="宋体" w:hAnsi="宋体" w:cs="宋体"/>
                <w:kern w:val="0"/>
                <w:szCs w:val="21"/>
              </w:rPr>
            </w:pPr>
            <w:r>
              <w:rPr>
                <w:rFonts w:hint="eastAsia" w:ascii="宋体" w:hAnsi="宋体" w:cs="宋体"/>
                <w:kern w:val="0"/>
                <w:szCs w:val="21"/>
              </w:rPr>
              <w:t>审批审核</w:t>
            </w:r>
          </w:p>
        </w:tc>
        <w:tc>
          <w:tcPr>
            <w:tcW w:w="1082" w:type="pct"/>
            <w:vAlign w:val="center"/>
          </w:tcPr>
          <w:p w14:paraId="197244E6">
            <w:pPr>
              <w:widowControl/>
              <w:snapToGrid w:val="0"/>
              <w:jc w:val="left"/>
              <w:rPr>
                <w:rFonts w:ascii="宋体" w:hAnsi="宋体" w:cs="宋体"/>
                <w:kern w:val="0"/>
                <w:szCs w:val="21"/>
              </w:rPr>
            </w:pPr>
            <w:r>
              <w:rPr>
                <w:rFonts w:hint="eastAsia" w:ascii="宋体" w:hAnsi="宋体" w:cs="宋体"/>
                <w:kern w:val="0"/>
                <w:szCs w:val="21"/>
              </w:rPr>
              <w:t>审批审核模块</w:t>
            </w:r>
          </w:p>
        </w:tc>
        <w:tc>
          <w:tcPr>
            <w:tcW w:w="3440" w:type="pct"/>
            <w:vAlign w:val="center"/>
          </w:tcPr>
          <w:p w14:paraId="3EA2DF61">
            <w:pPr>
              <w:widowControl/>
              <w:snapToGrid w:val="0"/>
              <w:jc w:val="left"/>
              <w:rPr>
                <w:rFonts w:ascii="宋体" w:hAnsi="宋体" w:cs="宋体"/>
                <w:kern w:val="0"/>
                <w:szCs w:val="21"/>
              </w:rPr>
            </w:pPr>
            <w:r>
              <w:rPr>
                <w:rFonts w:hint="eastAsia" w:ascii="宋体" w:hAnsi="宋体" w:cs="宋体"/>
                <w:kern w:val="0"/>
                <w:szCs w:val="21"/>
              </w:rPr>
              <w:t>手机端具备单独归类的审批审核模块，管理人员可以通过模块进行各类审批审核工作。</w:t>
            </w:r>
          </w:p>
        </w:tc>
      </w:tr>
      <w:tr w14:paraId="1E2DF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continue"/>
            <w:vAlign w:val="center"/>
          </w:tcPr>
          <w:p w14:paraId="6A1E0CAA">
            <w:pPr>
              <w:widowControl/>
              <w:snapToGrid w:val="0"/>
              <w:jc w:val="center"/>
              <w:rPr>
                <w:rFonts w:ascii="宋体" w:hAnsi="宋体" w:cs="宋体"/>
                <w:kern w:val="0"/>
                <w:szCs w:val="21"/>
              </w:rPr>
            </w:pPr>
          </w:p>
        </w:tc>
        <w:tc>
          <w:tcPr>
            <w:tcW w:w="1082" w:type="pct"/>
            <w:vAlign w:val="center"/>
          </w:tcPr>
          <w:p w14:paraId="417B5E9E">
            <w:pPr>
              <w:widowControl/>
              <w:snapToGrid w:val="0"/>
              <w:jc w:val="left"/>
              <w:rPr>
                <w:rFonts w:ascii="宋体" w:hAnsi="宋体" w:cs="宋体"/>
                <w:kern w:val="0"/>
                <w:szCs w:val="21"/>
              </w:rPr>
            </w:pPr>
            <w:r>
              <w:rPr>
                <w:rFonts w:hint="eastAsia" w:ascii="宋体" w:hAnsi="宋体" w:cs="宋体"/>
                <w:kern w:val="0"/>
                <w:szCs w:val="21"/>
              </w:rPr>
              <w:t>批量审核</w:t>
            </w:r>
          </w:p>
        </w:tc>
        <w:tc>
          <w:tcPr>
            <w:tcW w:w="3440" w:type="pct"/>
            <w:vAlign w:val="center"/>
          </w:tcPr>
          <w:p w14:paraId="6AD32139">
            <w:pPr>
              <w:widowControl/>
              <w:snapToGrid w:val="0"/>
              <w:jc w:val="left"/>
              <w:rPr>
                <w:rFonts w:ascii="宋体" w:hAnsi="宋体" w:cs="宋体"/>
                <w:kern w:val="0"/>
                <w:szCs w:val="21"/>
              </w:rPr>
            </w:pPr>
            <w:r>
              <w:rPr>
                <w:rFonts w:hint="eastAsia" w:ascii="宋体" w:hAnsi="宋体" w:cs="宋体"/>
                <w:kern w:val="0"/>
                <w:szCs w:val="21"/>
              </w:rPr>
              <w:t>支持批量审核，可将满足条件且正常的待审核数据一键批量全部审核通过，提高审核效率。</w:t>
            </w:r>
          </w:p>
        </w:tc>
      </w:tr>
      <w:tr w14:paraId="6FD13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continue"/>
            <w:vAlign w:val="center"/>
          </w:tcPr>
          <w:p w14:paraId="7E269838">
            <w:pPr>
              <w:widowControl/>
              <w:snapToGrid w:val="0"/>
              <w:jc w:val="center"/>
              <w:rPr>
                <w:rFonts w:ascii="宋体" w:hAnsi="宋体" w:cs="宋体"/>
                <w:kern w:val="0"/>
                <w:szCs w:val="21"/>
              </w:rPr>
            </w:pPr>
          </w:p>
        </w:tc>
        <w:tc>
          <w:tcPr>
            <w:tcW w:w="1082" w:type="pct"/>
            <w:vAlign w:val="center"/>
          </w:tcPr>
          <w:p w14:paraId="782653F8">
            <w:pPr>
              <w:widowControl/>
              <w:snapToGrid w:val="0"/>
              <w:jc w:val="left"/>
              <w:rPr>
                <w:rFonts w:ascii="宋体" w:hAnsi="宋体" w:cs="宋体"/>
                <w:kern w:val="0"/>
              </w:rPr>
            </w:pPr>
            <w:r>
              <w:rPr>
                <w:rFonts w:hint="eastAsia" w:ascii="宋体" w:hAnsi="宋体" w:cs="宋体"/>
                <w:kern w:val="0"/>
              </w:rPr>
              <w:t>下一条审核</w:t>
            </w:r>
          </w:p>
        </w:tc>
        <w:tc>
          <w:tcPr>
            <w:tcW w:w="3440" w:type="pct"/>
            <w:vAlign w:val="center"/>
          </w:tcPr>
          <w:p w14:paraId="46DCCB9E">
            <w:pPr>
              <w:widowControl/>
              <w:snapToGrid w:val="0"/>
              <w:jc w:val="left"/>
              <w:rPr>
                <w:rFonts w:ascii="宋体" w:hAnsi="宋体" w:cs="宋体"/>
                <w:kern w:val="0"/>
              </w:rPr>
            </w:pPr>
            <w:r>
              <w:rPr>
                <w:rFonts w:hint="eastAsia" w:ascii="宋体" w:hAnsi="宋体" w:cs="宋体"/>
                <w:kern w:val="0"/>
                <w:szCs w:val="21"/>
              </w:rPr>
              <w:t>支持跳过机制，可跳过当前审核数据直接进入下一条审核。支持自动显示下一条功能，当一条数据审核通过时能自动提示是否进入下一条，提高审核效率。</w:t>
            </w:r>
          </w:p>
        </w:tc>
      </w:tr>
      <w:tr w14:paraId="74C9F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continue"/>
            <w:vAlign w:val="center"/>
          </w:tcPr>
          <w:p w14:paraId="3FFDDE4D">
            <w:pPr>
              <w:widowControl/>
              <w:snapToGrid w:val="0"/>
              <w:jc w:val="center"/>
              <w:rPr>
                <w:rFonts w:ascii="宋体" w:hAnsi="宋体" w:cs="宋体"/>
                <w:kern w:val="0"/>
                <w:szCs w:val="21"/>
              </w:rPr>
            </w:pPr>
          </w:p>
        </w:tc>
        <w:tc>
          <w:tcPr>
            <w:tcW w:w="1082" w:type="pct"/>
            <w:vAlign w:val="center"/>
          </w:tcPr>
          <w:p w14:paraId="5754DF37">
            <w:pPr>
              <w:widowControl/>
              <w:snapToGrid w:val="0"/>
              <w:jc w:val="left"/>
              <w:rPr>
                <w:rFonts w:ascii="宋体" w:hAnsi="宋体" w:cs="宋体"/>
                <w:kern w:val="0"/>
              </w:rPr>
            </w:pPr>
            <w:r>
              <w:rPr>
                <w:rFonts w:hint="eastAsia" w:ascii="宋体" w:hAnsi="宋体" w:cs="宋体"/>
                <w:kern w:val="0"/>
              </w:rPr>
              <w:t>审核常用语</w:t>
            </w:r>
          </w:p>
        </w:tc>
        <w:tc>
          <w:tcPr>
            <w:tcW w:w="3440" w:type="pct"/>
            <w:vAlign w:val="center"/>
          </w:tcPr>
          <w:p w14:paraId="575278DF">
            <w:pPr>
              <w:widowControl/>
              <w:snapToGrid w:val="0"/>
              <w:jc w:val="left"/>
              <w:rPr>
                <w:rFonts w:ascii="宋体" w:hAnsi="宋体" w:cs="宋体"/>
                <w:kern w:val="0"/>
              </w:rPr>
            </w:pPr>
            <w:r>
              <w:rPr>
                <w:rFonts w:hint="eastAsia" w:ascii="宋体" w:hAnsi="宋体" w:cs="宋体"/>
                <w:kern w:val="0"/>
              </w:rPr>
              <w:t>支持一键选择审核常用语，提高审核效率。审核常用语能根据使用次数自动调整顺序，最常用的排最前。</w:t>
            </w:r>
          </w:p>
        </w:tc>
      </w:tr>
      <w:tr w14:paraId="5F0A3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continue"/>
            <w:vAlign w:val="center"/>
          </w:tcPr>
          <w:p w14:paraId="5FD948FF">
            <w:pPr>
              <w:widowControl/>
              <w:snapToGrid w:val="0"/>
              <w:jc w:val="center"/>
              <w:rPr>
                <w:rFonts w:ascii="宋体" w:hAnsi="宋体" w:cs="宋体"/>
                <w:kern w:val="0"/>
                <w:szCs w:val="21"/>
              </w:rPr>
            </w:pPr>
          </w:p>
        </w:tc>
        <w:tc>
          <w:tcPr>
            <w:tcW w:w="1082" w:type="pct"/>
            <w:vMerge w:val="restart"/>
            <w:vAlign w:val="center"/>
          </w:tcPr>
          <w:p w14:paraId="66C393BB">
            <w:pPr>
              <w:widowControl/>
              <w:snapToGrid w:val="0"/>
              <w:jc w:val="left"/>
              <w:rPr>
                <w:rFonts w:ascii="宋体" w:hAnsi="宋体" w:cs="宋体"/>
                <w:kern w:val="0"/>
              </w:rPr>
            </w:pPr>
            <w:r>
              <w:rPr>
                <w:rFonts w:hint="eastAsia" w:ascii="宋体" w:hAnsi="宋体" w:cs="宋体"/>
                <w:kern w:val="0"/>
              </w:rPr>
              <w:t>审核内容</w:t>
            </w:r>
          </w:p>
        </w:tc>
        <w:tc>
          <w:tcPr>
            <w:tcW w:w="3440" w:type="pct"/>
            <w:vAlign w:val="center"/>
          </w:tcPr>
          <w:p w14:paraId="733148D5">
            <w:pPr>
              <w:widowControl/>
              <w:snapToGrid w:val="0"/>
              <w:jc w:val="left"/>
              <w:rPr>
                <w:rFonts w:ascii="宋体" w:hAnsi="宋体" w:cs="宋体"/>
                <w:kern w:val="0"/>
              </w:rPr>
            </w:pPr>
            <w:r>
              <w:rPr>
                <w:rFonts w:hint="eastAsia" w:ascii="宋体" w:hAnsi="宋体" w:cs="宋体"/>
                <w:kern w:val="0"/>
              </w:rPr>
              <w:t>支持操作手册审核、考勤审核、请假审核、值班申请审核、住宿申请审核。</w:t>
            </w:r>
          </w:p>
        </w:tc>
      </w:tr>
      <w:tr w14:paraId="12C14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continue"/>
            <w:vAlign w:val="center"/>
          </w:tcPr>
          <w:p w14:paraId="65A26F70">
            <w:pPr>
              <w:widowControl/>
              <w:snapToGrid w:val="0"/>
              <w:jc w:val="center"/>
              <w:rPr>
                <w:rFonts w:ascii="宋体" w:hAnsi="宋体" w:cs="宋体"/>
                <w:kern w:val="0"/>
                <w:szCs w:val="21"/>
              </w:rPr>
            </w:pPr>
          </w:p>
        </w:tc>
        <w:tc>
          <w:tcPr>
            <w:tcW w:w="1082" w:type="pct"/>
            <w:vMerge w:val="continue"/>
            <w:vAlign w:val="center"/>
          </w:tcPr>
          <w:p w14:paraId="0A6C3A18">
            <w:pPr>
              <w:widowControl/>
              <w:snapToGrid w:val="0"/>
              <w:jc w:val="left"/>
              <w:rPr>
                <w:rFonts w:ascii="宋体" w:hAnsi="宋体" w:cs="宋体"/>
                <w:kern w:val="0"/>
              </w:rPr>
            </w:pPr>
          </w:p>
        </w:tc>
        <w:tc>
          <w:tcPr>
            <w:tcW w:w="3440" w:type="pct"/>
            <w:vAlign w:val="center"/>
          </w:tcPr>
          <w:p w14:paraId="65C1E41F">
            <w:pPr>
              <w:widowControl/>
              <w:snapToGrid w:val="0"/>
              <w:jc w:val="left"/>
              <w:rPr>
                <w:rFonts w:ascii="宋体" w:hAnsi="宋体" w:cs="宋体"/>
                <w:kern w:val="0"/>
              </w:rPr>
            </w:pPr>
            <w:r>
              <w:rPr>
                <w:rFonts w:hint="eastAsia" w:ascii="宋体" w:hAnsi="宋体" w:cs="宋体"/>
                <w:kern w:val="0"/>
                <w:szCs w:val="21"/>
              </w:rPr>
              <w:t>责导确认/责导审核：对学员提交的责导申请进行审核。</w:t>
            </w:r>
          </w:p>
        </w:tc>
      </w:tr>
      <w:tr w14:paraId="3FDDC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continue"/>
            <w:vAlign w:val="center"/>
          </w:tcPr>
          <w:p w14:paraId="744E48EF">
            <w:pPr>
              <w:widowControl/>
              <w:snapToGrid w:val="0"/>
              <w:jc w:val="center"/>
              <w:rPr>
                <w:rFonts w:ascii="宋体" w:hAnsi="宋体" w:cs="宋体"/>
                <w:kern w:val="0"/>
                <w:szCs w:val="21"/>
              </w:rPr>
            </w:pPr>
          </w:p>
        </w:tc>
        <w:tc>
          <w:tcPr>
            <w:tcW w:w="1082" w:type="pct"/>
            <w:vMerge w:val="continue"/>
            <w:vAlign w:val="center"/>
          </w:tcPr>
          <w:p w14:paraId="1A7CEDA3">
            <w:pPr>
              <w:widowControl/>
              <w:snapToGrid w:val="0"/>
              <w:jc w:val="left"/>
              <w:rPr>
                <w:rFonts w:ascii="宋体" w:hAnsi="宋体" w:cs="宋体"/>
                <w:kern w:val="0"/>
              </w:rPr>
            </w:pPr>
          </w:p>
        </w:tc>
        <w:tc>
          <w:tcPr>
            <w:tcW w:w="3440" w:type="pct"/>
            <w:vAlign w:val="center"/>
          </w:tcPr>
          <w:p w14:paraId="38435B1A">
            <w:pPr>
              <w:widowControl/>
              <w:snapToGrid w:val="0"/>
              <w:jc w:val="left"/>
              <w:rPr>
                <w:rFonts w:ascii="宋体" w:hAnsi="宋体" w:cs="宋体"/>
                <w:kern w:val="0"/>
              </w:rPr>
            </w:pPr>
            <w:r>
              <w:rPr>
                <w:rFonts w:hint="eastAsia" w:ascii="宋体" w:hAnsi="宋体" w:cs="宋体"/>
                <w:kern w:val="0"/>
                <w:szCs w:val="21"/>
              </w:rPr>
              <w:t>申教确认：对学员提交的带教申请进行确认。</w:t>
            </w:r>
          </w:p>
        </w:tc>
      </w:tr>
      <w:tr w14:paraId="31227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continue"/>
            <w:vAlign w:val="center"/>
          </w:tcPr>
          <w:p w14:paraId="1F91E144">
            <w:pPr>
              <w:widowControl/>
              <w:snapToGrid w:val="0"/>
              <w:jc w:val="center"/>
              <w:rPr>
                <w:rFonts w:ascii="宋体" w:hAnsi="宋体" w:cs="宋体"/>
                <w:kern w:val="0"/>
                <w:szCs w:val="21"/>
              </w:rPr>
            </w:pPr>
          </w:p>
        </w:tc>
        <w:tc>
          <w:tcPr>
            <w:tcW w:w="1082" w:type="pct"/>
            <w:vMerge w:val="continue"/>
            <w:vAlign w:val="center"/>
          </w:tcPr>
          <w:p w14:paraId="43C8BF5F">
            <w:pPr>
              <w:widowControl/>
              <w:snapToGrid w:val="0"/>
              <w:jc w:val="left"/>
              <w:rPr>
                <w:rFonts w:ascii="宋体" w:hAnsi="宋体" w:cs="宋体"/>
                <w:kern w:val="0"/>
              </w:rPr>
            </w:pPr>
          </w:p>
        </w:tc>
        <w:tc>
          <w:tcPr>
            <w:tcW w:w="3440" w:type="pct"/>
            <w:vAlign w:val="center"/>
          </w:tcPr>
          <w:p w14:paraId="1AD23F6D">
            <w:pPr>
              <w:widowControl/>
              <w:snapToGrid w:val="0"/>
              <w:jc w:val="left"/>
              <w:rPr>
                <w:rFonts w:ascii="宋体" w:hAnsi="宋体" w:cs="宋体"/>
                <w:kern w:val="0"/>
              </w:rPr>
            </w:pPr>
            <w:r>
              <w:rPr>
                <w:rFonts w:hint="eastAsia" w:ascii="宋体" w:hAnsi="宋体" w:cs="宋体"/>
                <w:kern w:val="0"/>
                <w:szCs w:val="21"/>
              </w:rPr>
              <w:t>台账确认：对科室秘书提交的台账进行审核。</w:t>
            </w:r>
          </w:p>
        </w:tc>
      </w:tr>
      <w:tr w14:paraId="139A2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continue"/>
            <w:vAlign w:val="center"/>
          </w:tcPr>
          <w:p w14:paraId="044C18DF">
            <w:pPr>
              <w:widowControl/>
              <w:snapToGrid w:val="0"/>
              <w:jc w:val="center"/>
              <w:rPr>
                <w:rFonts w:ascii="宋体" w:hAnsi="宋体" w:cs="宋体"/>
                <w:kern w:val="0"/>
                <w:szCs w:val="21"/>
              </w:rPr>
            </w:pPr>
          </w:p>
        </w:tc>
        <w:tc>
          <w:tcPr>
            <w:tcW w:w="1082" w:type="pct"/>
            <w:vMerge w:val="continue"/>
            <w:vAlign w:val="center"/>
          </w:tcPr>
          <w:p w14:paraId="1D3C42C8">
            <w:pPr>
              <w:widowControl/>
              <w:snapToGrid w:val="0"/>
              <w:jc w:val="left"/>
              <w:rPr>
                <w:rFonts w:ascii="宋体" w:hAnsi="宋体" w:cs="宋体"/>
                <w:kern w:val="0"/>
              </w:rPr>
            </w:pPr>
          </w:p>
        </w:tc>
        <w:tc>
          <w:tcPr>
            <w:tcW w:w="3440" w:type="pct"/>
            <w:vAlign w:val="center"/>
          </w:tcPr>
          <w:p w14:paraId="6889ED99">
            <w:pPr>
              <w:widowControl/>
              <w:snapToGrid w:val="0"/>
              <w:jc w:val="left"/>
              <w:rPr>
                <w:rFonts w:ascii="宋体" w:hAnsi="宋体" w:cs="宋体"/>
                <w:kern w:val="0"/>
              </w:rPr>
            </w:pPr>
            <w:r>
              <w:rPr>
                <w:rFonts w:hint="eastAsia" w:ascii="宋体" w:hAnsi="宋体" w:cs="宋体"/>
                <w:kern w:val="0"/>
                <w:szCs w:val="21"/>
              </w:rPr>
              <w:t>结业审核：对学员提交的结业申请进行审核。</w:t>
            </w:r>
          </w:p>
        </w:tc>
      </w:tr>
      <w:tr w14:paraId="75CD3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continue"/>
            <w:vAlign w:val="center"/>
          </w:tcPr>
          <w:p w14:paraId="6C2CA21B">
            <w:pPr>
              <w:widowControl/>
              <w:snapToGrid w:val="0"/>
              <w:jc w:val="center"/>
              <w:rPr>
                <w:rFonts w:ascii="宋体" w:hAnsi="宋体" w:cs="宋体"/>
                <w:kern w:val="0"/>
                <w:szCs w:val="21"/>
              </w:rPr>
            </w:pPr>
          </w:p>
        </w:tc>
        <w:tc>
          <w:tcPr>
            <w:tcW w:w="1082" w:type="pct"/>
            <w:vMerge w:val="continue"/>
            <w:vAlign w:val="center"/>
          </w:tcPr>
          <w:p w14:paraId="667D99B1">
            <w:pPr>
              <w:widowControl/>
              <w:snapToGrid w:val="0"/>
              <w:jc w:val="left"/>
              <w:rPr>
                <w:rFonts w:ascii="宋体" w:hAnsi="宋体" w:cs="宋体"/>
                <w:kern w:val="0"/>
              </w:rPr>
            </w:pPr>
          </w:p>
        </w:tc>
        <w:tc>
          <w:tcPr>
            <w:tcW w:w="3440" w:type="pct"/>
            <w:vAlign w:val="center"/>
          </w:tcPr>
          <w:p w14:paraId="736E94C3">
            <w:pPr>
              <w:widowControl/>
              <w:snapToGrid w:val="0"/>
              <w:jc w:val="left"/>
              <w:rPr>
                <w:rFonts w:ascii="宋体" w:hAnsi="宋体" w:cs="宋体"/>
                <w:kern w:val="0"/>
              </w:rPr>
            </w:pPr>
            <w:r>
              <w:rPr>
                <w:rFonts w:hint="eastAsia" w:ascii="宋体" w:hAnsi="宋体" w:cs="宋体"/>
                <w:kern w:val="0"/>
                <w:szCs w:val="21"/>
              </w:rPr>
              <w:t>报勤审核：审核上报的学员月考勤数据。</w:t>
            </w:r>
          </w:p>
        </w:tc>
      </w:tr>
      <w:tr w14:paraId="3AC6E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restart"/>
            <w:vAlign w:val="center"/>
          </w:tcPr>
          <w:p w14:paraId="79E8E3F8">
            <w:pPr>
              <w:widowControl/>
              <w:snapToGrid w:val="0"/>
              <w:jc w:val="center"/>
              <w:rPr>
                <w:rFonts w:ascii="宋体" w:hAnsi="宋体" w:cs="宋体"/>
                <w:kern w:val="0"/>
                <w:szCs w:val="21"/>
              </w:rPr>
            </w:pPr>
            <w:r>
              <w:rPr>
                <w:rFonts w:hint="eastAsia" w:ascii="宋体" w:hAnsi="宋体" w:cs="宋体"/>
                <w:kern w:val="0"/>
                <w:szCs w:val="21"/>
              </w:rPr>
              <w:t>个人信息</w:t>
            </w:r>
          </w:p>
        </w:tc>
        <w:tc>
          <w:tcPr>
            <w:tcW w:w="1082" w:type="pct"/>
            <w:vAlign w:val="center"/>
          </w:tcPr>
          <w:p w14:paraId="43794437">
            <w:pPr>
              <w:widowControl/>
              <w:snapToGrid w:val="0"/>
              <w:jc w:val="left"/>
              <w:rPr>
                <w:rFonts w:ascii="宋体" w:hAnsi="宋体" w:cs="宋体"/>
                <w:kern w:val="0"/>
                <w:szCs w:val="21"/>
              </w:rPr>
            </w:pPr>
            <w:r>
              <w:rPr>
                <w:rFonts w:hint="eastAsia" w:ascii="宋体" w:hAnsi="宋体" w:cs="宋体"/>
                <w:kern w:val="0"/>
                <w:szCs w:val="21"/>
              </w:rPr>
              <w:t>维护个人信息</w:t>
            </w:r>
          </w:p>
        </w:tc>
        <w:tc>
          <w:tcPr>
            <w:tcW w:w="3440" w:type="pct"/>
            <w:vAlign w:val="center"/>
          </w:tcPr>
          <w:p w14:paraId="38E84C17">
            <w:pPr>
              <w:widowControl/>
              <w:snapToGrid w:val="0"/>
              <w:jc w:val="left"/>
              <w:rPr>
                <w:rFonts w:ascii="宋体" w:hAnsi="宋体" w:cs="宋体"/>
                <w:kern w:val="0"/>
                <w:szCs w:val="21"/>
              </w:rPr>
            </w:pPr>
            <w:r>
              <w:rPr>
                <w:rFonts w:hint="eastAsia" w:ascii="宋体" w:hAnsi="宋体" w:cs="宋体"/>
                <w:kern w:val="0"/>
                <w:szCs w:val="21"/>
              </w:rPr>
              <w:t>支持对个人信息进行编辑，包括工号、手机短号、银行卡号、学历、邮箱、执业医师编号、工作单位、学年等。</w:t>
            </w:r>
          </w:p>
        </w:tc>
      </w:tr>
      <w:tr w14:paraId="37D15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continue"/>
            <w:vAlign w:val="center"/>
          </w:tcPr>
          <w:p w14:paraId="024F854D">
            <w:pPr>
              <w:widowControl/>
              <w:snapToGrid w:val="0"/>
              <w:jc w:val="center"/>
              <w:rPr>
                <w:rFonts w:ascii="宋体" w:hAnsi="宋体" w:cs="宋体"/>
                <w:kern w:val="0"/>
                <w:szCs w:val="21"/>
              </w:rPr>
            </w:pPr>
          </w:p>
        </w:tc>
        <w:tc>
          <w:tcPr>
            <w:tcW w:w="1082" w:type="pct"/>
            <w:vAlign w:val="center"/>
          </w:tcPr>
          <w:p w14:paraId="3014058D">
            <w:pPr>
              <w:widowControl/>
              <w:snapToGrid w:val="0"/>
              <w:jc w:val="left"/>
              <w:rPr>
                <w:rFonts w:ascii="宋体" w:hAnsi="宋体" w:cs="宋体"/>
                <w:kern w:val="0"/>
                <w:szCs w:val="21"/>
              </w:rPr>
            </w:pPr>
            <w:r>
              <w:rPr>
                <w:rFonts w:hint="eastAsia" w:ascii="宋体" w:hAnsi="宋体" w:cs="宋体"/>
                <w:kern w:val="0"/>
                <w:szCs w:val="21"/>
              </w:rPr>
              <w:t>在线签名</w:t>
            </w:r>
          </w:p>
        </w:tc>
        <w:tc>
          <w:tcPr>
            <w:tcW w:w="3440" w:type="pct"/>
            <w:vAlign w:val="center"/>
          </w:tcPr>
          <w:p w14:paraId="7B028904">
            <w:pPr>
              <w:widowControl/>
              <w:snapToGrid w:val="0"/>
              <w:jc w:val="left"/>
              <w:rPr>
                <w:rFonts w:ascii="宋体" w:hAnsi="宋体" w:cs="宋体"/>
                <w:kern w:val="0"/>
                <w:szCs w:val="21"/>
              </w:rPr>
            </w:pPr>
            <w:r>
              <w:rPr>
                <w:rFonts w:hint="eastAsia" w:ascii="宋体" w:hAnsi="宋体" w:cs="宋体"/>
                <w:kern w:val="0"/>
                <w:szCs w:val="21"/>
              </w:rPr>
              <w:t>支持在线签名，可在系统上直接录入签名并在导出中体现。</w:t>
            </w:r>
          </w:p>
        </w:tc>
      </w:tr>
      <w:tr w14:paraId="0950D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continue"/>
            <w:vAlign w:val="center"/>
          </w:tcPr>
          <w:p w14:paraId="31A6FEDB">
            <w:pPr>
              <w:widowControl/>
              <w:snapToGrid w:val="0"/>
              <w:jc w:val="center"/>
              <w:rPr>
                <w:rFonts w:ascii="宋体" w:hAnsi="宋体" w:cs="宋体"/>
                <w:kern w:val="0"/>
                <w:szCs w:val="21"/>
              </w:rPr>
            </w:pPr>
          </w:p>
        </w:tc>
        <w:tc>
          <w:tcPr>
            <w:tcW w:w="1082" w:type="pct"/>
            <w:vAlign w:val="center"/>
          </w:tcPr>
          <w:p w14:paraId="57E9FF58">
            <w:pPr>
              <w:widowControl/>
              <w:snapToGrid w:val="0"/>
              <w:jc w:val="left"/>
              <w:rPr>
                <w:rFonts w:ascii="宋体" w:hAnsi="宋体" w:cs="宋体"/>
                <w:kern w:val="0"/>
                <w:szCs w:val="21"/>
              </w:rPr>
            </w:pPr>
            <w:r>
              <w:rPr>
                <w:rFonts w:hint="eastAsia" w:ascii="宋体" w:hAnsi="宋体" w:cs="宋体"/>
                <w:kern w:val="0"/>
                <w:szCs w:val="21"/>
              </w:rPr>
              <w:t>上传资格证书</w:t>
            </w:r>
          </w:p>
        </w:tc>
        <w:tc>
          <w:tcPr>
            <w:tcW w:w="3440" w:type="pct"/>
            <w:vAlign w:val="center"/>
          </w:tcPr>
          <w:p w14:paraId="637F971B">
            <w:pPr>
              <w:widowControl/>
              <w:snapToGrid w:val="0"/>
              <w:jc w:val="left"/>
              <w:rPr>
                <w:rFonts w:ascii="宋体" w:hAnsi="宋体" w:cs="宋体"/>
                <w:kern w:val="0"/>
                <w:szCs w:val="21"/>
              </w:rPr>
            </w:pPr>
            <w:r>
              <w:rPr>
                <w:rFonts w:hint="eastAsia" w:ascii="宋体" w:hAnsi="宋体" w:cs="宋体"/>
                <w:kern w:val="0"/>
                <w:szCs w:val="21"/>
              </w:rPr>
              <w:t>支持学员维护执业状态，录入医师执业证编号、医师资格证编号。</w:t>
            </w:r>
          </w:p>
        </w:tc>
      </w:tr>
      <w:tr w14:paraId="62458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continue"/>
            <w:vAlign w:val="center"/>
          </w:tcPr>
          <w:p w14:paraId="320DFEFA">
            <w:pPr>
              <w:widowControl/>
              <w:snapToGrid w:val="0"/>
              <w:jc w:val="center"/>
              <w:rPr>
                <w:rFonts w:ascii="宋体" w:hAnsi="宋体" w:cs="宋体"/>
                <w:kern w:val="0"/>
                <w:szCs w:val="21"/>
              </w:rPr>
            </w:pPr>
          </w:p>
        </w:tc>
        <w:tc>
          <w:tcPr>
            <w:tcW w:w="1082" w:type="pct"/>
            <w:vAlign w:val="center"/>
          </w:tcPr>
          <w:p w14:paraId="52449AC2">
            <w:pPr>
              <w:widowControl/>
              <w:snapToGrid w:val="0"/>
              <w:jc w:val="left"/>
              <w:rPr>
                <w:rFonts w:ascii="宋体" w:hAnsi="宋体" w:cs="宋体"/>
                <w:kern w:val="0"/>
                <w:szCs w:val="21"/>
              </w:rPr>
            </w:pPr>
            <w:r>
              <w:rPr>
                <w:rFonts w:hint="eastAsia" w:ascii="宋体" w:hAnsi="宋体" w:cs="宋体"/>
                <w:kern w:val="0"/>
                <w:szCs w:val="21"/>
              </w:rPr>
              <w:t>其他信息</w:t>
            </w:r>
          </w:p>
        </w:tc>
        <w:tc>
          <w:tcPr>
            <w:tcW w:w="3440" w:type="pct"/>
            <w:vAlign w:val="center"/>
          </w:tcPr>
          <w:p w14:paraId="21633B3D">
            <w:pPr>
              <w:widowControl/>
              <w:snapToGrid w:val="0"/>
              <w:jc w:val="left"/>
              <w:rPr>
                <w:rFonts w:ascii="宋体" w:hAnsi="宋体" w:cs="宋体"/>
                <w:kern w:val="0"/>
                <w:szCs w:val="21"/>
              </w:rPr>
            </w:pPr>
            <w:r>
              <w:rPr>
                <w:rFonts w:hint="eastAsia" w:ascii="宋体" w:hAnsi="宋体" w:cs="宋体"/>
                <w:kern w:val="0"/>
                <w:szCs w:val="21"/>
              </w:rPr>
              <w:t>支持上传证件照、表彰奖励、论文文章、上课表现等。支持教员维护自己的教学职称/表彰奖励/进修培训记录，以及自己的证书情况及证书照片。</w:t>
            </w:r>
          </w:p>
        </w:tc>
      </w:tr>
      <w:tr w14:paraId="2DB87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Merge w:val="continue"/>
            <w:vAlign w:val="center"/>
          </w:tcPr>
          <w:p w14:paraId="23585350">
            <w:pPr>
              <w:widowControl/>
              <w:snapToGrid w:val="0"/>
              <w:jc w:val="center"/>
              <w:rPr>
                <w:rFonts w:ascii="宋体" w:hAnsi="宋体" w:cs="宋体"/>
                <w:kern w:val="0"/>
                <w:szCs w:val="21"/>
              </w:rPr>
            </w:pPr>
          </w:p>
        </w:tc>
        <w:tc>
          <w:tcPr>
            <w:tcW w:w="1082" w:type="pct"/>
            <w:vAlign w:val="center"/>
          </w:tcPr>
          <w:p w14:paraId="354BE979">
            <w:pPr>
              <w:widowControl/>
              <w:snapToGrid w:val="0"/>
              <w:jc w:val="left"/>
              <w:rPr>
                <w:rFonts w:ascii="宋体" w:hAnsi="宋体" w:cs="宋体"/>
                <w:kern w:val="0"/>
              </w:rPr>
            </w:pPr>
            <w:r>
              <w:rPr>
                <w:rFonts w:hint="eastAsia" w:ascii="宋体" w:hAnsi="宋体" w:cs="宋体"/>
                <w:kern w:val="0"/>
              </w:rPr>
              <w:t>科室变更申请</w:t>
            </w:r>
          </w:p>
        </w:tc>
        <w:tc>
          <w:tcPr>
            <w:tcW w:w="3440" w:type="pct"/>
            <w:vAlign w:val="center"/>
          </w:tcPr>
          <w:p w14:paraId="7464FF46">
            <w:pPr>
              <w:widowControl/>
              <w:snapToGrid w:val="0"/>
              <w:jc w:val="left"/>
              <w:rPr>
                <w:rFonts w:ascii="宋体" w:hAnsi="宋体" w:cs="宋体"/>
                <w:kern w:val="0"/>
                <w:szCs w:val="21"/>
              </w:rPr>
            </w:pPr>
            <w:r>
              <w:rPr>
                <w:rFonts w:hint="eastAsia" w:ascii="宋体" w:hAnsi="宋体" w:cs="宋体"/>
                <w:kern w:val="0"/>
                <w:szCs w:val="21"/>
              </w:rPr>
              <w:t>教员可变更当前科室，方便个别老师分属多个科室的情况下的使用。</w:t>
            </w:r>
          </w:p>
        </w:tc>
      </w:tr>
      <w:tr w14:paraId="241C6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7" w:type="pct"/>
            <w:vAlign w:val="center"/>
          </w:tcPr>
          <w:p w14:paraId="23A3C07D">
            <w:pPr>
              <w:widowControl/>
              <w:snapToGrid w:val="0"/>
              <w:jc w:val="center"/>
              <w:rPr>
                <w:rFonts w:ascii="宋体" w:hAnsi="宋体" w:cs="宋体"/>
                <w:kern w:val="0"/>
                <w:szCs w:val="21"/>
              </w:rPr>
            </w:pPr>
            <w:r>
              <w:rPr>
                <w:rFonts w:hint="eastAsia" w:ascii="宋体" w:hAnsi="宋体" w:cs="宋体"/>
                <w:kern w:val="0"/>
                <w:szCs w:val="21"/>
              </w:rPr>
              <w:t>文档中心</w:t>
            </w:r>
          </w:p>
        </w:tc>
        <w:tc>
          <w:tcPr>
            <w:tcW w:w="1082" w:type="pct"/>
            <w:vAlign w:val="center"/>
          </w:tcPr>
          <w:p w14:paraId="42473C8A">
            <w:pPr>
              <w:widowControl/>
              <w:snapToGrid w:val="0"/>
              <w:jc w:val="left"/>
              <w:rPr>
                <w:rFonts w:ascii="宋体" w:hAnsi="宋体" w:cs="宋体"/>
                <w:kern w:val="0"/>
              </w:rPr>
            </w:pPr>
            <w:r>
              <w:rPr>
                <w:rFonts w:hint="eastAsia" w:ascii="宋体" w:hAnsi="宋体" w:cs="宋体"/>
                <w:kern w:val="0"/>
                <w:szCs w:val="21"/>
              </w:rPr>
              <w:t>文档共享</w:t>
            </w:r>
          </w:p>
        </w:tc>
        <w:tc>
          <w:tcPr>
            <w:tcW w:w="3440" w:type="pct"/>
            <w:vAlign w:val="center"/>
          </w:tcPr>
          <w:p w14:paraId="23764105">
            <w:pPr>
              <w:widowControl/>
              <w:snapToGrid w:val="0"/>
              <w:jc w:val="left"/>
              <w:rPr>
                <w:rFonts w:ascii="宋体" w:hAnsi="宋体" w:cs="宋体"/>
                <w:kern w:val="0"/>
                <w:szCs w:val="21"/>
              </w:rPr>
            </w:pPr>
            <w:r>
              <w:rPr>
                <w:rFonts w:hint="eastAsia" w:ascii="宋体" w:hAnsi="宋体" w:cs="宋体"/>
                <w:kern w:val="0"/>
                <w:szCs w:val="21"/>
              </w:rPr>
              <w:t>支持查看和上传需分享的文档及附件。</w:t>
            </w:r>
          </w:p>
        </w:tc>
      </w:tr>
    </w:tbl>
    <w:p w14:paraId="40630FB9">
      <w:pPr>
        <w:rPr>
          <w:rFonts w:hint="eastAsia" w:asciiTheme="majorEastAsia" w:hAnsiTheme="majorEastAsia" w:eastAsiaTheme="majorEastAsia" w:cstheme="majorEastAsia"/>
          <w:b/>
          <w:bCs/>
          <w:sz w:val="24"/>
          <w:szCs w:val="24"/>
        </w:rPr>
      </w:pPr>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E027FB"/>
    <w:multiLevelType w:val="multilevel"/>
    <w:tmpl w:val="01E027F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3B30ED7"/>
    <w:multiLevelType w:val="multilevel"/>
    <w:tmpl w:val="03B30ED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9617480"/>
    <w:multiLevelType w:val="multilevel"/>
    <w:tmpl w:val="3961748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AFB7B6F"/>
    <w:multiLevelType w:val="multilevel"/>
    <w:tmpl w:val="3AFB7B6F"/>
    <w:lvl w:ilvl="0" w:tentative="0">
      <w:start w:val="1"/>
      <w:numFmt w:val="decimal"/>
      <w:lvlText w:val="%1)"/>
      <w:lvlJc w:val="left"/>
      <w:pPr>
        <w:ind w:left="420" w:hanging="420"/>
      </w:pPr>
      <w:rPr>
        <w:b w:val="0"/>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E61435C"/>
    <w:multiLevelType w:val="multilevel"/>
    <w:tmpl w:val="3E61435C"/>
    <w:lvl w:ilvl="0" w:tentative="0">
      <w:start w:val="1"/>
      <w:numFmt w:val="decimal"/>
      <w:lvlText w:val="%1)"/>
      <w:lvlJc w:val="left"/>
      <w:pPr>
        <w:ind w:left="420" w:hanging="420"/>
      </w:pPr>
      <w:rPr>
        <w:b w:val="0"/>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6164D12"/>
    <w:multiLevelType w:val="multilevel"/>
    <w:tmpl w:val="56164D12"/>
    <w:lvl w:ilvl="0" w:tentative="0">
      <w:start w:val="1"/>
      <w:numFmt w:val="decimal"/>
      <w:lvlText w:val="%1)"/>
      <w:lvlJc w:val="left"/>
      <w:pPr>
        <w:ind w:left="420" w:hanging="420"/>
      </w:pPr>
      <w:rPr>
        <w:b w:val="0"/>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A7C2096"/>
    <w:multiLevelType w:val="multilevel"/>
    <w:tmpl w:val="5A7C2096"/>
    <w:lvl w:ilvl="0" w:tentative="0">
      <w:start w:val="1"/>
      <w:numFmt w:val="decimal"/>
      <w:lvlText w:val="%1)"/>
      <w:lvlJc w:val="left"/>
      <w:pPr>
        <w:ind w:left="420" w:hanging="420"/>
      </w:pPr>
      <w:rPr>
        <w:rFonts w:hint="default"/>
        <w:color w:val="000000" w:themeColor="text1"/>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C357CE1"/>
    <w:multiLevelType w:val="singleLevel"/>
    <w:tmpl w:val="5C357CE1"/>
    <w:lvl w:ilvl="0" w:tentative="0">
      <w:start w:val="1"/>
      <w:numFmt w:val="chineseCounting"/>
      <w:suff w:val="nothing"/>
      <w:lvlText w:val="%1、"/>
      <w:lvlJc w:val="left"/>
      <w:pPr>
        <w:ind w:left="0"/>
      </w:pPr>
      <w:rPr>
        <w:rFonts w:hint="eastAsia" w:asciiTheme="majorEastAsia" w:hAnsiTheme="majorEastAsia" w:eastAsiaTheme="majorEastAsia" w:cstheme="majorEastAsia"/>
      </w:rPr>
    </w:lvl>
  </w:abstractNum>
  <w:abstractNum w:abstractNumId="8">
    <w:nsid w:val="6060181A"/>
    <w:multiLevelType w:val="multilevel"/>
    <w:tmpl w:val="6060181A"/>
    <w:lvl w:ilvl="0" w:tentative="0">
      <w:start w:val="1"/>
      <w:numFmt w:val="decimal"/>
      <w:lvlText w:val="%1)"/>
      <w:lvlJc w:val="left"/>
      <w:pPr>
        <w:ind w:left="420" w:hanging="420"/>
      </w:pPr>
      <w:rPr>
        <w:b w:val="0"/>
        <w:bCs/>
      </w:r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3E45B2A"/>
    <w:multiLevelType w:val="multilevel"/>
    <w:tmpl w:val="63E45B2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8873E80"/>
    <w:multiLevelType w:val="multilevel"/>
    <w:tmpl w:val="68873E8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9D679A4"/>
    <w:multiLevelType w:val="multilevel"/>
    <w:tmpl w:val="69D679A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CE26CBA"/>
    <w:multiLevelType w:val="multilevel"/>
    <w:tmpl w:val="6CE26CB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1FC2EE0"/>
    <w:multiLevelType w:val="multilevel"/>
    <w:tmpl w:val="71FC2EE0"/>
    <w:lvl w:ilvl="0" w:tentative="0">
      <w:start w:val="1"/>
      <w:numFmt w:val="decimal"/>
      <w:lvlText w:val="%1)"/>
      <w:lvlJc w:val="left"/>
      <w:pPr>
        <w:ind w:left="420" w:hanging="420"/>
      </w:pPr>
      <w:rPr>
        <w:b w:val="0"/>
        <w:bCs/>
      </w:r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25F716D"/>
    <w:multiLevelType w:val="multilevel"/>
    <w:tmpl w:val="725F716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3525219"/>
    <w:multiLevelType w:val="multilevel"/>
    <w:tmpl w:val="73525219"/>
    <w:lvl w:ilvl="0" w:tentative="0">
      <w:start w:val="1"/>
      <w:numFmt w:val="decimal"/>
      <w:lvlText w:val="%1）"/>
      <w:lvlJc w:val="left"/>
      <w:pPr>
        <w:ind w:left="360" w:hanging="360"/>
      </w:pPr>
      <w:rPr>
        <w:rFonts w:hint="default"/>
        <w:b w:val="0"/>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D516C9E"/>
    <w:multiLevelType w:val="multilevel"/>
    <w:tmpl w:val="7D516C9E"/>
    <w:lvl w:ilvl="0" w:tentative="0">
      <w:start w:val="1"/>
      <w:numFmt w:val="decimal"/>
      <w:lvlText w:val="%1)"/>
      <w:lvlJc w:val="left"/>
      <w:pPr>
        <w:ind w:left="420" w:hanging="420"/>
      </w:pPr>
      <w:rPr>
        <w:b w:val="0"/>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2"/>
  </w:num>
  <w:num w:numId="3">
    <w:abstractNumId w:val="15"/>
  </w:num>
  <w:num w:numId="4">
    <w:abstractNumId w:val="9"/>
  </w:num>
  <w:num w:numId="5">
    <w:abstractNumId w:val="3"/>
  </w:num>
  <w:num w:numId="6">
    <w:abstractNumId w:val="4"/>
  </w:num>
  <w:num w:numId="7">
    <w:abstractNumId w:val="5"/>
  </w:num>
  <w:num w:numId="8">
    <w:abstractNumId w:val="13"/>
  </w:num>
  <w:num w:numId="9">
    <w:abstractNumId w:val="8"/>
  </w:num>
  <w:num w:numId="10">
    <w:abstractNumId w:val="1"/>
  </w:num>
  <w:num w:numId="11">
    <w:abstractNumId w:val="0"/>
  </w:num>
  <w:num w:numId="12">
    <w:abstractNumId w:val="12"/>
  </w:num>
  <w:num w:numId="13">
    <w:abstractNumId w:val="14"/>
  </w:num>
  <w:num w:numId="14">
    <w:abstractNumId w:val="16"/>
  </w:num>
  <w:num w:numId="15">
    <w:abstractNumId w:val="6"/>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4ZmU0NjMxOTEyMzIyYzZjNmNhZjllZWZhYTUxMDkifQ=="/>
  </w:docVars>
  <w:rsids>
    <w:rsidRoot w:val="0A371F8C"/>
    <w:rsid w:val="002C5841"/>
    <w:rsid w:val="00452B33"/>
    <w:rsid w:val="005A7830"/>
    <w:rsid w:val="005D4603"/>
    <w:rsid w:val="00814795"/>
    <w:rsid w:val="00B00BD6"/>
    <w:rsid w:val="010A29DC"/>
    <w:rsid w:val="01AA53CD"/>
    <w:rsid w:val="026C7A4A"/>
    <w:rsid w:val="027125E7"/>
    <w:rsid w:val="029E162E"/>
    <w:rsid w:val="02A93B2F"/>
    <w:rsid w:val="02AE7397"/>
    <w:rsid w:val="02AF241A"/>
    <w:rsid w:val="02D957B7"/>
    <w:rsid w:val="03376361"/>
    <w:rsid w:val="03867954"/>
    <w:rsid w:val="03D8291E"/>
    <w:rsid w:val="03F776FC"/>
    <w:rsid w:val="045A3333"/>
    <w:rsid w:val="04D34291"/>
    <w:rsid w:val="04F05A45"/>
    <w:rsid w:val="059C797B"/>
    <w:rsid w:val="05C23886"/>
    <w:rsid w:val="05DE61E6"/>
    <w:rsid w:val="065B1F08"/>
    <w:rsid w:val="069F5975"/>
    <w:rsid w:val="075B3A63"/>
    <w:rsid w:val="07A76C22"/>
    <w:rsid w:val="082B0B21"/>
    <w:rsid w:val="087C111E"/>
    <w:rsid w:val="08B44FC3"/>
    <w:rsid w:val="08DF64FD"/>
    <w:rsid w:val="08E25638"/>
    <w:rsid w:val="08EB30F3"/>
    <w:rsid w:val="091A7535"/>
    <w:rsid w:val="097B1C1B"/>
    <w:rsid w:val="09916EF4"/>
    <w:rsid w:val="09CD45A7"/>
    <w:rsid w:val="0A371F8C"/>
    <w:rsid w:val="0A877197"/>
    <w:rsid w:val="0A9D041D"/>
    <w:rsid w:val="0AB55A76"/>
    <w:rsid w:val="0AC05EBA"/>
    <w:rsid w:val="0B016BFE"/>
    <w:rsid w:val="0B2C354F"/>
    <w:rsid w:val="0B6D544F"/>
    <w:rsid w:val="0B9612A5"/>
    <w:rsid w:val="0B9A670B"/>
    <w:rsid w:val="0BA01C71"/>
    <w:rsid w:val="0BBD342B"/>
    <w:rsid w:val="0C0E7959"/>
    <w:rsid w:val="0C4D7C98"/>
    <w:rsid w:val="0C5114BF"/>
    <w:rsid w:val="0C530DEB"/>
    <w:rsid w:val="0C720E23"/>
    <w:rsid w:val="0CBF0B1F"/>
    <w:rsid w:val="0CC9374C"/>
    <w:rsid w:val="0CF602B9"/>
    <w:rsid w:val="0D867912"/>
    <w:rsid w:val="0E7B2400"/>
    <w:rsid w:val="0E7E2314"/>
    <w:rsid w:val="0ED2520F"/>
    <w:rsid w:val="0EE7610B"/>
    <w:rsid w:val="0EEC7F02"/>
    <w:rsid w:val="0F1A028E"/>
    <w:rsid w:val="0F3468FF"/>
    <w:rsid w:val="0F616722"/>
    <w:rsid w:val="0F855859"/>
    <w:rsid w:val="0FC62D88"/>
    <w:rsid w:val="10056C8A"/>
    <w:rsid w:val="10490116"/>
    <w:rsid w:val="104B207E"/>
    <w:rsid w:val="107D490A"/>
    <w:rsid w:val="10CF32FA"/>
    <w:rsid w:val="10DF3C80"/>
    <w:rsid w:val="10F20D97"/>
    <w:rsid w:val="118A6720"/>
    <w:rsid w:val="121E0096"/>
    <w:rsid w:val="124B69B1"/>
    <w:rsid w:val="126857B5"/>
    <w:rsid w:val="12A165D1"/>
    <w:rsid w:val="12DC3AAD"/>
    <w:rsid w:val="13064DC7"/>
    <w:rsid w:val="13144FF5"/>
    <w:rsid w:val="13294F44"/>
    <w:rsid w:val="14076907"/>
    <w:rsid w:val="14080104"/>
    <w:rsid w:val="144D65A6"/>
    <w:rsid w:val="1457788F"/>
    <w:rsid w:val="14FA1085"/>
    <w:rsid w:val="159713DE"/>
    <w:rsid w:val="15DF7B3C"/>
    <w:rsid w:val="16DE7DF3"/>
    <w:rsid w:val="172B40D3"/>
    <w:rsid w:val="178169D1"/>
    <w:rsid w:val="17966920"/>
    <w:rsid w:val="179901BE"/>
    <w:rsid w:val="17B2752F"/>
    <w:rsid w:val="17FE4922"/>
    <w:rsid w:val="188015F3"/>
    <w:rsid w:val="18891FE1"/>
    <w:rsid w:val="188C1683"/>
    <w:rsid w:val="1890511D"/>
    <w:rsid w:val="189F6B70"/>
    <w:rsid w:val="18A92683"/>
    <w:rsid w:val="18CC437C"/>
    <w:rsid w:val="18F14392"/>
    <w:rsid w:val="18FC7448"/>
    <w:rsid w:val="197467ED"/>
    <w:rsid w:val="1A002777"/>
    <w:rsid w:val="1A0F3844"/>
    <w:rsid w:val="1A421337"/>
    <w:rsid w:val="1A5F088A"/>
    <w:rsid w:val="1AA749A0"/>
    <w:rsid w:val="1ACB68E1"/>
    <w:rsid w:val="1B155DAE"/>
    <w:rsid w:val="1B5468D6"/>
    <w:rsid w:val="1C032DB0"/>
    <w:rsid w:val="1C79679F"/>
    <w:rsid w:val="1CA02B7A"/>
    <w:rsid w:val="1CCF5863"/>
    <w:rsid w:val="1D1E554A"/>
    <w:rsid w:val="1D6152DA"/>
    <w:rsid w:val="1D660B43"/>
    <w:rsid w:val="1DD97A28"/>
    <w:rsid w:val="1DEF6D8A"/>
    <w:rsid w:val="1E0F2F88"/>
    <w:rsid w:val="1E605592"/>
    <w:rsid w:val="1EA44B67"/>
    <w:rsid w:val="1EEA1803"/>
    <w:rsid w:val="1F073C5F"/>
    <w:rsid w:val="1F6D77C8"/>
    <w:rsid w:val="1FDD79D6"/>
    <w:rsid w:val="1FE65298"/>
    <w:rsid w:val="20281085"/>
    <w:rsid w:val="20CA13E8"/>
    <w:rsid w:val="2108193B"/>
    <w:rsid w:val="212D138F"/>
    <w:rsid w:val="214F2A76"/>
    <w:rsid w:val="21845B56"/>
    <w:rsid w:val="21920A05"/>
    <w:rsid w:val="21933EEF"/>
    <w:rsid w:val="21B04A82"/>
    <w:rsid w:val="22394A78"/>
    <w:rsid w:val="22BF31CF"/>
    <w:rsid w:val="231C32E1"/>
    <w:rsid w:val="23D35A11"/>
    <w:rsid w:val="240B5FA0"/>
    <w:rsid w:val="24370568"/>
    <w:rsid w:val="24414A2E"/>
    <w:rsid w:val="24973CD7"/>
    <w:rsid w:val="24AB32DF"/>
    <w:rsid w:val="24DB07AE"/>
    <w:rsid w:val="24FD7FDE"/>
    <w:rsid w:val="251175E6"/>
    <w:rsid w:val="252523ED"/>
    <w:rsid w:val="255823FA"/>
    <w:rsid w:val="255F4856"/>
    <w:rsid w:val="263C7598"/>
    <w:rsid w:val="267A740D"/>
    <w:rsid w:val="26C2328E"/>
    <w:rsid w:val="26FD34E7"/>
    <w:rsid w:val="27464925"/>
    <w:rsid w:val="278422F1"/>
    <w:rsid w:val="27E47572"/>
    <w:rsid w:val="28013F40"/>
    <w:rsid w:val="28177609"/>
    <w:rsid w:val="28184A3E"/>
    <w:rsid w:val="281E32E7"/>
    <w:rsid w:val="28445183"/>
    <w:rsid w:val="28577A06"/>
    <w:rsid w:val="28CB3F50"/>
    <w:rsid w:val="290C1C1E"/>
    <w:rsid w:val="297C26C7"/>
    <w:rsid w:val="29DB4666"/>
    <w:rsid w:val="29F10276"/>
    <w:rsid w:val="29F85218"/>
    <w:rsid w:val="29F920D7"/>
    <w:rsid w:val="2A555D7F"/>
    <w:rsid w:val="2A637492"/>
    <w:rsid w:val="2ABC6246"/>
    <w:rsid w:val="2AD832CD"/>
    <w:rsid w:val="2AE952CD"/>
    <w:rsid w:val="2AFC6642"/>
    <w:rsid w:val="2B6F28F5"/>
    <w:rsid w:val="2B717EF1"/>
    <w:rsid w:val="2C544356"/>
    <w:rsid w:val="2C835CA7"/>
    <w:rsid w:val="2C893EB1"/>
    <w:rsid w:val="2C8E7465"/>
    <w:rsid w:val="2CB9711D"/>
    <w:rsid w:val="2D0F11D9"/>
    <w:rsid w:val="2D3B5B48"/>
    <w:rsid w:val="2D55491E"/>
    <w:rsid w:val="2DAF2092"/>
    <w:rsid w:val="2DC05B9A"/>
    <w:rsid w:val="2DC73810"/>
    <w:rsid w:val="2E077529"/>
    <w:rsid w:val="2ED22E7F"/>
    <w:rsid w:val="2F3C5BA7"/>
    <w:rsid w:val="2F452B61"/>
    <w:rsid w:val="2FDA11F4"/>
    <w:rsid w:val="300761B5"/>
    <w:rsid w:val="30C77CE5"/>
    <w:rsid w:val="30D75B88"/>
    <w:rsid w:val="315A23E4"/>
    <w:rsid w:val="318178A1"/>
    <w:rsid w:val="32B3548A"/>
    <w:rsid w:val="32E20814"/>
    <w:rsid w:val="332F7F28"/>
    <w:rsid w:val="33AA6EA7"/>
    <w:rsid w:val="342C61EA"/>
    <w:rsid w:val="34C75F13"/>
    <w:rsid w:val="34CD1290"/>
    <w:rsid w:val="34D33C65"/>
    <w:rsid w:val="34D4293B"/>
    <w:rsid w:val="34FE2649"/>
    <w:rsid w:val="35101668"/>
    <w:rsid w:val="351B09A1"/>
    <w:rsid w:val="354632DC"/>
    <w:rsid w:val="35AF0E81"/>
    <w:rsid w:val="35DE4F44"/>
    <w:rsid w:val="35FE75F8"/>
    <w:rsid w:val="360A255B"/>
    <w:rsid w:val="361433DA"/>
    <w:rsid w:val="3618279F"/>
    <w:rsid w:val="3619454C"/>
    <w:rsid w:val="363964A4"/>
    <w:rsid w:val="365437D6"/>
    <w:rsid w:val="36860212"/>
    <w:rsid w:val="36881635"/>
    <w:rsid w:val="36FA25D0"/>
    <w:rsid w:val="37D36241"/>
    <w:rsid w:val="37DC3A83"/>
    <w:rsid w:val="381F654E"/>
    <w:rsid w:val="38361D6B"/>
    <w:rsid w:val="38433B03"/>
    <w:rsid w:val="38455ACD"/>
    <w:rsid w:val="38623E4E"/>
    <w:rsid w:val="386C546E"/>
    <w:rsid w:val="38936487"/>
    <w:rsid w:val="390B5FA7"/>
    <w:rsid w:val="390F7E89"/>
    <w:rsid w:val="391928CD"/>
    <w:rsid w:val="395D29A2"/>
    <w:rsid w:val="39F01A68"/>
    <w:rsid w:val="3A905C8A"/>
    <w:rsid w:val="3AC649C3"/>
    <w:rsid w:val="3B450CE0"/>
    <w:rsid w:val="3B457260"/>
    <w:rsid w:val="3B81506E"/>
    <w:rsid w:val="3C3C2D43"/>
    <w:rsid w:val="3C4A20B8"/>
    <w:rsid w:val="3C7F0E81"/>
    <w:rsid w:val="3CB1017B"/>
    <w:rsid w:val="3CC05722"/>
    <w:rsid w:val="3CCA47F2"/>
    <w:rsid w:val="3CDC62D4"/>
    <w:rsid w:val="3D3A4A98"/>
    <w:rsid w:val="3D7B2FB8"/>
    <w:rsid w:val="3DB82EC7"/>
    <w:rsid w:val="3E0166B6"/>
    <w:rsid w:val="3E1B5DFB"/>
    <w:rsid w:val="3E762CD2"/>
    <w:rsid w:val="3E933797"/>
    <w:rsid w:val="3E99447C"/>
    <w:rsid w:val="3EB966B0"/>
    <w:rsid w:val="3EFD5386"/>
    <w:rsid w:val="403251B9"/>
    <w:rsid w:val="405A7C3B"/>
    <w:rsid w:val="407C36F3"/>
    <w:rsid w:val="40A26565"/>
    <w:rsid w:val="40B57568"/>
    <w:rsid w:val="410D73A4"/>
    <w:rsid w:val="41BB0510"/>
    <w:rsid w:val="41C23CEA"/>
    <w:rsid w:val="41D45489"/>
    <w:rsid w:val="41DD5931"/>
    <w:rsid w:val="423D15C3"/>
    <w:rsid w:val="425C413F"/>
    <w:rsid w:val="426024C3"/>
    <w:rsid w:val="42D31134"/>
    <w:rsid w:val="42D53EF1"/>
    <w:rsid w:val="43601AA7"/>
    <w:rsid w:val="43CA7F23"/>
    <w:rsid w:val="43CB5548"/>
    <w:rsid w:val="446948F1"/>
    <w:rsid w:val="447119F7"/>
    <w:rsid w:val="44CB1108"/>
    <w:rsid w:val="4554734F"/>
    <w:rsid w:val="46116AA6"/>
    <w:rsid w:val="46135147"/>
    <w:rsid w:val="461E795D"/>
    <w:rsid w:val="46CD058C"/>
    <w:rsid w:val="46D12EDF"/>
    <w:rsid w:val="46E119B8"/>
    <w:rsid w:val="47040901"/>
    <w:rsid w:val="47320EEB"/>
    <w:rsid w:val="47925F0D"/>
    <w:rsid w:val="480212E4"/>
    <w:rsid w:val="485338EE"/>
    <w:rsid w:val="48703555"/>
    <w:rsid w:val="48843147"/>
    <w:rsid w:val="48945CB4"/>
    <w:rsid w:val="48F21359"/>
    <w:rsid w:val="4913307D"/>
    <w:rsid w:val="4A1C2405"/>
    <w:rsid w:val="4A227A1C"/>
    <w:rsid w:val="4A89713F"/>
    <w:rsid w:val="4A9D0617"/>
    <w:rsid w:val="4ADD5EA4"/>
    <w:rsid w:val="4AF225DA"/>
    <w:rsid w:val="4AF40C8C"/>
    <w:rsid w:val="4B4E6524"/>
    <w:rsid w:val="4C0249A2"/>
    <w:rsid w:val="4C436020"/>
    <w:rsid w:val="4CA03FAD"/>
    <w:rsid w:val="4CD572C9"/>
    <w:rsid w:val="4CE372EB"/>
    <w:rsid w:val="4D557329"/>
    <w:rsid w:val="4D7464AC"/>
    <w:rsid w:val="4D9F3131"/>
    <w:rsid w:val="4DE13DC5"/>
    <w:rsid w:val="4E1219B7"/>
    <w:rsid w:val="4E876FAA"/>
    <w:rsid w:val="4EB26E94"/>
    <w:rsid w:val="4F0C5136"/>
    <w:rsid w:val="4F1162B1"/>
    <w:rsid w:val="4F742B61"/>
    <w:rsid w:val="4F9C201E"/>
    <w:rsid w:val="4FBC0CAB"/>
    <w:rsid w:val="504D156B"/>
    <w:rsid w:val="50A8054F"/>
    <w:rsid w:val="51204589"/>
    <w:rsid w:val="514C2F81"/>
    <w:rsid w:val="514F30C0"/>
    <w:rsid w:val="51752B27"/>
    <w:rsid w:val="520F4F62"/>
    <w:rsid w:val="521560B8"/>
    <w:rsid w:val="521B663F"/>
    <w:rsid w:val="52416547"/>
    <w:rsid w:val="52554706"/>
    <w:rsid w:val="52CD6993"/>
    <w:rsid w:val="52D675F5"/>
    <w:rsid w:val="52EF6909"/>
    <w:rsid w:val="52F57E63"/>
    <w:rsid w:val="53435031"/>
    <w:rsid w:val="538232D9"/>
    <w:rsid w:val="53D61877"/>
    <w:rsid w:val="545B74F3"/>
    <w:rsid w:val="547277F2"/>
    <w:rsid w:val="54C34B77"/>
    <w:rsid w:val="54D20290"/>
    <w:rsid w:val="54DC4C6B"/>
    <w:rsid w:val="553046B3"/>
    <w:rsid w:val="5544749C"/>
    <w:rsid w:val="55A46A35"/>
    <w:rsid w:val="55BD4A9D"/>
    <w:rsid w:val="55D424B9"/>
    <w:rsid w:val="55E22755"/>
    <w:rsid w:val="56B51C18"/>
    <w:rsid w:val="56D976B4"/>
    <w:rsid w:val="56F00C75"/>
    <w:rsid w:val="570375C9"/>
    <w:rsid w:val="574B0E81"/>
    <w:rsid w:val="57822BDF"/>
    <w:rsid w:val="57E02CC4"/>
    <w:rsid w:val="57E12556"/>
    <w:rsid w:val="57ED3365"/>
    <w:rsid w:val="589F2192"/>
    <w:rsid w:val="58CF2B6C"/>
    <w:rsid w:val="593A2C41"/>
    <w:rsid w:val="59765995"/>
    <w:rsid w:val="59967ADE"/>
    <w:rsid w:val="59C15A6E"/>
    <w:rsid w:val="5A4F1B6F"/>
    <w:rsid w:val="5ABC74C1"/>
    <w:rsid w:val="5AE0194F"/>
    <w:rsid w:val="5B370E4D"/>
    <w:rsid w:val="5B4A6DD2"/>
    <w:rsid w:val="5B8F0C89"/>
    <w:rsid w:val="5BA123F5"/>
    <w:rsid w:val="5BA74539"/>
    <w:rsid w:val="5C294BC7"/>
    <w:rsid w:val="5C974299"/>
    <w:rsid w:val="5CC606DB"/>
    <w:rsid w:val="5CD32DF8"/>
    <w:rsid w:val="5CDD2694"/>
    <w:rsid w:val="5CE96177"/>
    <w:rsid w:val="5CEB0141"/>
    <w:rsid w:val="5CF104E7"/>
    <w:rsid w:val="5CFF3025"/>
    <w:rsid w:val="5D30024A"/>
    <w:rsid w:val="5D323001"/>
    <w:rsid w:val="5D8A5BAC"/>
    <w:rsid w:val="5DA500AE"/>
    <w:rsid w:val="5E21648D"/>
    <w:rsid w:val="5E457D25"/>
    <w:rsid w:val="5E736640"/>
    <w:rsid w:val="5ED52E57"/>
    <w:rsid w:val="60B84923"/>
    <w:rsid w:val="60E73D51"/>
    <w:rsid w:val="61243C22"/>
    <w:rsid w:val="616766C4"/>
    <w:rsid w:val="61C87004"/>
    <w:rsid w:val="61CA3F4E"/>
    <w:rsid w:val="61E07D47"/>
    <w:rsid w:val="622668B9"/>
    <w:rsid w:val="62600B75"/>
    <w:rsid w:val="62724E61"/>
    <w:rsid w:val="627B1F67"/>
    <w:rsid w:val="627C69DA"/>
    <w:rsid w:val="629765D4"/>
    <w:rsid w:val="62EF64B1"/>
    <w:rsid w:val="635A392B"/>
    <w:rsid w:val="63C139AA"/>
    <w:rsid w:val="63D17EA6"/>
    <w:rsid w:val="63D40E32"/>
    <w:rsid w:val="64AF59D8"/>
    <w:rsid w:val="64C179D9"/>
    <w:rsid w:val="651D23BE"/>
    <w:rsid w:val="6531690D"/>
    <w:rsid w:val="65950CDA"/>
    <w:rsid w:val="65BE38B8"/>
    <w:rsid w:val="65F77EF2"/>
    <w:rsid w:val="661600DA"/>
    <w:rsid w:val="664E3D65"/>
    <w:rsid w:val="6683763C"/>
    <w:rsid w:val="67610CEF"/>
    <w:rsid w:val="67BD39A4"/>
    <w:rsid w:val="67FA56DC"/>
    <w:rsid w:val="67FD30C3"/>
    <w:rsid w:val="68257787"/>
    <w:rsid w:val="68355DEF"/>
    <w:rsid w:val="68B43ADD"/>
    <w:rsid w:val="696F7D1E"/>
    <w:rsid w:val="69AB1384"/>
    <w:rsid w:val="69DB27B6"/>
    <w:rsid w:val="6A1D1C45"/>
    <w:rsid w:val="6A8676FB"/>
    <w:rsid w:val="6AB623DF"/>
    <w:rsid w:val="6AB778B5"/>
    <w:rsid w:val="6AC26D6A"/>
    <w:rsid w:val="6B2B4BE8"/>
    <w:rsid w:val="6B613E16"/>
    <w:rsid w:val="6BB13803"/>
    <w:rsid w:val="6BE20961"/>
    <w:rsid w:val="6C270246"/>
    <w:rsid w:val="6C297E42"/>
    <w:rsid w:val="6C2F3E68"/>
    <w:rsid w:val="6C4E5018"/>
    <w:rsid w:val="6C896610"/>
    <w:rsid w:val="6CCB7647"/>
    <w:rsid w:val="6CE32BE3"/>
    <w:rsid w:val="6D1C1338"/>
    <w:rsid w:val="6D45564C"/>
    <w:rsid w:val="6DA305C4"/>
    <w:rsid w:val="6DCE3893"/>
    <w:rsid w:val="6E0A3C78"/>
    <w:rsid w:val="6E620A4D"/>
    <w:rsid w:val="6E8D72AA"/>
    <w:rsid w:val="6ECC3C23"/>
    <w:rsid w:val="6EEB24E1"/>
    <w:rsid w:val="6F104573"/>
    <w:rsid w:val="6F5A2CDB"/>
    <w:rsid w:val="6F651FD5"/>
    <w:rsid w:val="6F654816"/>
    <w:rsid w:val="6FA81EC2"/>
    <w:rsid w:val="70302799"/>
    <w:rsid w:val="706A7177"/>
    <w:rsid w:val="7086453D"/>
    <w:rsid w:val="709E4A5F"/>
    <w:rsid w:val="71076500"/>
    <w:rsid w:val="71374018"/>
    <w:rsid w:val="714125CE"/>
    <w:rsid w:val="71436E30"/>
    <w:rsid w:val="715776FB"/>
    <w:rsid w:val="72247F25"/>
    <w:rsid w:val="72750781"/>
    <w:rsid w:val="727D24DE"/>
    <w:rsid w:val="73296FF5"/>
    <w:rsid w:val="741B7031"/>
    <w:rsid w:val="745B519B"/>
    <w:rsid w:val="74BD01BD"/>
    <w:rsid w:val="75036E13"/>
    <w:rsid w:val="75497CA3"/>
    <w:rsid w:val="754B1461"/>
    <w:rsid w:val="755521A4"/>
    <w:rsid w:val="755D1930"/>
    <w:rsid w:val="756920F3"/>
    <w:rsid w:val="75BA6AC0"/>
    <w:rsid w:val="75E0390F"/>
    <w:rsid w:val="760650F7"/>
    <w:rsid w:val="760F102B"/>
    <w:rsid w:val="770976EA"/>
    <w:rsid w:val="77C81353"/>
    <w:rsid w:val="77DE1DFB"/>
    <w:rsid w:val="783A5FA7"/>
    <w:rsid w:val="78C338C8"/>
    <w:rsid w:val="78C75C05"/>
    <w:rsid w:val="78EA52F9"/>
    <w:rsid w:val="79110AD8"/>
    <w:rsid w:val="792026C4"/>
    <w:rsid w:val="7956473D"/>
    <w:rsid w:val="7A00067C"/>
    <w:rsid w:val="7A0841EB"/>
    <w:rsid w:val="7AD9053F"/>
    <w:rsid w:val="7AFB1A3F"/>
    <w:rsid w:val="7B445194"/>
    <w:rsid w:val="7B5829EE"/>
    <w:rsid w:val="7B793BE4"/>
    <w:rsid w:val="7C00793A"/>
    <w:rsid w:val="7CEA58C8"/>
    <w:rsid w:val="7D20578D"/>
    <w:rsid w:val="7DD23AE3"/>
    <w:rsid w:val="7E7F616F"/>
    <w:rsid w:val="7EA63A70"/>
    <w:rsid w:val="7F2D4191"/>
    <w:rsid w:val="7F3A0DE1"/>
    <w:rsid w:val="7F443DB4"/>
    <w:rsid w:val="7F4F4108"/>
    <w:rsid w:val="7F5E678C"/>
    <w:rsid w:val="7F761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outlineLvl w:val="0"/>
    </w:pPr>
    <w:rPr>
      <w:rFonts w:ascii="宋体"/>
      <w:sz w:val="28"/>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rPr>
      <w:rFonts w:ascii="Calibri" w:hAnsi="Calibri"/>
      <w:kern w:val="0"/>
      <w:sz w:val="20"/>
    </w:rPr>
  </w:style>
  <w:style w:type="paragraph" w:styleId="5">
    <w:name w:val="Body Text"/>
    <w:basedOn w:val="1"/>
    <w:semiHidden/>
    <w:unhideWhenUsed/>
    <w:qFormat/>
    <w:uiPriority w:val="99"/>
    <w:pPr>
      <w:spacing w:after="120"/>
    </w:pPr>
  </w:style>
  <w:style w:type="paragraph" w:styleId="6">
    <w:name w:val="footer"/>
    <w:basedOn w:val="1"/>
    <w:semiHidden/>
    <w:unhideWhenUsed/>
    <w:qFormat/>
    <w:uiPriority w:val="99"/>
    <w:pPr>
      <w:tabs>
        <w:tab w:val="center" w:pos="4153"/>
        <w:tab w:val="right" w:pos="8306"/>
      </w:tabs>
      <w:snapToGrid w:val="0"/>
      <w:spacing w:line="240" w:lineRule="auto"/>
      <w:jc w:val="left"/>
    </w:pPr>
    <w:rPr>
      <w:sz w:val="18"/>
      <w:szCs w:val="18"/>
    </w:rPr>
  </w:style>
  <w:style w:type="paragraph" w:styleId="7">
    <w:name w:val="Body Text 2"/>
    <w:basedOn w:val="1"/>
    <w:qFormat/>
    <w:uiPriority w:val="0"/>
    <w:pPr>
      <w:spacing w:after="120" w:line="480" w:lineRule="auto"/>
    </w:pPr>
  </w:style>
  <w:style w:type="paragraph" w:styleId="8">
    <w:name w:val="Normal (Web)"/>
    <w:basedOn w:val="1"/>
    <w:unhideWhenUsed/>
    <w:qFormat/>
    <w:uiPriority w:val="0"/>
    <w:pPr>
      <w:widowControl/>
      <w:spacing w:before="100" w:beforeAutospacing="1" w:after="100" w:afterAutospacing="1"/>
      <w:jc w:val="left"/>
    </w:pPr>
    <w:rPr>
      <w:rFonts w:ascii="宋体" w:hAnsi="宋体" w:cs="宋体"/>
      <w:color w:val="000000"/>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u w:val="single"/>
    </w:rPr>
  </w:style>
  <w:style w:type="paragraph" w:customStyle="1" w:styleId="1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4">
    <w:name w:val="List Paragraph"/>
    <w:basedOn w:val="1"/>
    <w:qFormat/>
    <w:uiPriority w:val="0"/>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5295</Words>
  <Characters>5406</Characters>
  <Lines>69</Lines>
  <Paragraphs>19</Paragraphs>
  <TotalTime>6</TotalTime>
  <ScaleCrop>false</ScaleCrop>
  <LinksUpToDate>false</LinksUpToDate>
  <CharactersWithSpaces>5415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2023-04-13T06:25:00Z</dcterms:created>
  <dc:creator>医视界-彭剑雄13811277202</dc:creator>
  <cp:lastModifiedBy>death walking</cp:lastModifiedBy>
  <dcterms:modified xsi:type="dcterms:W3CDTF">2025-02-28T07:55:23Z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7C23627CD9E548E9B137985DCFE153FC_13</vt:lpwstr>
  </property>
  <property fmtid="{D5CDD505-2E9C-101B-9397-08002B2CF9AE}" pid="4" name="KSOTemplateDocerSaveRecord">
    <vt:lpwstr>eyJoZGlkIjoiMmRhZTRlZmE1OTMwMjNjZmY1ZTU2MzA4MzcxYjNiZTEiLCJ1c2VySWQiOiIyODk0NjU4MDkifQ==</vt:lpwstr>
  </property>
</Properties>
</file>