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DADE53">
      <w:pPr>
        <w:pStyle w:val="6"/>
        <w:rPr>
          <w:rFonts w:hint="eastAsia" w:ascii="宋体" w:hAnsi="宋体"/>
          <w:sz w:val="36"/>
        </w:rPr>
      </w:pPr>
      <w:bookmarkStart w:id="0" w:name="_Toc38367762"/>
      <w:r>
        <w:rPr>
          <w:rFonts w:hint="eastAsia" w:ascii="宋体" w:hAnsi="宋体"/>
          <w:sz w:val="36"/>
        </w:rPr>
        <w:t>【A</w:t>
      </w:r>
      <w:r>
        <w:rPr>
          <w:rFonts w:ascii="宋体" w:hAnsi="宋体"/>
          <w:sz w:val="36"/>
        </w:rPr>
        <w:t>I</w:t>
      </w:r>
      <w:r>
        <w:rPr>
          <w:rFonts w:hint="eastAsia" w:ascii="宋体" w:hAnsi="宋体"/>
          <w:sz w:val="36"/>
        </w:rPr>
        <w:t>教学支撑平台】</w:t>
      </w:r>
      <w:r>
        <w:rPr>
          <w:rFonts w:ascii="宋体" w:hAnsi="宋体"/>
          <w:sz w:val="36"/>
        </w:rPr>
        <w:t>采购需求</w:t>
      </w:r>
      <w:bookmarkEnd w:id="0"/>
    </w:p>
    <w:p w14:paraId="2A86DE93">
      <w:pPr>
        <w:tabs>
          <w:tab w:val="left" w:pos="900"/>
        </w:tabs>
        <w:spacing w:before="156" w:beforeLines="50" w:line="360" w:lineRule="auto"/>
        <w:rPr>
          <w:b/>
          <w:szCs w:val="21"/>
        </w:rPr>
      </w:pPr>
      <w:bookmarkStart w:id="1" w:name="_Toc219271393"/>
      <w:bookmarkStart w:id="2" w:name="_Toc158978330"/>
      <w:bookmarkStart w:id="3" w:name="_Toc172360661"/>
      <w:r>
        <w:rPr>
          <w:rFonts w:hint="eastAsia" w:hAnsi="宋体"/>
          <w:b/>
          <w:szCs w:val="21"/>
        </w:rPr>
        <w:t>一、</w:t>
      </w:r>
      <w:r>
        <w:rPr>
          <w:rFonts w:hAnsi="宋体"/>
          <w:b/>
          <w:szCs w:val="21"/>
        </w:rPr>
        <w:t>采购</w:t>
      </w:r>
      <w:r>
        <w:rPr>
          <w:rFonts w:hint="eastAsia" w:hAnsi="宋体"/>
          <w:b/>
          <w:szCs w:val="21"/>
        </w:rPr>
        <w:t>标的</w:t>
      </w:r>
      <w:r>
        <w:rPr>
          <w:rFonts w:hAnsi="宋体"/>
          <w:b/>
          <w:szCs w:val="21"/>
        </w:rPr>
        <w:t>需实现的功能或者目标，以及为落实政府采购政策需满足的要求：</w:t>
      </w:r>
    </w:p>
    <w:p w14:paraId="131582F9">
      <w:pPr>
        <w:tabs>
          <w:tab w:val="left" w:pos="900"/>
        </w:tabs>
        <w:spacing w:before="156" w:beforeLines="50" w:line="360" w:lineRule="auto"/>
        <w:rPr>
          <w:b/>
          <w:szCs w:val="21"/>
        </w:rPr>
      </w:pPr>
      <w:r>
        <w:rPr>
          <w:rFonts w:hAnsi="宋体"/>
          <w:b/>
          <w:szCs w:val="21"/>
        </w:rPr>
        <w:t>（一）采购</w:t>
      </w:r>
      <w:r>
        <w:rPr>
          <w:rFonts w:hint="eastAsia" w:hAnsi="宋体"/>
          <w:b/>
          <w:szCs w:val="21"/>
        </w:rPr>
        <w:t>标的</w:t>
      </w:r>
      <w:r>
        <w:rPr>
          <w:rFonts w:hAnsi="宋体"/>
          <w:b/>
          <w:szCs w:val="21"/>
        </w:rPr>
        <w:t>需实现的功能或者目标</w:t>
      </w:r>
    </w:p>
    <w:p w14:paraId="3C64C038">
      <w:pPr>
        <w:spacing w:line="360" w:lineRule="auto"/>
        <w:ind w:firstLine="420" w:firstLineChars="200"/>
      </w:pPr>
      <w:r>
        <w:rPr>
          <w:rFonts w:hint="eastAsia"/>
        </w:rPr>
        <w:t>本项目采购AI教学支撑平台1套（购置2台AI教学支撑平台服务器、8块GPU以及AI教学调度软件），以动态资源分配的形式供AI实践教学使用。使得教学中涉及GPU的教学课内例题和课后习题得以完成，至少可以提供32人同时使用的AI上机环境。</w:t>
      </w:r>
    </w:p>
    <w:p w14:paraId="3B41B648">
      <w:pPr>
        <w:tabs>
          <w:tab w:val="left" w:pos="900"/>
        </w:tabs>
        <w:spacing w:before="156" w:beforeLines="50" w:line="360" w:lineRule="auto"/>
        <w:rPr>
          <w:b/>
          <w:szCs w:val="21"/>
        </w:rPr>
      </w:pPr>
      <w:r>
        <w:rPr>
          <w:rFonts w:hAnsi="宋体"/>
          <w:b/>
          <w:szCs w:val="21"/>
        </w:rPr>
        <w:t>（二）为落实政府采购政策需满足的要求</w:t>
      </w:r>
    </w:p>
    <w:p w14:paraId="62FACBBC">
      <w:pPr>
        <w:tabs>
          <w:tab w:val="left" w:pos="900"/>
        </w:tabs>
        <w:spacing w:line="360" w:lineRule="auto"/>
        <w:ind w:left="420"/>
        <w:rPr>
          <w:rFonts w:hint="eastAsia" w:hAnsi="宋体"/>
          <w:szCs w:val="21"/>
        </w:rPr>
      </w:pPr>
      <w:r>
        <w:rPr>
          <w:rFonts w:hint="eastAsia" w:hAnsi="宋体"/>
          <w:szCs w:val="24"/>
        </w:rPr>
        <w:t>1</w:t>
      </w:r>
      <w:r>
        <w:rPr>
          <w:rFonts w:hAnsi="宋体"/>
          <w:szCs w:val="24"/>
        </w:rPr>
        <w:t>.根据</w:t>
      </w:r>
      <w:r>
        <w:rPr>
          <w:rFonts w:hAnsi="宋体"/>
        </w:rPr>
        <w:t>《政府采购促进中小企业发展管理办法》</w:t>
      </w:r>
      <w:r>
        <w:rPr>
          <w:rFonts w:hint="eastAsia" w:hAnsi="宋体"/>
        </w:rPr>
        <w:t>（财库【2</w:t>
      </w:r>
      <w:r>
        <w:rPr>
          <w:rFonts w:hAnsi="宋体"/>
        </w:rPr>
        <w:t>020</w:t>
      </w:r>
      <w:r>
        <w:rPr>
          <w:rFonts w:hint="eastAsia" w:hAnsi="宋体"/>
        </w:rPr>
        <w:t>】4</w:t>
      </w:r>
      <w:r>
        <w:rPr>
          <w:rFonts w:hAnsi="宋体"/>
        </w:rPr>
        <w:t>6</w:t>
      </w:r>
      <w:r>
        <w:rPr>
          <w:rFonts w:hint="eastAsia" w:hAnsi="宋体"/>
        </w:rPr>
        <w:t>号）</w:t>
      </w:r>
      <w:r>
        <w:rPr>
          <w:rFonts w:hAnsi="宋体"/>
        </w:rPr>
        <w:t>规定，本项目</w:t>
      </w:r>
      <w:r>
        <w:rPr>
          <w:rFonts w:hint="eastAsia" w:hAnsi="宋体"/>
        </w:rPr>
        <w:t>采购标的</w:t>
      </w:r>
      <w:r>
        <w:rPr>
          <w:rFonts w:hAnsi="宋体"/>
        </w:rPr>
        <w:t>为</w:t>
      </w:r>
      <w:r>
        <w:rPr>
          <w:rFonts w:hint="eastAsia" w:hAnsi="宋体"/>
        </w:rPr>
        <w:t>中小</w:t>
      </w:r>
      <w:r>
        <w:rPr>
          <w:rFonts w:hAnsi="宋体"/>
        </w:rPr>
        <w:t>型企业</w:t>
      </w:r>
      <w:r>
        <w:rPr>
          <w:rFonts w:hint="eastAsia" w:hAnsi="宋体"/>
        </w:rPr>
        <w:t>制造、承建或承接</w:t>
      </w:r>
      <w:r>
        <w:rPr>
          <w:rFonts w:hAnsi="宋体"/>
          <w:szCs w:val="24"/>
        </w:rPr>
        <w:t>的，</w:t>
      </w:r>
      <w:r>
        <w:rPr>
          <w:rFonts w:hAnsi="宋体"/>
        </w:rPr>
        <w:t>投标人应</w:t>
      </w:r>
      <w:r>
        <w:rPr>
          <w:rFonts w:hint="eastAsia" w:hAnsi="宋体"/>
        </w:rPr>
        <w:t>提供办法规定的</w:t>
      </w:r>
      <w:r>
        <w:rPr>
          <w:rFonts w:hAnsi="宋体"/>
          <w:szCs w:val="21"/>
        </w:rPr>
        <w:t>《中小企业声明函》</w:t>
      </w:r>
      <w:r>
        <w:rPr>
          <w:rFonts w:hint="eastAsia" w:hAnsi="宋体"/>
          <w:szCs w:val="21"/>
        </w:rPr>
        <w:t>，否则不得享受相关中小企业扶持政策</w:t>
      </w:r>
      <w:r>
        <w:rPr>
          <w:rFonts w:hAnsi="宋体"/>
          <w:szCs w:val="24"/>
        </w:rPr>
        <w:t>。投标人应对提交的中小企业声明函的真实性负责，提交的中小企业声明函不真实的，应承担相应的法律责任</w:t>
      </w:r>
      <w:r>
        <w:rPr>
          <w:rFonts w:hAnsi="宋体"/>
          <w:szCs w:val="21"/>
        </w:rPr>
        <w:t>。</w:t>
      </w:r>
    </w:p>
    <w:p w14:paraId="4A66D47F">
      <w:pPr>
        <w:tabs>
          <w:tab w:val="left" w:pos="900"/>
        </w:tabs>
        <w:spacing w:line="360" w:lineRule="auto"/>
        <w:ind w:left="420"/>
        <w:rPr>
          <w:rFonts w:hint="eastAsia" w:hAnsi="宋体"/>
          <w:color w:val="FF0000"/>
          <w:szCs w:val="24"/>
        </w:rPr>
      </w:pPr>
      <w:r>
        <w:rPr>
          <w:rFonts w:hint="eastAsia" w:hAnsi="宋体"/>
          <w:szCs w:val="24"/>
        </w:rPr>
        <w:t>本项目采购标的对应的《中小企业划型标准规定》所属行业为：</w:t>
      </w:r>
      <w:r>
        <w:rPr>
          <w:rFonts w:hint="eastAsia" w:hAnsi="宋体"/>
          <w:szCs w:val="24"/>
          <w:u w:val="single"/>
        </w:rPr>
        <w:t xml:space="preserve"> 工业 </w:t>
      </w:r>
      <w:r>
        <w:rPr>
          <w:rFonts w:hint="eastAsia" w:hAnsi="宋体"/>
          <w:szCs w:val="24"/>
        </w:rPr>
        <w:t>。</w:t>
      </w:r>
    </w:p>
    <w:p w14:paraId="65F2E6DF">
      <w:pPr>
        <w:tabs>
          <w:tab w:val="left" w:pos="900"/>
        </w:tabs>
        <w:spacing w:line="360" w:lineRule="auto"/>
        <w:ind w:left="420"/>
        <w:rPr>
          <w:rFonts w:hint="eastAsia" w:cs="宋体" w:asciiTheme="minorEastAsia" w:hAnsiTheme="minorEastAsia"/>
          <w:b/>
          <w:color w:val="000000"/>
          <w:kern w:val="0"/>
          <w:sz w:val="20"/>
          <w:szCs w:val="21"/>
        </w:rPr>
      </w:pPr>
      <w:r>
        <w:rPr>
          <w:rFonts w:hint="eastAsia" w:hAnsi="宋体"/>
          <w:szCs w:val="24"/>
        </w:rPr>
        <w:t>2</w:t>
      </w:r>
      <w:r>
        <w:rPr>
          <w:rFonts w:hAnsi="宋体"/>
          <w:szCs w:val="24"/>
        </w:rPr>
        <w:t>.</w:t>
      </w:r>
      <w:r>
        <w:rPr>
          <w:rFonts w:hint="eastAsia" w:cs="宋体" w:asciiTheme="minorEastAsia" w:hAnsiTheme="minorEastAsia"/>
          <w:color w:val="000000"/>
          <w:kern w:val="0"/>
          <w:sz w:val="20"/>
          <w:szCs w:val="21"/>
        </w:rPr>
        <w:t xml:space="preserve"> </w:t>
      </w:r>
      <w:r>
        <w:rPr>
          <w:rFonts w:hint="eastAsia" w:cs="宋体" w:asciiTheme="minorEastAsia" w:hAnsiTheme="minorEastAsia"/>
          <w:b/>
          <w:color w:val="000000"/>
          <w:kern w:val="0"/>
          <w:sz w:val="20"/>
          <w:szCs w:val="21"/>
        </w:rPr>
        <w:t xml:space="preserve"> 本采购项目允许进口产品参加。</w:t>
      </w:r>
    </w:p>
    <w:p w14:paraId="328FF7F1">
      <w:pPr>
        <w:tabs>
          <w:tab w:val="left" w:pos="900"/>
        </w:tabs>
        <w:spacing w:line="360" w:lineRule="auto"/>
        <w:ind w:left="420" w:firstLine="201" w:firstLineChars="100"/>
        <w:rPr>
          <w:rFonts w:hint="eastAsia" w:cs="宋体" w:asciiTheme="minorEastAsia" w:hAnsiTheme="minorEastAsia"/>
          <w:b/>
          <w:color w:val="000000"/>
          <w:kern w:val="0"/>
          <w:sz w:val="20"/>
          <w:szCs w:val="21"/>
        </w:rPr>
      </w:pPr>
      <w:r>
        <w:rPr>
          <w:rFonts w:hint="eastAsia" w:cs="宋体" w:asciiTheme="minorEastAsia" w:hAnsiTheme="minorEastAsia"/>
          <w:b/>
          <w:color w:val="000000"/>
          <w:kern w:val="0"/>
          <w:sz w:val="20"/>
          <w:szCs w:val="21"/>
        </w:rPr>
        <w:t>（说明：请项目单位根据采购实际情况在“□”中打勾（</w:t>
      </w:r>
      <w:r>
        <w:rPr>
          <w:rFonts w:hint="eastAsia" w:cs="宋体" w:asciiTheme="minorEastAsia" w:hAnsiTheme="minorEastAsia"/>
          <w:b/>
          <w:color w:val="000000"/>
          <w:kern w:val="0"/>
          <w:sz w:val="24"/>
          <w:szCs w:val="24"/>
        </w:rPr>
        <w:sym w:font="Wingdings 2" w:char="F052"/>
      </w:r>
      <w:r>
        <w:rPr>
          <w:rFonts w:hint="eastAsia" w:cs="宋体" w:asciiTheme="minorEastAsia" w:hAnsiTheme="minorEastAsia"/>
          <w:b/>
          <w:color w:val="000000"/>
          <w:kern w:val="0"/>
          <w:sz w:val="24"/>
          <w:szCs w:val="24"/>
        </w:rPr>
        <w:t>）</w:t>
      </w:r>
      <w:r>
        <w:rPr>
          <w:rFonts w:hint="eastAsia" w:cs="宋体" w:asciiTheme="minorEastAsia" w:hAnsiTheme="minorEastAsia"/>
          <w:b/>
          <w:color w:val="000000"/>
          <w:kern w:val="0"/>
          <w:sz w:val="20"/>
          <w:szCs w:val="21"/>
        </w:rPr>
        <w:t>。未进行勾选的，视为只接受本国产品参加）</w:t>
      </w:r>
    </w:p>
    <w:p w14:paraId="0438CBEC">
      <w:pPr>
        <w:tabs>
          <w:tab w:val="left" w:pos="900"/>
        </w:tabs>
        <w:spacing w:before="156" w:beforeLines="50" w:line="360" w:lineRule="auto"/>
        <w:rPr>
          <w:rFonts w:hint="eastAsia" w:hAnsi="宋体"/>
          <w:b/>
          <w:szCs w:val="21"/>
        </w:rPr>
      </w:pPr>
      <w:r>
        <w:rPr>
          <w:rFonts w:hint="eastAsia" w:hAnsi="宋体"/>
          <w:b/>
          <w:szCs w:val="21"/>
        </w:rPr>
        <w:t>二、</w:t>
      </w:r>
      <w:r>
        <w:rPr>
          <w:rFonts w:hAnsi="宋体"/>
          <w:b/>
          <w:szCs w:val="21"/>
        </w:rPr>
        <w:t>采购</w:t>
      </w:r>
      <w:r>
        <w:rPr>
          <w:rFonts w:hint="eastAsia" w:hAnsi="宋体"/>
          <w:b/>
          <w:szCs w:val="21"/>
        </w:rPr>
        <w:t>标的</w:t>
      </w:r>
      <w:r>
        <w:rPr>
          <w:rFonts w:hAnsi="宋体"/>
          <w:b/>
          <w:szCs w:val="21"/>
        </w:rPr>
        <w:t>需执行的国家相关标准、行业标准、地方标准或者其他标准、规范：</w:t>
      </w:r>
    </w:p>
    <w:p w14:paraId="11F3BE3B">
      <w:pPr>
        <w:tabs>
          <w:tab w:val="left" w:pos="900"/>
        </w:tabs>
        <w:spacing w:before="156" w:beforeLines="50" w:line="360" w:lineRule="auto"/>
        <w:ind w:firstLine="420" w:firstLineChars="20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73419F83">
      <w:pPr>
        <w:tabs>
          <w:tab w:val="left" w:pos="900"/>
        </w:tabs>
        <w:spacing w:before="156" w:beforeLines="50" w:line="360" w:lineRule="auto"/>
        <w:rPr>
          <w:rFonts w:hint="eastAsia" w:hAnsi="宋体"/>
          <w:b/>
          <w:szCs w:val="21"/>
        </w:rPr>
      </w:pPr>
      <w:r>
        <w:rPr>
          <w:rFonts w:hint="eastAsia" w:hAnsi="宋体"/>
          <w:b/>
          <w:szCs w:val="21"/>
        </w:rPr>
        <w:t>三、采购标的概况</w:t>
      </w:r>
    </w:p>
    <w:p w14:paraId="72B8A39A">
      <w:pPr>
        <w:rPr>
          <w:rFonts w:hint="eastAsia" w:hAnsi="宋体"/>
          <w:szCs w:val="21"/>
        </w:rPr>
      </w:pPr>
      <w:r>
        <w:rPr>
          <w:rFonts w:hint="eastAsia" w:ascii="宋体" w:hAnsi="宋体"/>
          <w:szCs w:val="21"/>
        </w:rPr>
        <w:t>（一）采购项目名称：</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A</w:t>
      </w:r>
      <w:r>
        <w:rPr>
          <w:rFonts w:ascii="宋体" w:hAnsi="宋体"/>
          <w:szCs w:val="21"/>
          <w:u w:val="single"/>
        </w:rPr>
        <w:t>I</w:t>
      </w:r>
      <w:r>
        <w:rPr>
          <w:rFonts w:hint="eastAsia" w:ascii="宋体" w:hAnsi="宋体"/>
          <w:szCs w:val="21"/>
          <w:u w:val="single"/>
        </w:rPr>
        <w:t>教学支撑平台</w:t>
      </w:r>
      <w:r>
        <w:rPr>
          <w:rFonts w:ascii="宋体" w:hAnsi="宋体"/>
          <w:szCs w:val="21"/>
          <w:u w:val="single"/>
        </w:rPr>
        <w:t xml:space="preserve">  </w:t>
      </w:r>
      <w:r>
        <w:rPr>
          <w:rFonts w:hAnsi="宋体"/>
          <w:szCs w:val="21"/>
        </w:rPr>
        <w:t xml:space="preserve">   </w:t>
      </w:r>
    </w:p>
    <w:p w14:paraId="30694288">
      <w:pPr>
        <w:spacing w:before="156" w:beforeLines="50" w:line="360" w:lineRule="auto"/>
        <w:rPr>
          <w:rFonts w:hint="eastAsia" w:hAnsi="宋体"/>
          <w:szCs w:val="21"/>
          <w:u w:val="single"/>
        </w:rPr>
      </w:pPr>
      <w:r>
        <w:rPr>
          <w:rFonts w:hint="eastAsia" w:hAnsi="宋体"/>
          <w:szCs w:val="21"/>
        </w:rPr>
        <w:t>（二）采购数量及计量单位：</w:t>
      </w:r>
      <w:r>
        <w:rPr>
          <w:rFonts w:hAnsi="宋体"/>
          <w:szCs w:val="21"/>
          <w:u w:val="single"/>
        </w:rPr>
        <w:t xml:space="preserve"> </w:t>
      </w:r>
      <w:r>
        <w:rPr>
          <w:rFonts w:hint="eastAsia" w:hAnsi="宋体"/>
          <w:szCs w:val="21"/>
          <w:u w:val="single"/>
        </w:rPr>
        <w:t>1套</w:t>
      </w:r>
      <w:r>
        <w:rPr>
          <w:rFonts w:hAnsi="宋体"/>
          <w:szCs w:val="21"/>
          <w:u w:val="single"/>
        </w:rPr>
        <w:t xml:space="preserve">     </w:t>
      </w:r>
    </w:p>
    <w:p w14:paraId="512A3159">
      <w:pPr>
        <w:spacing w:before="156" w:beforeLines="50" w:line="360" w:lineRule="auto"/>
        <w:rPr>
          <w:rFonts w:hint="eastAsia" w:hAnsi="宋体"/>
          <w:szCs w:val="21"/>
        </w:rPr>
      </w:pPr>
      <w:r>
        <w:rPr>
          <w:rFonts w:hint="eastAsia" w:hAnsi="宋体"/>
          <w:szCs w:val="21"/>
        </w:rPr>
        <w:t>（三）最高限价：人民币</w:t>
      </w:r>
      <w:r>
        <w:rPr>
          <w:rFonts w:hint="eastAsia" w:hAnsi="宋体"/>
          <w:szCs w:val="21"/>
          <w:u w:val="single"/>
        </w:rPr>
        <w:t>584800.00</w:t>
      </w:r>
      <w:r>
        <w:rPr>
          <w:rFonts w:hAnsi="宋体"/>
          <w:szCs w:val="21"/>
          <w:u w:val="single"/>
        </w:rPr>
        <w:t xml:space="preserve">  </w:t>
      </w:r>
      <w:r>
        <w:rPr>
          <w:rFonts w:hAnsi="宋体"/>
          <w:szCs w:val="21"/>
        </w:rPr>
        <w:t xml:space="preserve"> </w:t>
      </w:r>
      <w:r>
        <w:rPr>
          <w:rFonts w:hint="eastAsia" w:hAnsi="宋体"/>
          <w:szCs w:val="21"/>
        </w:rPr>
        <w:t>元。</w:t>
      </w:r>
    </w:p>
    <w:p w14:paraId="5AB40A48">
      <w:pPr>
        <w:spacing w:before="156" w:beforeLines="50" w:line="360" w:lineRule="auto"/>
        <w:rPr>
          <w:szCs w:val="21"/>
        </w:rPr>
      </w:pPr>
      <w:r>
        <w:rPr>
          <w:rFonts w:hint="eastAsia" w:hAnsi="宋体"/>
          <w:szCs w:val="21"/>
        </w:rPr>
        <w:t>（四）</w:t>
      </w:r>
      <w:r>
        <w:rPr>
          <w:rFonts w:hAnsi="宋体"/>
          <w:szCs w:val="21"/>
        </w:rPr>
        <w:t>交付时间：</w:t>
      </w:r>
      <w:r>
        <w:rPr>
          <w:rFonts w:hAnsi="宋体"/>
        </w:rPr>
        <w:t>合同签订后</w:t>
      </w:r>
      <w:r>
        <w:rPr>
          <w:rFonts w:hAnsi="宋体"/>
          <w:u w:val="single"/>
        </w:rPr>
        <w:t xml:space="preserve">  </w:t>
      </w:r>
      <w:r>
        <w:rPr>
          <w:rFonts w:hint="eastAsia" w:hAnsi="宋体"/>
          <w:u w:val="single"/>
        </w:rPr>
        <w:t>10</w:t>
      </w:r>
      <w:r>
        <w:rPr>
          <w:rFonts w:hAnsi="宋体"/>
          <w:u w:val="single"/>
        </w:rPr>
        <w:t xml:space="preserve">  </w:t>
      </w:r>
      <w:r>
        <w:rPr>
          <w:rFonts w:hint="eastAsia" w:hAnsi="宋体"/>
        </w:rPr>
        <w:t>天内。</w:t>
      </w:r>
    </w:p>
    <w:p w14:paraId="47FB5C06">
      <w:pPr>
        <w:tabs>
          <w:tab w:val="left" w:pos="900"/>
        </w:tabs>
        <w:spacing w:before="156" w:beforeLines="50" w:line="360" w:lineRule="auto"/>
        <w:rPr>
          <w:rFonts w:hint="eastAsia" w:hAnsi="宋体"/>
          <w:szCs w:val="21"/>
        </w:rPr>
      </w:pPr>
      <w:r>
        <w:rPr>
          <w:rFonts w:hint="eastAsia" w:hAnsi="宋体"/>
          <w:szCs w:val="21"/>
        </w:rPr>
        <w:t>（五）</w:t>
      </w:r>
      <w:r>
        <w:rPr>
          <w:rFonts w:hAnsi="宋体"/>
          <w:szCs w:val="21"/>
        </w:rPr>
        <w:t>交付地点：</w:t>
      </w:r>
      <w:r>
        <w:rPr>
          <w:rFonts w:hint="eastAsia" w:hAnsi="宋体"/>
          <w:szCs w:val="21"/>
          <w:u w:val="single"/>
        </w:rPr>
        <w:t xml:space="preserve">  </w:t>
      </w:r>
      <w:r>
        <w:rPr>
          <w:rFonts w:hAnsi="宋体"/>
          <w:szCs w:val="21"/>
          <w:u w:val="single"/>
        </w:rPr>
        <w:t xml:space="preserve"> </w:t>
      </w:r>
      <w:r>
        <w:rPr>
          <w:rFonts w:hint="eastAsia" w:hAnsi="宋体"/>
          <w:szCs w:val="21"/>
          <w:u w:val="single"/>
        </w:rPr>
        <w:t>兴庆校区工程训练中心东5</w:t>
      </w:r>
      <w:r>
        <w:rPr>
          <w:rFonts w:hAnsi="宋体"/>
          <w:szCs w:val="21"/>
          <w:u w:val="single"/>
        </w:rPr>
        <w:t xml:space="preserve">02            </w:t>
      </w:r>
      <w:r>
        <w:rPr>
          <w:rFonts w:hint="eastAsia" w:hAnsi="宋体"/>
          <w:szCs w:val="21"/>
        </w:rPr>
        <w:t>。</w:t>
      </w:r>
    </w:p>
    <w:p w14:paraId="1106334A">
      <w:pPr>
        <w:tabs>
          <w:tab w:val="left" w:pos="900"/>
        </w:tabs>
        <w:spacing w:before="156" w:beforeLines="50" w:line="360" w:lineRule="auto"/>
        <w:rPr>
          <w:rFonts w:hint="eastAsia" w:hAnsi="宋体"/>
          <w:szCs w:val="21"/>
        </w:rPr>
      </w:pPr>
      <w:r>
        <w:rPr>
          <w:rFonts w:hint="eastAsia" w:hAnsi="宋体"/>
          <w:szCs w:val="21"/>
        </w:rPr>
        <w:t>（六）付款进度安排：</w:t>
      </w:r>
      <w:r>
        <w:rPr>
          <w:rFonts w:hint="eastAsia" w:hAnsi="宋体"/>
          <w:szCs w:val="21"/>
          <w:u w:val="single"/>
        </w:rPr>
        <w:t xml:space="preserve">  </w:t>
      </w:r>
      <w:r>
        <w:rPr>
          <w:rFonts w:hAnsi="宋体"/>
          <w:szCs w:val="21"/>
          <w:u w:val="single"/>
        </w:rPr>
        <w:t xml:space="preserve"> </w:t>
      </w:r>
      <w:r>
        <w:rPr>
          <w:rFonts w:hint="eastAsia" w:hAnsi="宋体"/>
          <w:szCs w:val="21"/>
          <w:u w:val="single"/>
        </w:rPr>
        <w:t>货到验收合格后付款</w:t>
      </w:r>
      <w:r>
        <w:rPr>
          <w:rFonts w:hAnsi="宋体"/>
          <w:szCs w:val="21"/>
          <w:u w:val="single"/>
        </w:rPr>
        <w:t xml:space="preserve">         </w:t>
      </w:r>
      <w:r>
        <w:rPr>
          <w:rFonts w:hint="eastAsia" w:hAnsi="宋体"/>
          <w:szCs w:val="21"/>
        </w:rPr>
        <w:t>。</w:t>
      </w:r>
    </w:p>
    <w:p w14:paraId="26DF7F80">
      <w:pPr>
        <w:tabs>
          <w:tab w:val="left" w:pos="900"/>
        </w:tabs>
        <w:spacing w:before="156" w:beforeLines="50" w:line="360" w:lineRule="auto"/>
        <w:rPr>
          <w:rFonts w:hint="eastAsia" w:hAnsi="宋体"/>
          <w:b/>
          <w:szCs w:val="21"/>
        </w:rPr>
      </w:pPr>
      <w:r>
        <w:rPr>
          <w:rFonts w:hint="eastAsia" w:hAnsi="宋体"/>
          <w:b/>
          <w:szCs w:val="21"/>
        </w:rPr>
        <w:t>四、采购标的需满足的质量、安全、技术规格、物理特性等要求：</w:t>
      </w:r>
    </w:p>
    <w:p w14:paraId="1C9B2C50">
      <w:pPr>
        <w:spacing w:line="360" w:lineRule="auto"/>
        <w:rPr>
          <w:rFonts w:hint="eastAsia" w:asciiTheme="minorEastAsia" w:hAnsiTheme="minorEastAsia" w:eastAsiaTheme="minorEastAsia"/>
          <w:szCs w:val="21"/>
        </w:rPr>
      </w:pPr>
      <w:r>
        <w:rPr>
          <w:rFonts w:asciiTheme="minorEastAsia" w:hAnsiTheme="minorEastAsia" w:eastAsiaTheme="minorEastAsia"/>
          <w:szCs w:val="21"/>
        </w:rPr>
        <w:tab/>
      </w:r>
      <w:r>
        <w:rPr>
          <w:rFonts w:hint="eastAsia" w:asciiTheme="minorEastAsia" w:hAnsiTheme="minorEastAsia" w:eastAsiaTheme="minorEastAsia"/>
          <w:szCs w:val="21"/>
        </w:rPr>
        <w:t>本次采购A</w:t>
      </w:r>
      <w:r>
        <w:rPr>
          <w:rFonts w:asciiTheme="minorEastAsia" w:hAnsiTheme="minorEastAsia" w:eastAsiaTheme="minorEastAsia"/>
          <w:szCs w:val="21"/>
        </w:rPr>
        <w:t>I</w:t>
      </w:r>
      <w:r>
        <w:rPr>
          <w:rFonts w:hint="eastAsia" w:asciiTheme="minorEastAsia" w:hAnsiTheme="minorEastAsia" w:eastAsiaTheme="minorEastAsia"/>
          <w:szCs w:val="21"/>
        </w:rPr>
        <w:t>教学支撑平台1套，包含2台服务器和14张GPU卡，以及一套智算平台。平台用于本科生AI课程的教学，能满足一般的教学任务，支持32人同时使用。支持多语言，多框架结构等。支持教师的日常管理与维护，具有一定的可扩展性。</w:t>
      </w:r>
    </w:p>
    <w:p w14:paraId="5A347366">
      <w:pPr>
        <w:spacing w:line="360" w:lineRule="auto"/>
        <w:rPr>
          <w:rFonts w:hint="eastAsia" w:asciiTheme="minorEastAsia" w:hAnsiTheme="minorEastAsia" w:eastAsiaTheme="minorEastAsia"/>
          <w:bCs/>
          <w:szCs w:val="21"/>
        </w:rPr>
      </w:pPr>
      <w:r>
        <w:rPr>
          <w:rFonts w:hint="eastAsia" w:asciiTheme="minorEastAsia" w:hAnsiTheme="minorEastAsia" w:eastAsiaTheme="minorEastAsia"/>
          <w:b/>
          <w:bCs/>
          <w:szCs w:val="21"/>
        </w:rPr>
        <w:t xml:space="preserve">具体性能要求如下： </w:t>
      </w:r>
    </w:p>
    <w:p w14:paraId="77B388FC">
      <w:pPr>
        <w:spacing w:line="360" w:lineRule="auto"/>
        <w:ind w:left="420" w:leftChars="200"/>
        <w:rPr>
          <w:rFonts w:hint="eastAsia" w:asciiTheme="minorEastAsia" w:hAnsiTheme="minorEastAsia" w:eastAsiaTheme="minorEastAsia"/>
          <w:b/>
          <w:bCs/>
          <w:szCs w:val="21"/>
          <w:lang w:val="en-US" w:eastAsia="zh-CN"/>
        </w:rPr>
      </w:pPr>
      <w:r>
        <w:rPr>
          <w:rFonts w:hint="eastAsia" w:asciiTheme="minorEastAsia" w:hAnsiTheme="minorEastAsia" w:eastAsiaTheme="minorEastAsia"/>
          <w:b/>
          <w:bCs/>
          <w:szCs w:val="21"/>
        </w:rPr>
        <w:t>产品</w:t>
      </w:r>
      <w:r>
        <w:rPr>
          <w:rFonts w:asciiTheme="minorEastAsia" w:hAnsiTheme="minorEastAsia" w:eastAsiaTheme="minorEastAsia"/>
          <w:b/>
          <w:bCs/>
          <w:szCs w:val="21"/>
        </w:rPr>
        <w:t>1</w:t>
      </w:r>
      <w:r>
        <w:rPr>
          <w:rFonts w:hint="eastAsia" w:asciiTheme="minorEastAsia" w:hAnsiTheme="minorEastAsia" w:eastAsiaTheme="minorEastAsia"/>
          <w:b/>
          <w:bCs/>
          <w:szCs w:val="21"/>
        </w:rPr>
        <w:t>：AI教学支撑平台服务器</w:t>
      </w:r>
      <w:r>
        <w:rPr>
          <w:rFonts w:hint="eastAsia" w:asciiTheme="minorEastAsia" w:hAnsiTheme="minorEastAsia" w:eastAsiaTheme="minorEastAsia"/>
          <w:b/>
          <w:bCs/>
          <w:szCs w:val="21"/>
          <w:lang w:val="en-US" w:eastAsia="zh-CN"/>
        </w:rPr>
        <w:t>1</w:t>
      </w:r>
    </w:p>
    <w:p w14:paraId="17DEE231">
      <w:pPr>
        <w:spacing w:line="360" w:lineRule="auto"/>
        <w:ind w:left="420" w:leftChars="200"/>
        <w:rPr>
          <w:rFonts w:hint="eastAsia"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.1 4U机架式高性能异构计算服务器，双路</w:t>
      </w:r>
      <w:r>
        <w:rPr>
          <w:rFonts w:asciiTheme="minorEastAsia" w:hAnsiTheme="minorEastAsia" w:eastAsiaTheme="minorEastAsia"/>
          <w:szCs w:val="21"/>
        </w:rPr>
        <w:t>5</w:t>
      </w:r>
      <w:r>
        <w:rPr>
          <w:rFonts w:hint="eastAsia" w:asciiTheme="minorEastAsia" w:hAnsiTheme="minorEastAsia" w:eastAsiaTheme="minorEastAsia"/>
          <w:szCs w:val="21"/>
        </w:rPr>
        <w:t>th Gen Intel® Xeon® Scalable系列处理器</w:t>
      </w:r>
      <w:r>
        <w:rPr>
          <w:rFonts w:asciiTheme="minorEastAsia" w:hAnsiTheme="minorEastAsia" w:eastAsiaTheme="minorEastAsia"/>
          <w:szCs w:val="21"/>
        </w:rPr>
        <w:t>1</w:t>
      </w:r>
      <w:r>
        <w:rPr>
          <w:rFonts w:hint="eastAsia" w:asciiTheme="minorEastAsia" w:hAnsiTheme="minorEastAsia" w:eastAsiaTheme="minorEastAsia"/>
          <w:szCs w:val="21"/>
        </w:rPr>
        <w:t>台；</w:t>
      </w:r>
    </w:p>
    <w:p w14:paraId="632A129C">
      <w:pPr>
        <w:spacing w:line="360" w:lineRule="auto"/>
        <w:ind w:left="420" w:leftChars="200"/>
        <w:rPr>
          <w:rFonts w:hint="eastAsia"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.2 CPU: 双路</w:t>
      </w:r>
      <w:r>
        <w:rPr>
          <w:rFonts w:asciiTheme="minorEastAsia" w:hAnsiTheme="minorEastAsia" w:eastAsiaTheme="minorEastAsia"/>
          <w:szCs w:val="21"/>
        </w:rPr>
        <w:t>5</w:t>
      </w:r>
      <w:r>
        <w:rPr>
          <w:rFonts w:hint="eastAsia" w:asciiTheme="minorEastAsia" w:hAnsiTheme="minorEastAsia" w:eastAsiaTheme="minorEastAsia"/>
          <w:szCs w:val="21"/>
        </w:rPr>
        <w:t>th Gen Intel® Xeon® Scalable，单颗CPU 性能相当于或者不低于</w:t>
      </w:r>
      <w:r>
        <w:rPr>
          <w:rFonts w:asciiTheme="minorEastAsia" w:hAnsiTheme="minorEastAsia" w:eastAsiaTheme="minorEastAsia"/>
          <w:szCs w:val="21"/>
        </w:rPr>
        <w:t>32</w:t>
      </w:r>
      <w:r>
        <w:rPr>
          <w:rFonts w:hint="eastAsia" w:asciiTheme="minorEastAsia" w:hAnsiTheme="minorEastAsia" w:eastAsiaTheme="minorEastAsia"/>
          <w:szCs w:val="21"/>
        </w:rPr>
        <w:t>核 /</w:t>
      </w:r>
      <w:r>
        <w:rPr>
          <w:rFonts w:asciiTheme="minorEastAsia" w:hAnsiTheme="minorEastAsia" w:eastAsiaTheme="minorEastAsia"/>
          <w:szCs w:val="21"/>
        </w:rPr>
        <w:t>64</w:t>
      </w:r>
      <w:r>
        <w:rPr>
          <w:rFonts w:hint="eastAsia" w:asciiTheme="minorEastAsia" w:hAnsiTheme="minorEastAsia" w:eastAsiaTheme="minorEastAsia"/>
          <w:szCs w:val="21"/>
        </w:rPr>
        <w:t xml:space="preserve"> 线程. 基础频率不低于2.</w:t>
      </w:r>
      <w:r>
        <w:rPr>
          <w:rFonts w:asciiTheme="minorEastAsia" w:hAnsiTheme="minorEastAsia" w:eastAsiaTheme="minorEastAsia"/>
          <w:szCs w:val="21"/>
        </w:rPr>
        <w:t>1</w:t>
      </w:r>
      <w:r>
        <w:rPr>
          <w:rFonts w:hint="eastAsia" w:asciiTheme="minorEastAsia" w:hAnsiTheme="minorEastAsia" w:eastAsiaTheme="minorEastAsia"/>
          <w:szCs w:val="21"/>
        </w:rPr>
        <w:t>GHz，型号不低于</w:t>
      </w:r>
      <w:r>
        <w:rPr>
          <w:rFonts w:asciiTheme="minorEastAsia" w:hAnsiTheme="minorEastAsia" w:eastAsiaTheme="minorEastAsia"/>
          <w:szCs w:val="21"/>
        </w:rPr>
        <w:t>6530</w:t>
      </w:r>
    </w:p>
    <w:p w14:paraId="40688E6F">
      <w:pPr>
        <w:spacing w:line="360" w:lineRule="auto"/>
        <w:ind w:left="420" w:leftChars="200"/>
        <w:rPr>
          <w:rFonts w:hint="eastAsia" w:asciiTheme="minorEastAsia" w:hAnsiTheme="minorEastAsia" w:eastAsiaTheme="minorEastAsia"/>
          <w:szCs w:val="21"/>
        </w:rPr>
      </w:pPr>
      <w:r>
        <w:rPr>
          <w:rFonts w:hint="eastAsia" w:asciiTheme="minorEastAsia" w:hAnsiTheme="minorEastAsia" w:eastAsiaTheme="minorEastAsia"/>
          <w:szCs w:val="21"/>
        </w:rPr>
        <w:t>1.3 内存：总容量不低于</w:t>
      </w:r>
      <w:r>
        <w:rPr>
          <w:rFonts w:asciiTheme="minorEastAsia" w:hAnsiTheme="minorEastAsia" w:eastAsiaTheme="minorEastAsia"/>
          <w:szCs w:val="21"/>
        </w:rPr>
        <w:t>256</w:t>
      </w:r>
      <w:r>
        <w:rPr>
          <w:rFonts w:hint="eastAsia" w:asciiTheme="minorEastAsia" w:hAnsiTheme="minorEastAsia" w:eastAsiaTheme="minorEastAsia"/>
          <w:szCs w:val="21"/>
        </w:rPr>
        <w:t>GB. 单根内存容量不少于</w:t>
      </w:r>
      <w:r>
        <w:rPr>
          <w:rFonts w:asciiTheme="minorEastAsia" w:hAnsiTheme="minorEastAsia" w:eastAsiaTheme="minorEastAsia"/>
          <w:szCs w:val="21"/>
        </w:rPr>
        <w:t>32</w:t>
      </w:r>
      <w:r>
        <w:rPr>
          <w:rFonts w:hint="eastAsia" w:asciiTheme="minorEastAsia" w:hAnsiTheme="minorEastAsia" w:eastAsiaTheme="minorEastAsia"/>
          <w:szCs w:val="21"/>
        </w:rPr>
        <w:t>GB. 基础频率大于等于R-ECC DDR</w:t>
      </w:r>
      <w:r>
        <w:rPr>
          <w:rFonts w:asciiTheme="minorEastAsia" w:hAnsiTheme="minorEastAsia" w:eastAsiaTheme="minorEastAsia"/>
          <w:szCs w:val="21"/>
        </w:rPr>
        <w:t>5</w:t>
      </w:r>
      <w:r>
        <w:rPr>
          <w:rFonts w:hint="eastAsia" w:asciiTheme="minorEastAsia" w:hAnsiTheme="minorEastAsia" w:eastAsiaTheme="minorEastAsia"/>
          <w:szCs w:val="21"/>
        </w:rPr>
        <w:t xml:space="preserve"> </w:t>
      </w:r>
      <w:r>
        <w:rPr>
          <w:rFonts w:asciiTheme="minorEastAsia" w:hAnsiTheme="minorEastAsia" w:eastAsiaTheme="minorEastAsia"/>
          <w:szCs w:val="21"/>
        </w:rPr>
        <w:t>4800</w:t>
      </w:r>
      <w:r>
        <w:rPr>
          <w:rFonts w:hint="eastAsia" w:asciiTheme="minorEastAsia" w:hAnsiTheme="minorEastAsia" w:eastAsiaTheme="minorEastAsia"/>
          <w:szCs w:val="21"/>
        </w:rPr>
        <w:t>Hz 服务器内存；可扩展至512G。</w:t>
      </w:r>
    </w:p>
    <w:p w14:paraId="062D10F8">
      <w:pPr>
        <w:spacing w:line="360" w:lineRule="auto"/>
        <w:ind w:left="420" w:leftChars="200"/>
        <w:rPr>
          <w:rFonts w:hint="eastAsia" w:asciiTheme="minorEastAsia" w:hAnsiTheme="minorEastAsia" w:eastAsiaTheme="minorEastAsia"/>
          <w:szCs w:val="21"/>
        </w:rPr>
      </w:pPr>
      <w:r>
        <w:rPr>
          <w:rFonts w:hint="eastAsia" w:asciiTheme="minorEastAsia" w:hAnsiTheme="minorEastAsia" w:eastAsiaTheme="minorEastAsia"/>
          <w:szCs w:val="21"/>
        </w:rPr>
        <w:t>1.4 系统盘：总容量不低于</w:t>
      </w:r>
      <w:r>
        <w:rPr>
          <w:rFonts w:asciiTheme="minorEastAsia" w:hAnsiTheme="minorEastAsia" w:eastAsiaTheme="minorEastAsia"/>
          <w:szCs w:val="21"/>
        </w:rPr>
        <w:t>1.92T</w:t>
      </w:r>
      <w:r>
        <w:rPr>
          <w:rFonts w:hint="eastAsia" w:asciiTheme="minorEastAsia" w:hAnsiTheme="minorEastAsia" w:eastAsiaTheme="minorEastAsia"/>
          <w:szCs w:val="21"/>
        </w:rPr>
        <w:t>B； 单块磁盘容量不低于</w:t>
      </w:r>
      <w:r>
        <w:rPr>
          <w:rFonts w:asciiTheme="minorEastAsia" w:hAnsiTheme="minorEastAsia" w:eastAsiaTheme="minorEastAsia"/>
          <w:szCs w:val="21"/>
        </w:rPr>
        <w:t>960</w:t>
      </w:r>
      <w:r>
        <w:rPr>
          <w:rFonts w:hint="eastAsia" w:asciiTheme="minorEastAsia" w:hAnsiTheme="minorEastAsia" w:eastAsiaTheme="minorEastAsia"/>
          <w:szCs w:val="21"/>
        </w:rPr>
        <w:t>GB，</w:t>
      </w:r>
      <w:r>
        <w:rPr>
          <w:rFonts w:asciiTheme="minorEastAsia" w:hAnsiTheme="minorEastAsia" w:eastAsiaTheme="minorEastAsia"/>
          <w:szCs w:val="21"/>
        </w:rPr>
        <w:t>SATA</w:t>
      </w:r>
      <w:r>
        <w:rPr>
          <w:rFonts w:hint="eastAsia" w:asciiTheme="minorEastAsia" w:hAnsiTheme="minorEastAsia" w:eastAsiaTheme="minorEastAsia"/>
          <w:szCs w:val="21"/>
        </w:rPr>
        <w:t>接口固态硬盘；</w:t>
      </w:r>
    </w:p>
    <w:p w14:paraId="09F0A901">
      <w:pPr>
        <w:spacing w:line="360" w:lineRule="auto"/>
        <w:ind w:left="420" w:leftChars="200"/>
        <w:rPr>
          <w:rFonts w:hint="eastAsia" w:asciiTheme="minorEastAsia" w:hAnsiTheme="minorEastAsia" w:eastAsiaTheme="minorEastAsia"/>
          <w:szCs w:val="21"/>
        </w:rPr>
      </w:pPr>
      <w:r>
        <w:rPr>
          <w:rFonts w:hint="eastAsia" w:asciiTheme="minorEastAsia" w:hAnsiTheme="minorEastAsia" w:eastAsiaTheme="minorEastAsia"/>
          <w:szCs w:val="21"/>
        </w:rPr>
        <w:t>1.5 数据盘：热插拔硬盘，总容量不低于16TB； 单块磁盘容量不低于</w:t>
      </w:r>
      <w:r>
        <w:rPr>
          <w:rFonts w:asciiTheme="minorEastAsia" w:hAnsiTheme="minorEastAsia" w:eastAsiaTheme="minorEastAsia"/>
          <w:szCs w:val="21"/>
        </w:rPr>
        <w:t>8</w:t>
      </w:r>
      <w:r>
        <w:rPr>
          <w:rFonts w:hint="eastAsia" w:asciiTheme="minorEastAsia" w:hAnsiTheme="minorEastAsia" w:eastAsiaTheme="minorEastAsia"/>
          <w:szCs w:val="21"/>
        </w:rPr>
        <w:t>TB，SATA接口机械硬盘。</w:t>
      </w:r>
    </w:p>
    <w:p w14:paraId="6718632D">
      <w:pPr>
        <w:spacing w:line="360" w:lineRule="auto"/>
        <w:ind w:left="420" w:leftChars="200"/>
        <w:rPr>
          <w:rFonts w:hint="eastAsia" w:asciiTheme="minorEastAsia" w:hAnsiTheme="minorEastAsia" w:eastAsiaTheme="minorEastAsia"/>
          <w:szCs w:val="21"/>
        </w:rPr>
      </w:pPr>
      <w:r>
        <w:rPr>
          <w:rFonts w:hint="eastAsia" w:asciiTheme="minorEastAsia" w:hAnsiTheme="minorEastAsia" w:eastAsiaTheme="minorEastAsia"/>
          <w:szCs w:val="21"/>
        </w:rPr>
        <w:t>1.6 Raid卡：至少支持RAID1，缓存至少2G</w:t>
      </w:r>
    </w:p>
    <w:p w14:paraId="4FE3C58D">
      <w:pPr>
        <w:spacing w:line="360" w:lineRule="auto"/>
        <w:ind w:left="420" w:leftChars="200"/>
        <w:rPr>
          <w:rFonts w:hint="eastAsia" w:asciiTheme="minorEastAsia" w:hAnsiTheme="minorEastAsia" w:eastAsiaTheme="minorEastAsia"/>
          <w:szCs w:val="21"/>
        </w:rPr>
      </w:pPr>
      <w:r>
        <w:rPr>
          <w:rFonts w:hint="eastAsia" w:asciiTheme="minorEastAsia" w:hAnsiTheme="minorEastAsia" w:eastAsiaTheme="minorEastAsia"/>
          <w:szCs w:val="21"/>
        </w:rPr>
        <w:t>1.7 GPU卡插槽：至少4个全高双宽GPU卡插槽，至少支持NIDIA RTX4090显卡。</w:t>
      </w:r>
    </w:p>
    <w:p w14:paraId="2DA19316">
      <w:pPr>
        <w:spacing w:line="360" w:lineRule="auto"/>
        <w:ind w:left="420" w:leftChars="200"/>
        <w:rPr>
          <w:rFonts w:hint="eastAsia" w:asciiTheme="minorEastAsia" w:hAnsiTheme="minorEastAsia" w:eastAsiaTheme="minorEastAsia"/>
          <w:szCs w:val="21"/>
        </w:rPr>
      </w:pPr>
      <w:r>
        <w:rPr>
          <w:rFonts w:hint="eastAsia" w:asciiTheme="minorEastAsia" w:hAnsiTheme="minorEastAsia" w:eastAsiaTheme="minorEastAsia"/>
          <w:szCs w:val="21"/>
        </w:rPr>
        <w:t>1.8 网络接口：配置 不少于1块</w:t>
      </w:r>
      <w:r>
        <w:rPr>
          <w:rFonts w:asciiTheme="minorEastAsia" w:hAnsiTheme="minorEastAsia" w:eastAsiaTheme="minorEastAsia"/>
          <w:szCs w:val="21"/>
        </w:rPr>
        <w:t>2</w:t>
      </w:r>
      <w:r>
        <w:rPr>
          <w:rFonts w:hint="eastAsia" w:asciiTheme="minorEastAsia" w:hAnsiTheme="minorEastAsia" w:eastAsiaTheme="minorEastAsia"/>
          <w:szCs w:val="21"/>
        </w:rPr>
        <w:t>* 1GBase-T LAN ports ，双口万兆网卡，配置不少于1 个IPMI 2.0 远程管理口。</w:t>
      </w:r>
    </w:p>
    <w:p w14:paraId="2A946F63">
      <w:pPr>
        <w:spacing w:line="360" w:lineRule="auto"/>
        <w:ind w:left="420" w:leftChars="200"/>
        <w:rPr>
          <w:rFonts w:hint="eastAsia" w:asciiTheme="minorEastAsia" w:hAnsiTheme="minorEastAsia" w:eastAsiaTheme="minorEastAsia"/>
          <w:szCs w:val="21"/>
        </w:rPr>
      </w:pPr>
      <w:r>
        <w:rPr>
          <w:rFonts w:hint="eastAsia" w:asciiTheme="minorEastAsia" w:hAnsiTheme="minorEastAsia" w:eastAsiaTheme="minorEastAsia"/>
          <w:szCs w:val="21"/>
        </w:rPr>
        <w:t>1.9 电源： 配置</w:t>
      </w:r>
      <w:r>
        <w:rPr>
          <w:rFonts w:asciiTheme="minorEastAsia" w:hAnsiTheme="minorEastAsia" w:eastAsiaTheme="minorEastAsia"/>
          <w:szCs w:val="21"/>
        </w:rPr>
        <w:t>≥</w:t>
      </w:r>
      <w:r>
        <w:rPr>
          <w:rFonts w:hint="eastAsia" w:asciiTheme="minorEastAsia" w:hAnsiTheme="minorEastAsia" w:eastAsiaTheme="minorEastAsia"/>
          <w:szCs w:val="21"/>
        </w:rPr>
        <w:t>2000W（</w:t>
      </w:r>
      <w:r>
        <w:rPr>
          <w:rFonts w:asciiTheme="minorEastAsia" w:hAnsiTheme="minorEastAsia" w:eastAsiaTheme="minorEastAsia"/>
          <w:szCs w:val="21"/>
        </w:rPr>
        <w:t>1</w:t>
      </w:r>
      <w:r>
        <w:rPr>
          <w:rFonts w:hint="eastAsia" w:asciiTheme="minorEastAsia" w:hAnsiTheme="minorEastAsia" w:eastAsiaTheme="minorEastAsia"/>
          <w:szCs w:val="21"/>
        </w:rPr>
        <w:t>+</w:t>
      </w:r>
      <w:r>
        <w:rPr>
          <w:rFonts w:asciiTheme="minorEastAsia" w:hAnsiTheme="minorEastAsia" w:eastAsiaTheme="minorEastAsia"/>
          <w:szCs w:val="21"/>
        </w:rPr>
        <w:t>1</w:t>
      </w:r>
      <w:r>
        <w:rPr>
          <w:rFonts w:hint="eastAsia" w:asciiTheme="minorEastAsia" w:hAnsiTheme="minorEastAsia" w:eastAsiaTheme="minorEastAsia"/>
          <w:szCs w:val="21"/>
        </w:rPr>
        <w:t>）冗余电源 ；</w:t>
      </w:r>
    </w:p>
    <w:p w14:paraId="1B81EBE1">
      <w:pPr>
        <w:spacing w:line="360" w:lineRule="auto"/>
        <w:ind w:left="420" w:leftChars="200"/>
        <w:rPr>
          <w:rFonts w:hint="eastAsia" w:asciiTheme="minorEastAsia" w:hAnsiTheme="minorEastAsia" w:eastAsiaTheme="minorEastAsia"/>
          <w:szCs w:val="21"/>
        </w:rPr>
      </w:pPr>
      <w:r>
        <w:rPr>
          <w:rFonts w:hint="eastAsia" w:asciiTheme="minorEastAsia" w:hAnsiTheme="minorEastAsia" w:eastAsiaTheme="minorEastAsia"/>
          <w:szCs w:val="21"/>
        </w:rPr>
        <w:t>1.10 硬件服务：提供</w:t>
      </w:r>
      <w:r>
        <w:rPr>
          <w:rFonts w:asciiTheme="minorEastAsia" w:hAnsiTheme="minorEastAsia" w:eastAsiaTheme="minorEastAsia"/>
          <w:szCs w:val="21"/>
        </w:rPr>
        <w:t>3</w:t>
      </w:r>
      <w:r>
        <w:rPr>
          <w:rFonts w:hint="eastAsia" w:asciiTheme="minorEastAsia" w:hAnsiTheme="minorEastAsia" w:eastAsiaTheme="minorEastAsia"/>
          <w:szCs w:val="21"/>
        </w:rPr>
        <w:t>年原厂整机质保，3年原厂免费上门保修服务.4小时快速响应（提供原厂服务承诺函）；</w:t>
      </w:r>
    </w:p>
    <w:p w14:paraId="3428B575">
      <w:pPr>
        <w:spacing w:line="360" w:lineRule="auto"/>
        <w:ind w:left="420" w:leftChars="200"/>
        <w:rPr>
          <w:rFonts w:hint="eastAsia" w:asciiTheme="minorEastAsia" w:hAnsiTheme="minorEastAsia" w:eastAsiaTheme="minorEastAsia"/>
          <w:b/>
          <w:bCs/>
          <w:szCs w:val="21"/>
        </w:rPr>
      </w:pPr>
      <w:r>
        <w:rPr>
          <w:rFonts w:hint="eastAsia" w:asciiTheme="minorEastAsia" w:hAnsiTheme="minorEastAsia" w:eastAsiaTheme="minorEastAsia"/>
          <w:b/>
          <w:bCs/>
          <w:szCs w:val="21"/>
        </w:rPr>
        <w:t>产品2：AI教学支撑平台服务器</w:t>
      </w:r>
      <w:r>
        <w:rPr>
          <w:rFonts w:hint="eastAsia" w:asciiTheme="minorEastAsia" w:hAnsiTheme="minorEastAsia" w:eastAsiaTheme="minorEastAsia"/>
          <w:b/>
          <w:bCs/>
          <w:szCs w:val="21"/>
          <w:lang w:val="en-US" w:eastAsia="zh-CN"/>
        </w:rPr>
        <w:t>2</w:t>
      </w:r>
    </w:p>
    <w:p w14:paraId="5501B1B9">
      <w:pPr>
        <w:spacing w:line="360" w:lineRule="auto"/>
        <w:ind w:left="420" w:leftChars="200"/>
        <w:rPr>
          <w:rFonts w:hint="eastAsia" w:asciiTheme="minorEastAsia" w:hAnsiTheme="minorEastAsia" w:eastAsiaTheme="minorEastAsia"/>
          <w:szCs w:val="21"/>
        </w:rPr>
      </w:pPr>
      <w:r>
        <w:rPr>
          <w:rFonts w:hint="eastAsia" w:asciiTheme="minorEastAsia" w:hAnsiTheme="minorEastAsia" w:eastAsiaTheme="minorEastAsia"/>
          <w:szCs w:val="21"/>
        </w:rPr>
        <w:t>2.1 4U机架式高性能异构计算服务器，双路</w:t>
      </w:r>
      <w:r>
        <w:rPr>
          <w:rFonts w:asciiTheme="minorEastAsia" w:hAnsiTheme="minorEastAsia" w:eastAsiaTheme="minorEastAsia"/>
          <w:szCs w:val="21"/>
        </w:rPr>
        <w:t>5</w:t>
      </w:r>
      <w:r>
        <w:rPr>
          <w:rFonts w:hint="eastAsia" w:asciiTheme="minorEastAsia" w:hAnsiTheme="minorEastAsia" w:eastAsiaTheme="minorEastAsia"/>
          <w:szCs w:val="21"/>
        </w:rPr>
        <w:t>th Gen Intel® Xeon® Scalable系列处理器</w:t>
      </w:r>
      <w:r>
        <w:rPr>
          <w:rFonts w:asciiTheme="minorEastAsia" w:hAnsiTheme="minorEastAsia" w:eastAsiaTheme="minorEastAsia"/>
          <w:szCs w:val="21"/>
        </w:rPr>
        <w:t>1</w:t>
      </w:r>
      <w:r>
        <w:rPr>
          <w:rFonts w:hint="eastAsia" w:asciiTheme="minorEastAsia" w:hAnsiTheme="minorEastAsia" w:eastAsiaTheme="minorEastAsia"/>
          <w:szCs w:val="21"/>
        </w:rPr>
        <w:t>台；</w:t>
      </w:r>
    </w:p>
    <w:p w14:paraId="553C443F">
      <w:pPr>
        <w:spacing w:line="360" w:lineRule="auto"/>
        <w:ind w:left="420" w:leftChars="200"/>
        <w:rPr>
          <w:rFonts w:hint="eastAsia" w:asciiTheme="minorEastAsia" w:hAnsiTheme="minorEastAsia" w:eastAsiaTheme="minorEastAsia"/>
          <w:szCs w:val="21"/>
        </w:rPr>
      </w:pPr>
      <w:r>
        <w:rPr>
          <w:rFonts w:hint="eastAsia" w:asciiTheme="minorEastAsia" w:hAnsiTheme="minorEastAsia" w:eastAsiaTheme="minorEastAsia"/>
          <w:szCs w:val="21"/>
        </w:rPr>
        <w:t>2.2 CPU: 双路</w:t>
      </w:r>
      <w:r>
        <w:rPr>
          <w:rFonts w:asciiTheme="minorEastAsia" w:hAnsiTheme="minorEastAsia" w:eastAsiaTheme="minorEastAsia"/>
          <w:szCs w:val="21"/>
        </w:rPr>
        <w:t>5</w:t>
      </w:r>
      <w:r>
        <w:rPr>
          <w:rFonts w:hint="eastAsia" w:asciiTheme="minorEastAsia" w:hAnsiTheme="minorEastAsia" w:eastAsiaTheme="minorEastAsia"/>
          <w:szCs w:val="21"/>
        </w:rPr>
        <w:t>th Gen Intel® Xeon® Scalable，单颗CPU 性能相当于或者不低于</w:t>
      </w:r>
      <w:r>
        <w:rPr>
          <w:rFonts w:asciiTheme="minorEastAsia" w:hAnsiTheme="minorEastAsia" w:eastAsiaTheme="minorEastAsia"/>
          <w:szCs w:val="21"/>
        </w:rPr>
        <w:t>32</w:t>
      </w:r>
      <w:r>
        <w:rPr>
          <w:rFonts w:hint="eastAsia" w:asciiTheme="minorEastAsia" w:hAnsiTheme="minorEastAsia" w:eastAsiaTheme="minorEastAsia"/>
          <w:szCs w:val="21"/>
        </w:rPr>
        <w:t>核 /</w:t>
      </w:r>
      <w:r>
        <w:rPr>
          <w:rFonts w:asciiTheme="minorEastAsia" w:hAnsiTheme="minorEastAsia" w:eastAsiaTheme="minorEastAsia"/>
          <w:szCs w:val="21"/>
        </w:rPr>
        <w:t>64</w:t>
      </w:r>
      <w:r>
        <w:rPr>
          <w:rFonts w:hint="eastAsia" w:asciiTheme="minorEastAsia" w:hAnsiTheme="minorEastAsia" w:eastAsiaTheme="minorEastAsia"/>
          <w:szCs w:val="21"/>
        </w:rPr>
        <w:t xml:space="preserve"> 线程. 基础频率不低于2.</w:t>
      </w:r>
      <w:r>
        <w:rPr>
          <w:rFonts w:asciiTheme="minorEastAsia" w:hAnsiTheme="minorEastAsia" w:eastAsiaTheme="minorEastAsia"/>
          <w:szCs w:val="21"/>
        </w:rPr>
        <w:t>1</w:t>
      </w:r>
      <w:r>
        <w:rPr>
          <w:rFonts w:hint="eastAsia" w:asciiTheme="minorEastAsia" w:hAnsiTheme="minorEastAsia" w:eastAsiaTheme="minorEastAsia"/>
          <w:szCs w:val="21"/>
        </w:rPr>
        <w:t>GHz，型号不低于</w:t>
      </w:r>
      <w:r>
        <w:rPr>
          <w:rFonts w:asciiTheme="minorEastAsia" w:hAnsiTheme="minorEastAsia" w:eastAsiaTheme="minorEastAsia"/>
          <w:szCs w:val="21"/>
        </w:rPr>
        <w:t>6530</w:t>
      </w:r>
      <w:r>
        <w:rPr>
          <w:rFonts w:hint="eastAsia" w:asciiTheme="minorEastAsia" w:hAnsiTheme="minorEastAsia" w:eastAsiaTheme="minorEastAsia"/>
          <w:szCs w:val="21"/>
        </w:rPr>
        <w:t>；</w:t>
      </w:r>
    </w:p>
    <w:p w14:paraId="04130267">
      <w:pPr>
        <w:spacing w:line="360" w:lineRule="auto"/>
        <w:ind w:left="420" w:leftChars="200"/>
        <w:rPr>
          <w:rFonts w:hint="eastAsia" w:asciiTheme="minorEastAsia" w:hAnsiTheme="minorEastAsia" w:eastAsiaTheme="minorEastAsia"/>
          <w:szCs w:val="21"/>
        </w:rPr>
      </w:pPr>
      <w:r>
        <w:rPr>
          <w:rFonts w:hint="eastAsia" w:asciiTheme="minorEastAsia" w:hAnsiTheme="minorEastAsia" w:eastAsiaTheme="minorEastAsia"/>
          <w:szCs w:val="21"/>
        </w:rPr>
        <w:t>2.5 内存：内存总容量不低于512GB。频率不低于R-ECC DDR</w:t>
      </w:r>
      <w:r>
        <w:rPr>
          <w:rFonts w:asciiTheme="minorEastAsia" w:hAnsiTheme="minorEastAsia" w:eastAsiaTheme="minorEastAsia"/>
          <w:szCs w:val="21"/>
        </w:rPr>
        <w:t>5</w:t>
      </w:r>
      <w:r>
        <w:rPr>
          <w:rFonts w:hint="eastAsia" w:asciiTheme="minorEastAsia" w:hAnsiTheme="minorEastAsia" w:eastAsiaTheme="minorEastAsia"/>
          <w:szCs w:val="21"/>
        </w:rPr>
        <w:t xml:space="preserve"> </w:t>
      </w:r>
      <w:r>
        <w:rPr>
          <w:rFonts w:asciiTheme="minorEastAsia" w:hAnsiTheme="minorEastAsia" w:eastAsiaTheme="minorEastAsia"/>
          <w:szCs w:val="21"/>
        </w:rPr>
        <w:t>4800</w:t>
      </w:r>
      <w:r>
        <w:rPr>
          <w:rFonts w:hint="eastAsia" w:asciiTheme="minorEastAsia" w:hAnsiTheme="minorEastAsia" w:eastAsiaTheme="minorEastAsia"/>
          <w:szCs w:val="21"/>
        </w:rPr>
        <w:t>Hz 服务器内存。</w:t>
      </w:r>
    </w:p>
    <w:p w14:paraId="684FD0E7">
      <w:pPr>
        <w:spacing w:line="360" w:lineRule="auto"/>
        <w:ind w:left="420" w:leftChars="200"/>
        <w:rPr>
          <w:rFonts w:hint="eastAsia" w:asciiTheme="minorEastAsia" w:hAnsiTheme="minorEastAsia" w:eastAsiaTheme="minorEastAsia"/>
          <w:szCs w:val="21"/>
        </w:rPr>
      </w:pPr>
      <w:r>
        <w:rPr>
          <w:rFonts w:hint="eastAsia" w:asciiTheme="minorEastAsia" w:hAnsiTheme="minorEastAsia" w:eastAsiaTheme="minorEastAsia"/>
          <w:szCs w:val="21"/>
        </w:rPr>
        <w:t>2.6</w:t>
      </w:r>
      <w:r>
        <w:rPr>
          <w:rFonts w:asciiTheme="minorEastAsia" w:hAnsiTheme="minorEastAsia" w:eastAsiaTheme="minorEastAsia"/>
          <w:szCs w:val="21"/>
        </w:rPr>
        <w:t xml:space="preserve"> </w:t>
      </w:r>
      <w:r>
        <w:rPr>
          <w:rFonts w:hint="eastAsia" w:asciiTheme="minorEastAsia" w:hAnsiTheme="minorEastAsia" w:eastAsiaTheme="minorEastAsia"/>
          <w:szCs w:val="21"/>
        </w:rPr>
        <w:t>系统盘：总容量不低于</w:t>
      </w:r>
      <w:r>
        <w:rPr>
          <w:rFonts w:asciiTheme="minorEastAsia" w:hAnsiTheme="minorEastAsia" w:eastAsiaTheme="minorEastAsia"/>
          <w:szCs w:val="21"/>
        </w:rPr>
        <w:t>1.92T</w:t>
      </w:r>
      <w:r>
        <w:rPr>
          <w:rFonts w:hint="eastAsia" w:asciiTheme="minorEastAsia" w:hAnsiTheme="minorEastAsia" w:eastAsiaTheme="minorEastAsia"/>
          <w:szCs w:val="21"/>
        </w:rPr>
        <w:t>； 单块磁盘容量不低于</w:t>
      </w:r>
      <w:r>
        <w:rPr>
          <w:rFonts w:asciiTheme="minorEastAsia" w:hAnsiTheme="minorEastAsia" w:eastAsiaTheme="minorEastAsia"/>
          <w:szCs w:val="21"/>
        </w:rPr>
        <w:t>960</w:t>
      </w:r>
      <w:r>
        <w:rPr>
          <w:rFonts w:hint="eastAsia" w:asciiTheme="minorEastAsia" w:hAnsiTheme="minorEastAsia" w:eastAsiaTheme="minorEastAsia"/>
          <w:szCs w:val="21"/>
        </w:rPr>
        <w:t>GB，</w:t>
      </w:r>
      <w:r>
        <w:rPr>
          <w:rFonts w:asciiTheme="minorEastAsia" w:hAnsiTheme="minorEastAsia" w:eastAsiaTheme="minorEastAsia"/>
          <w:szCs w:val="21"/>
        </w:rPr>
        <w:t>SATA</w:t>
      </w:r>
      <w:r>
        <w:rPr>
          <w:rFonts w:hint="eastAsia" w:asciiTheme="minorEastAsia" w:hAnsiTheme="minorEastAsia" w:eastAsiaTheme="minorEastAsia"/>
          <w:szCs w:val="21"/>
        </w:rPr>
        <w:t xml:space="preserve">接口固态硬盘。 </w:t>
      </w:r>
    </w:p>
    <w:p w14:paraId="590E238E">
      <w:pPr>
        <w:spacing w:line="360" w:lineRule="auto"/>
        <w:ind w:left="420" w:leftChars="200"/>
        <w:rPr>
          <w:rFonts w:hint="eastAsia"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 xml:space="preserve">7 </w:t>
      </w:r>
      <w:r>
        <w:rPr>
          <w:rFonts w:hint="eastAsia" w:asciiTheme="minorEastAsia" w:hAnsiTheme="minorEastAsia" w:eastAsiaTheme="minorEastAsia"/>
          <w:szCs w:val="21"/>
        </w:rPr>
        <w:t>数据盘：热插拔硬盘，总容量不低于</w:t>
      </w:r>
      <w:r>
        <w:rPr>
          <w:rFonts w:asciiTheme="minorEastAsia" w:hAnsiTheme="minorEastAsia" w:eastAsiaTheme="minorEastAsia"/>
          <w:szCs w:val="21"/>
        </w:rPr>
        <w:t>32</w:t>
      </w:r>
      <w:r>
        <w:rPr>
          <w:rFonts w:hint="eastAsia" w:asciiTheme="minorEastAsia" w:hAnsiTheme="minorEastAsia" w:eastAsiaTheme="minorEastAsia"/>
          <w:szCs w:val="21"/>
        </w:rPr>
        <w:t>TB； 单块磁盘容量不低于</w:t>
      </w:r>
      <w:r>
        <w:rPr>
          <w:rFonts w:asciiTheme="minorEastAsia" w:hAnsiTheme="minorEastAsia" w:eastAsiaTheme="minorEastAsia"/>
          <w:szCs w:val="21"/>
        </w:rPr>
        <w:t>8</w:t>
      </w:r>
      <w:r>
        <w:rPr>
          <w:rFonts w:hint="eastAsia" w:asciiTheme="minorEastAsia" w:hAnsiTheme="minorEastAsia" w:eastAsiaTheme="minorEastAsia"/>
          <w:szCs w:val="21"/>
        </w:rPr>
        <w:t>TB，SATA接口机械硬盘。</w:t>
      </w:r>
    </w:p>
    <w:p w14:paraId="0CF4719C">
      <w:pPr>
        <w:spacing w:line="360" w:lineRule="auto"/>
        <w:ind w:left="420" w:leftChars="200"/>
        <w:rPr>
          <w:rFonts w:hint="eastAsia" w:asciiTheme="minorEastAsia" w:hAnsiTheme="minorEastAsia" w:eastAsiaTheme="minorEastAsia"/>
          <w:szCs w:val="21"/>
        </w:rPr>
      </w:pPr>
      <w:r>
        <w:rPr>
          <w:rFonts w:hint="eastAsia" w:asciiTheme="minorEastAsia" w:hAnsiTheme="minorEastAsia" w:eastAsiaTheme="minorEastAsia"/>
          <w:szCs w:val="21"/>
        </w:rPr>
        <w:t>2.8 GPU卡插槽：至少8个全高双宽GPU卡插槽，至少支持NIDIA L20显卡。</w:t>
      </w:r>
    </w:p>
    <w:p w14:paraId="53BC4D45">
      <w:pPr>
        <w:spacing w:line="360" w:lineRule="auto"/>
        <w:ind w:left="420" w:left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2.</w:t>
      </w:r>
      <w:r>
        <w:rPr>
          <w:rFonts w:hint="eastAsia" w:asciiTheme="minorEastAsia" w:hAnsiTheme="minorEastAsia" w:eastAsiaTheme="minorEastAsia"/>
          <w:szCs w:val="21"/>
          <w:lang w:val="en-US" w:eastAsia="zh-CN"/>
        </w:rPr>
        <w:t xml:space="preserve">9 </w:t>
      </w:r>
      <w:r>
        <w:rPr>
          <w:rFonts w:hint="eastAsia" w:asciiTheme="minorEastAsia" w:hAnsiTheme="minorEastAsia" w:eastAsiaTheme="minorEastAsia"/>
          <w:szCs w:val="21"/>
        </w:rPr>
        <w:t>GPU卡：</w:t>
      </w:r>
      <w:r>
        <w:rPr>
          <w:rFonts w:asciiTheme="minorEastAsia" w:hAnsiTheme="minorEastAsia" w:eastAsiaTheme="minorEastAsia"/>
          <w:szCs w:val="21"/>
        </w:rPr>
        <w:t>6</w:t>
      </w:r>
      <w:r>
        <w:rPr>
          <w:rFonts w:hint="eastAsia" w:asciiTheme="minorEastAsia" w:hAnsiTheme="minorEastAsia" w:eastAsiaTheme="minorEastAsia"/>
          <w:szCs w:val="21"/>
        </w:rPr>
        <w:t>块NIVIDA不低于RTX4090D，显存不低于2</w:t>
      </w:r>
      <w:r>
        <w:rPr>
          <w:rFonts w:asciiTheme="minorEastAsia" w:hAnsiTheme="minorEastAsia" w:eastAsiaTheme="minorEastAsia"/>
          <w:szCs w:val="21"/>
        </w:rPr>
        <w:t>4</w:t>
      </w:r>
      <w:r>
        <w:rPr>
          <w:rFonts w:hint="eastAsia" w:asciiTheme="minorEastAsia" w:hAnsiTheme="minorEastAsia" w:eastAsiaTheme="minorEastAsia"/>
          <w:szCs w:val="21"/>
        </w:rPr>
        <w:t>G</w:t>
      </w:r>
      <w:r>
        <w:rPr>
          <w:rFonts w:hint="eastAsia" w:asciiTheme="minorEastAsia" w:hAnsiTheme="minorEastAsia" w:eastAsiaTheme="minorEastAsia"/>
          <w:szCs w:val="21"/>
          <w:lang w:eastAsia="zh-CN"/>
        </w:rPr>
        <w:t>。</w:t>
      </w:r>
    </w:p>
    <w:p w14:paraId="07976D13">
      <w:pPr>
        <w:spacing w:line="360" w:lineRule="auto"/>
        <w:ind w:left="420" w:leftChars="200"/>
        <w:rPr>
          <w:rFonts w:hint="eastAsia"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10</w:t>
      </w:r>
      <w:r>
        <w:rPr>
          <w:rFonts w:hint="eastAsia" w:asciiTheme="minorEastAsia" w:hAnsiTheme="minorEastAsia" w:eastAsiaTheme="minorEastAsia"/>
          <w:szCs w:val="21"/>
        </w:rPr>
        <w:t xml:space="preserve"> 网络接口：配置 不少于1块</w:t>
      </w:r>
      <w:r>
        <w:rPr>
          <w:rFonts w:asciiTheme="minorEastAsia" w:hAnsiTheme="minorEastAsia" w:eastAsiaTheme="minorEastAsia"/>
          <w:szCs w:val="21"/>
        </w:rPr>
        <w:t>2</w:t>
      </w:r>
      <w:r>
        <w:rPr>
          <w:rFonts w:hint="eastAsia" w:asciiTheme="minorEastAsia" w:hAnsiTheme="minorEastAsia" w:eastAsiaTheme="minorEastAsia"/>
          <w:szCs w:val="21"/>
        </w:rPr>
        <w:t>* 1GBase-T LAN ports ，双口万兆网卡，配置不少于1 个IPMI 2.0 远程管理口。</w:t>
      </w:r>
    </w:p>
    <w:p w14:paraId="1E3FCFFB">
      <w:pPr>
        <w:spacing w:line="360" w:lineRule="auto"/>
        <w:ind w:left="420" w:leftChars="200"/>
        <w:rPr>
          <w:rFonts w:hint="eastAsia"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11</w:t>
      </w:r>
      <w:r>
        <w:rPr>
          <w:rFonts w:hint="eastAsia" w:asciiTheme="minorEastAsia" w:hAnsiTheme="minorEastAsia" w:eastAsiaTheme="minorEastAsia"/>
          <w:szCs w:val="21"/>
        </w:rPr>
        <w:t xml:space="preserve"> 电源：配置</w:t>
      </w:r>
      <w:r>
        <w:rPr>
          <w:rFonts w:asciiTheme="minorEastAsia" w:hAnsiTheme="minorEastAsia" w:eastAsiaTheme="minorEastAsia"/>
          <w:szCs w:val="21"/>
        </w:rPr>
        <w:t>≥</w:t>
      </w:r>
      <w:r>
        <w:rPr>
          <w:rFonts w:hint="eastAsia" w:asciiTheme="minorEastAsia" w:hAnsiTheme="minorEastAsia" w:eastAsiaTheme="minorEastAsia"/>
          <w:szCs w:val="21"/>
        </w:rPr>
        <w:t>2000W（</w:t>
      </w: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）冗余电源；</w:t>
      </w:r>
    </w:p>
    <w:p w14:paraId="111A9D5D">
      <w:pPr>
        <w:spacing w:line="360" w:lineRule="auto"/>
        <w:ind w:left="420" w:leftChars="200"/>
        <w:rPr>
          <w:rFonts w:hint="eastAsia" w:asciiTheme="minorEastAsia" w:hAnsiTheme="minorEastAsia" w:eastAsiaTheme="minorEastAsia"/>
          <w:szCs w:val="21"/>
        </w:rPr>
      </w:pPr>
      <w:r>
        <w:rPr>
          <w:rFonts w:hint="eastAsia" w:asciiTheme="minorEastAsia" w:hAnsiTheme="minorEastAsia" w:eastAsiaTheme="minorEastAsia"/>
          <w:szCs w:val="21"/>
        </w:rPr>
        <w:t>2.1</w:t>
      </w:r>
      <w:r>
        <w:rPr>
          <w:rFonts w:asciiTheme="minorEastAsia" w:hAnsiTheme="minorEastAsia" w:eastAsiaTheme="minorEastAsia"/>
          <w:szCs w:val="21"/>
        </w:rPr>
        <w:t>2</w:t>
      </w:r>
      <w:r>
        <w:rPr>
          <w:rFonts w:hint="eastAsia" w:asciiTheme="minorEastAsia" w:hAnsiTheme="minorEastAsia" w:eastAsiaTheme="minorEastAsia"/>
          <w:szCs w:val="21"/>
        </w:rPr>
        <w:t xml:space="preserve"> 硬件服务：提供</w:t>
      </w:r>
      <w:r>
        <w:rPr>
          <w:rFonts w:asciiTheme="minorEastAsia" w:hAnsiTheme="minorEastAsia" w:eastAsiaTheme="minorEastAsia"/>
          <w:szCs w:val="21"/>
        </w:rPr>
        <w:t>3</w:t>
      </w:r>
      <w:r>
        <w:rPr>
          <w:rFonts w:hint="eastAsia" w:asciiTheme="minorEastAsia" w:hAnsiTheme="minorEastAsia" w:eastAsiaTheme="minorEastAsia"/>
          <w:szCs w:val="21"/>
        </w:rPr>
        <w:t>年原厂整机质保，3年原厂免费上门保修服务，4小时快速响应（提供原厂服务承诺函）；</w:t>
      </w:r>
    </w:p>
    <w:p w14:paraId="45135A3C">
      <w:pPr>
        <w:spacing w:line="360" w:lineRule="auto"/>
        <w:ind w:left="420" w:leftChars="200"/>
        <w:rPr>
          <w:rFonts w:hint="eastAsia" w:asciiTheme="minorEastAsia" w:hAnsiTheme="minorEastAsia" w:eastAsiaTheme="minorEastAsia"/>
          <w:b/>
          <w:bCs/>
          <w:szCs w:val="21"/>
          <w:lang w:val="en-US" w:eastAsia="zh-CN"/>
        </w:rPr>
      </w:pPr>
      <w:r>
        <w:rPr>
          <w:rFonts w:hint="eastAsia" w:asciiTheme="minorEastAsia" w:hAnsiTheme="minorEastAsia" w:eastAsiaTheme="minorEastAsia"/>
          <w:b/>
          <w:bCs/>
          <w:szCs w:val="21"/>
        </w:rPr>
        <w:t>产品</w:t>
      </w:r>
      <w:r>
        <w:rPr>
          <w:rFonts w:asciiTheme="minorEastAsia" w:hAnsiTheme="minorEastAsia" w:eastAsiaTheme="minorEastAsia"/>
          <w:b/>
          <w:bCs/>
          <w:szCs w:val="21"/>
        </w:rPr>
        <w:t>3</w:t>
      </w:r>
      <w:r>
        <w:rPr>
          <w:rFonts w:hint="eastAsia" w:asciiTheme="minorEastAsia" w:hAnsiTheme="minorEastAsia" w:eastAsiaTheme="minorEastAsia"/>
          <w:b/>
          <w:bCs/>
          <w:szCs w:val="21"/>
        </w:rPr>
        <w:t>：GPU</w:t>
      </w:r>
      <w:r>
        <w:rPr>
          <w:rFonts w:hint="eastAsia" w:asciiTheme="minorEastAsia" w:hAnsiTheme="minorEastAsia" w:eastAsiaTheme="minorEastAsia"/>
          <w:b/>
          <w:bCs/>
          <w:szCs w:val="21"/>
          <w:lang w:val="en-US" w:eastAsia="zh-CN"/>
        </w:rPr>
        <w:t>卡</w:t>
      </w:r>
    </w:p>
    <w:p w14:paraId="4B586B47">
      <w:pPr>
        <w:spacing w:line="360" w:lineRule="auto"/>
        <w:ind w:left="420" w:leftChars="200"/>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3.</w:t>
      </w:r>
      <w:r>
        <w:rPr>
          <w:rFonts w:hint="eastAsia" w:asciiTheme="minorEastAsia" w:hAnsiTheme="minorEastAsia" w:eastAsiaTheme="minorEastAsia"/>
          <w:b w:val="0"/>
          <w:bCs w:val="0"/>
          <w:szCs w:val="21"/>
          <w:lang w:val="en-US" w:eastAsia="zh-CN"/>
        </w:rPr>
        <w:t>1</w:t>
      </w:r>
      <w:r>
        <w:rPr>
          <w:rFonts w:hint="eastAsia" w:asciiTheme="minorEastAsia" w:hAnsiTheme="minorEastAsia" w:eastAsiaTheme="minorEastAsia"/>
          <w:b w:val="0"/>
          <w:bCs w:val="0"/>
          <w:szCs w:val="21"/>
        </w:rPr>
        <w:t xml:space="preserve"> GPU 卡：8块NIVIDA 不低于L20，显存不低于48G</w:t>
      </w:r>
    </w:p>
    <w:p w14:paraId="3D5EE479">
      <w:pPr>
        <w:spacing w:line="360" w:lineRule="auto"/>
        <w:ind w:left="420" w:leftChars="200"/>
        <w:rPr>
          <w:rFonts w:hint="eastAsia" w:asciiTheme="minorEastAsia" w:hAnsiTheme="minorEastAsia" w:eastAsiaTheme="minorEastAsia"/>
          <w:b/>
          <w:bCs/>
          <w:szCs w:val="21"/>
        </w:rPr>
      </w:pPr>
      <w:r>
        <w:rPr>
          <w:rFonts w:hint="eastAsia" w:asciiTheme="minorEastAsia" w:hAnsiTheme="minorEastAsia" w:eastAsiaTheme="minorEastAsia"/>
          <w:b/>
          <w:bCs/>
          <w:szCs w:val="21"/>
        </w:rPr>
        <w:t>产品4：AI教学调度平台</w:t>
      </w:r>
      <w:bookmarkStart w:id="4" w:name="_GoBack"/>
      <w:bookmarkEnd w:id="4"/>
    </w:p>
    <w:p w14:paraId="46AE511E">
      <w:pPr>
        <w:spacing w:line="360" w:lineRule="auto"/>
        <w:ind w:left="420" w:leftChars="200"/>
        <w:rPr>
          <w:rFonts w:hint="eastAsia" w:asciiTheme="minorEastAsia" w:hAnsiTheme="minorEastAsia" w:eastAsiaTheme="minorEastAsia"/>
          <w:b/>
          <w:bCs/>
          <w:szCs w:val="21"/>
        </w:rPr>
      </w:pPr>
      <w:r>
        <w:rPr>
          <w:rFonts w:hint="eastAsia" w:asciiTheme="minorEastAsia" w:hAnsiTheme="minorEastAsia" w:eastAsiaTheme="minorEastAsia"/>
          <w:b/>
          <w:bCs/>
          <w:szCs w:val="21"/>
        </w:rPr>
        <w:t>须具有以下功能：</w:t>
      </w:r>
    </w:p>
    <w:p w14:paraId="65E74295">
      <w:pPr>
        <w:spacing w:line="360" w:lineRule="auto"/>
        <w:ind w:left="420" w:leftChars="200"/>
        <w:rPr>
          <w:rFonts w:hint="eastAsia" w:asciiTheme="minorEastAsia" w:hAnsiTheme="minorEastAsia" w:eastAsiaTheme="minorEastAsia"/>
          <w:b/>
          <w:bCs/>
          <w:szCs w:val="21"/>
        </w:rPr>
      </w:pPr>
      <w:r>
        <w:rPr>
          <w:rFonts w:hint="eastAsia" w:asciiTheme="minorEastAsia" w:hAnsiTheme="minorEastAsia" w:eastAsiaTheme="minorEastAsia"/>
          <w:b/>
          <w:bCs/>
          <w:szCs w:val="21"/>
        </w:rPr>
        <w:t xml:space="preserve"> </w:t>
      </w:r>
      <w:r>
        <w:rPr>
          <w:rFonts w:asciiTheme="minorEastAsia" w:hAnsiTheme="minorEastAsia" w:eastAsiaTheme="minorEastAsia"/>
          <w:b/>
          <w:bCs/>
          <w:szCs w:val="21"/>
        </w:rPr>
        <w:t xml:space="preserve">  </w:t>
      </w:r>
      <w:r>
        <w:rPr>
          <w:rFonts w:asciiTheme="minorEastAsia" w:hAnsiTheme="minorEastAsia" w:eastAsiaTheme="minorEastAsia"/>
          <w:szCs w:val="21"/>
        </w:rPr>
        <w:t xml:space="preserve"> 4.1 智</w:t>
      </w:r>
      <w:r>
        <w:rPr>
          <w:rFonts w:hint="eastAsia" w:asciiTheme="minorEastAsia" w:hAnsiTheme="minorEastAsia" w:eastAsiaTheme="minorEastAsia"/>
          <w:szCs w:val="21"/>
        </w:rPr>
        <w:t>算</w:t>
      </w:r>
      <w:r>
        <w:rPr>
          <w:rFonts w:asciiTheme="minorEastAsia" w:hAnsiTheme="minorEastAsia" w:eastAsiaTheme="minorEastAsia"/>
          <w:szCs w:val="21"/>
        </w:rPr>
        <w:t>平台和服务器同厂家，</w:t>
      </w:r>
      <w:r>
        <w:rPr>
          <w:rFonts w:hint="eastAsia" w:asciiTheme="minorEastAsia" w:hAnsiTheme="minorEastAsia" w:eastAsiaTheme="minorEastAsia"/>
          <w:szCs w:val="21"/>
        </w:rPr>
        <w:t>具有软件自主权，提供至少3年的软件升级服务</w:t>
      </w:r>
      <w:r>
        <w:rPr>
          <w:rFonts w:asciiTheme="minorEastAsia" w:hAnsiTheme="minorEastAsia" w:eastAsiaTheme="minorEastAsia"/>
          <w:szCs w:val="21"/>
        </w:rPr>
        <w:t>。</w:t>
      </w:r>
    </w:p>
    <w:p w14:paraId="1DDF2E37">
      <w:pPr>
        <w:spacing w:line="360" w:lineRule="auto"/>
        <w:ind w:left="420" w:left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    4.</w:t>
      </w:r>
      <w:r>
        <w:rPr>
          <w:rFonts w:asciiTheme="minorEastAsia" w:hAnsiTheme="minorEastAsia" w:eastAsiaTheme="minorEastAsia"/>
          <w:szCs w:val="21"/>
        </w:rPr>
        <w:t>2</w:t>
      </w:r>
      <w:r>
        <w:rPr>
          <w:rFonts w:hint="eastAsia" w:asciiTheme="minorEastAsia" w:hAnsiTheme="minorEastAsia" w:eastAsiaTheme="minorEastAsia"/>
          <w:szCs w:val="21"/>
        </w:rPr>
        <w:t>支持计算框架（TensorFlow/PyTorch/Caffe等）和编程语言（Python）；支持数据的上传、存储。</w:t>
      </w:r>
    </w:p>
    <w:p w14:paraId="2E24000A">
      <w:pPr>
        <w:spacing w:line="360" w:lineRule="auto"/>
        <w:ind w:left="420" w:left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    4.</w:t>
      </w:r>
      <w:r>
        <w:rPr>
          <w:rFonts w:asciiTheme="minorEastAsia" w:hAnsiTheme="minorEastAsia" w:eastAsiaTheme="minorEastAsia"/>
          <w:szCs w:val="21"/>
        </w:rPr>
        <w:t>3</w:t>
      </w:r>
      <w:r>
        <w:rPr>
          <w:rFonts w:hint="eastAsia" w:asciiTheme="minorEastAsia" w:hAnsiTheme="minorEastAsia" w:eastAsiaTheme="minorEastAsia"/>
          <w:szCs w:val="21"/>
        </w:rPr>
        <w:t>提供可视化任务配置界面，支持参数化输入与依赖管理；具备任务队列管理功能，可查看任务状态及资源占用情况。</w:t>
      </w:r>
    </w:p>
    <w:p w14:paraId="5A79BA8C">
      <w:pPr>
        <w:spacing w:line="360" w:lineRule="auto"/>
        <w:ind w:left="420" w:left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    4.</w:t>
      </w:r>
      <w:r>
        <w:rPr>
          <w:rFonts w:asciiTheme="minorEastAsia" w:hAnsiTheme="minorEastAsia" w:eastAsiaTheme="minorEastAsia"/>
          <w:szCs w:val="21"/>
        </w:rPr>
        <w:t>4</w:t>
      </w:r>
      <w:r>
        <w:rPr>
          <w:rFonts w:hint="eastAsia" w:asciiTheme="minorEastAsia" w:hAnsiTheme="minorEastAsia" w:eastAsiaTheme="minorEastAsia"/>
          <w:szCs w:val="21"/>
        </w:rPr>
        <w:t>提供安全数据共享机制，支持跨项目协助，内置模型训练可视化工具（如TensorBoard集成）。</w:t>
      </w:r>
    </w:p>
    <w:p w14:paraId="548C8D40">
      <w:pPr>
        <w:spacing w:line="360" w:lineRule="auto"/>
        <w:ind w:left="420" w:left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    4.</w:t>
      </w:r>
      <w:r>
        <w:rPr>
          <w:rFonts w:asciiTheme="minorEastAsia" w:hAnsiTheme="minorEastAsia" w:eastAsiaTheme="minorEastAsia"/>
          <w:szCs w:val="21"/>
        </w:rPr>
        <w:t>5</w:t>
      </w:r>
      <w:r>
        <w:rPr>
          <w:rFonts w:hint="eastAsia" w:asciiTheme="minorEastAsia" w:hAnsiTheme="minorEastAsia" w:eastAsiaTheme="minorEastAsia"/>
          <w:szCs w:val="21"/>
        </w:rPr>
        <w:t xml:space="preserve"> 自动匹配算力资源（GPU/CPU）；支持实时日志监控与计算结果下载</w:t>
      </w:r>
    </w:p>
    <w:p w14:paraId="0DA43073">
      <w:pPr>
        <w:spacing w:line="360" w:lineRule="auto"/>
        <w:ind w:left="420" w:left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    4.</w:t>
      </w:r>
      <w:r>
        <w:rPr>
          <w:rFonts w:asciiTheme="minorEastAsia" w:hAnsiTheme="minorEastAsia" w:eastAsiaTheme="minorEastAsia"/>
          <w:szCs w:val="21"/>
        </w:rPr>
        <w:t xml:space="preserve">6 </w:t>
      </w:r>
      <w:r>
        <w:rPr>
          <w:rFonts w:hint="eastAsia" w:asciiTheme="minorEastAsia" w:hAnsiTheme="minorEastAsia" w:eastAsiaTheme="minorEastAsia"/>
          <w:szCs w:val="21"/>
        </w:rPr>
        <w:t>集成Jupyter</w:t>
      </w:r>
      <w:r>
        <w:rPr>
          <w:rFonts w:asciiTheme="minorEastAsia" w:hAnsiTheme="minorEastAsia" w:eastAsiaTheme="minorEastAsia"/>
          <w:szCs w:val="21"/>
        </w:rPr>
        <w:t>，Desktop,terminal</w:t>
      </w:r>
      <w:r>
        <w:rPr>
          <w:rFonts w:hint="eastAsia" w:asciiTheme="minorEastAsia" w:hAnsiTheme="minorEastAsia" w:eastAsiaTheme="minorEastAsia"/>
          <w:szCs w:val="21"/>
        </w:rPr>
        <w:t>等交互式开发工具；支持断点调试、性能分析等开发辅助功能；提供容器化环境隔离。</w:t>
      </w:r>
    </w:p>
    <w:p w14:paraId="12190C96">
      <w:pPr>
        <w:spacing w:line="360" w:lineRule="auto"/>
        <w:ind w:left="420" w:left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   4.</w:t>
      </w:r>
      <w:r>
        <w:rPr>
          <w:rFonts w:asciiTheme="minorEastAsia" w:hAnsiTheme="minorEastAsia" w:eastAsiaTheme="minorEastAsia"/>
          <w:szCs w:val="21"/>
        </w:rPr>
        <w:t>7</w:t>
      </w:r>
      <w:r>
        <w:rPr>
          <w:rFonts w:hint="eastAsia" w:asciiTheme="minorEastAsia" w:hAnsiTheme="minorEastAsia" w:eastAsiaTheme="minorEastAsia"/>
          <w:szCs w:val="21"/>
        </w:rPr>
        <w:t xml:space="preserve"> 硬件资源池化管理（服务器/存储/网络）实时监控资源利用率（CPU/GPU/内存/IO）；基于角色的访问控制，支持</w:t>
      </w:r>
      <w:r>
        <w:rPr>
          <w:rFonts w:asciiTheme="minorEastAsia" w:hAnsiTheme="minorEastAsia" w:eastAsiaTheme="minorEastAsia"/>
          <w:szCs w:val="21"/>
        </w:rPr>
        <w:t>集群管理员、分区管理员、项目管理员、普通用户多级多角色管理，用户的数据存储空间相互隔离，无法越界访问未授权的数据，支持设置用户有效期，以及批量导入用户。</w:t>
      </w:r>
    </w:p>
    <w:p w14:paraId="799145E3">
      <w:pPr>
        <w:spacing w:line="360" w:lineRule="auto"/>
        <w:ind w:left="420" w:left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4.8平台内置Tensorflow、PyTorch、MxNet、CUDA、Gromacs、NAMD、LAMPPS、OpenVINO、oneAPI等镜像，还可连接NGC、Docker HUB等获取镜像，支持用户上传镜像与自定义镜像，满足不同用户对镜像制作的要求。</w:t>
      </w:r>
    </w:p>
    <w:p w14:paraId="08C2F08B">
      <w:pPr>
        <w:spacing w:line="360" w:lineRule="auto"/>
        <w:ind w:left="420" w:leftChars="200"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.9提供安全员角色功能，安全审计员能对系统使用进行审计工作，提供对不良用户以及违规使用情况进行系统操作记录审计的功能</w:t>
      </w:r>
    </w:p>
    <w:p w14:paraId="0D5A7547">
      <w:pPr>
        <w:tabs>
          <w:tab w:val="left" w:pos="900"/>
        </w:tabs>
        <w:spacing w:before="156" w:beforeLines="50" w:line="360" w:lineRule="auto"/>
        <w:rPr>
          <w:rFonts w:hint="eastAsia" w:hAnsi="宋体"/>
          <w:b/>
          <w:szCs w:val="21"/>
        </w:rPr>
      </w:pPr>
      <w:r>
        <w:rPr>
          <w:rFonts w:hint="eastAsia" w:hAnsi="宋体"/>
          <w:b/>
          <w:szCs w:val="21"/>
        </w:rPr>
        <w:t>五、采购标的需满足的服务标准、期限、效率等要求</w:t>
      </w:r>
    </w:p>
    <w:p w14:paraId="4CC710F6">
      <w:pPr>
        <w:numPr>
          <w:ilvl w:val="0"/>
          <w:numId w:val="1"/>
        </w:numPr>
        <w:tabs>
          <w:tab w:val="left" w:pos="900"/>
        </w:tabs>
        <w:spacing w:before="156" w:beforeLines="50" w:line="360" w:lineRule="auto"/>
        <w:rPr>
          <w:rFonts w:hint="eastAsia" w:hAnsi="宋体"/>
          <w:szCs w:val="21"/>
        </w:rPr>
      </w:pPr>
      <w:r>
        <w:rPr>
          <w:rFonts w:hint="eastAsia" w:hAnsi="宋体"/>
          <w:szCs w:val="21"/>
        </w:rPr>
        <w:t xml:space="preserve">质保期： </w:t>
      </w:r>
      <w:r>
        <w:rPr>
          <w:rFonts w:hAnsi="宋体"/>
          <w:szCs w:val="21"/>
          <w:u w:val="single"/>
        </w:rPr>
        <w:t xml:space="preserve">   三    </w:t>
      </w:r>
      <w:r>
        <w:rPr>
          <w:rFonts w:hint="eastAsia" w:hAnsi="宋体"/>
          <w:szCs w:val="21"/>
        </w:rPr>
        <w:t>年。质保期满后，仍需提供专业维修服务，投标人在投标文件中需注明维修服务单项报价。</w:t>
      </w:r>
    </w:p>
    <w:p w14:paraId="7C215B5C">
      <w:pPr>
        <w:numPr>
          <w:ilvl w:val="0"/>
          <w:numId w:val="1"/>
        </w:numPr>
        <w:tabs>
          <w:tab w:val="left" w:pos="900"/>
        </w:tabs>
        <w:spacing w:before="156" w:beforeLines="50" w:line="360" w:lineRule="auto"/>
        <w:rPr>
          <w:rFonts w:hint="eastAsia" w:ascii="宋体" w:hAnsi="宋体"/>
          <w:szCs w:val="21"/>
        </w:rPr>
      </w:pPr>
      <w:r>
        <w:rPr>
          <w:rFonts w:hint="eastAsia" w:ascii="宋体" w:hAnsi="宋体"/>
          <w:szCs w:val="21"/>
        </w:rPr>
        <w:t>服务响应时间：接到维修电话后4小时内给予明确答复，8小时内到达现场维修。维修人员到现场后若问题特殊无法现场修复的，供货方需在24小时内给出合理解决方案。</w:t>
      </w:r>
    </w:p>
    <w:p w14:paraId="26BAD674">
      <w:pPr>
        <w:pStyle w:val="17"/>
        <w:numPr>
          <w:ilvl w:val="0"/>
          <w:numId w:val="1"/>
        </w:numPr>
        <w:tabs>
          <w:tab w:val="left" w:pos="709"/>
        </w:tabs>
        <w:spacing w:before="156" w:line="360" w:lineRule="auto"/>
        <w:ind w:firstLineChars="0"/>
        <w:rPr>
          <w:rFonts w:hint="eastAsia" w:ascii="宋体" w:hAnsi="宋体" w:cs="宋体"/>
        </w:rPr>
      </w:pPr>
      <w:r>
        <w:rPr>
          <w:rFonts w:ascii="宋体" w:hAnsi="宋体"/>
          <w:szCs w:val="21"/>
        </w:rPr>
        <w:t>培训</w:t>
      </w:r>
      <w:r>
        <w:rPr>
          <w:rFonts w:hint="eastAsia" w:ascii="宋体" w:hAnsi="宋体"/>
          <w:szCs w:val="21"/>
        </w:rPr>
        <w:t>要求：</w:t>
      </w:r>
      <w:r>
        <w:rPr>
          <w:rFonts w:ascii="宋体" w:hAnsi="宋体" w:cs="宋体"/>
        </w:rPr>
        <w:t>提供培训电子资料及视频；供方免费为用户培训至少</w:t>
      </w:r>
      <w:r>
        <w:rPr>
          <w:rFonts w:ascii="宋体" w:hAnsi="宋体" w:cs="宋体"/>
          <w:u w:val="single"/>
        </w:rPr>
        <w:t xml:space="preserve"> </w:t>
      </w:r>
      <w:r>
        <w:rPr>
          <w:rFonts w:hint="eastAsia" w:ascii="宋体" w:hAnsi="宋体" w:cs="宋体"/>
          <w:u w:val="single"/>
        </w:rPr>
        <w:t>1</w:t>
      </w:r>
      <w:r>
        <w:rPr>
          <w:rFonts w:ascii="宋体" w:hAnsi="宋体" w:cs="宋体"/>
          <w:u w:val="single"/>
        </w:rPr>
        <w:t xml:space="preserve"> </w:t>
      </w:r>
      <w:r>
        <w:rPr>
          <w:rFonts w:ascii="宋体" w:hAnsi="宋体" w:cs="宋体"/>
        </w:rPr>
        <w:t>名操作人员进行为期至少</w:t>
      </w:r>
      <w:r>
        <w:rPr>
          <w:rFonts w:ascii="宋体" w:hAnsi="宋体" w:cs="宋体"/>
          <w:u w:val="single"/>
        </w:rPr>
        <w:t xml:space="preserve"> </w:t>
      </w:r>
      <w:r>
        <w:rPr>
          <w:rFonts w:hint="eastAsia" w:ascii="宋体" w:hAnsi="宋体" w:cs="宋体"/>
          <w:u w:val="single"/>
        </w:rPr>
        <w:t>1</w:t>
      </w:r>
      <w:r>
        <w:rPr>
          <w:rFonts w:ascii="宋体" w:hAnsi="宋体" w:cs="宋体"/>
          <w:u w:val="single"/>
        </w:rPr>
        <w:t xml:space="preserve">  </w:t>
      </w:r>
      <w:r>
        <w:rPr>
          <w:rFonts w:ascii="宋体" w:hAnsi="宋体" w:cs="宋体"/>
        </w:rPr>
        <w:t xml:space="preserve">天的现场操作培训以及应用培训，保证用户掌握有关设备的使用、维护、管理和应用等工作要求。不定期的免费提供相关设备应用方面的技术咨询等。 </w:t>
      </w:r>
    </w:p>
    <w:p w14:paraId="71E28369">
      <w:pPr>
        <w:tabs>
          <w:tab w:val="left" w:pos="420"/>
          <w:tab w:val="left" w:pos="900"/>
        </w:tabs>
        <w:spacing w:before="156" w:beforeLines="50" w:line="360" w:lineRule="auto"/>
        <w:rPr>
          <w:rFonts w:hint="eastAsia" w:ascii="宋体" w:hAnsi="宋体"/>
          <w:b/>
          <w:szCs w:val="21"/>
        </w:rPr>
      </w:pPr>
      <w:r>
        <w:rPr>
          <w:rFonts w:hint="eastAsia" w:ascii="宋体" w:hAnsi="宋体"/>
          <w:b/>
          <w:szCs w:val="21"/>
        </w:rPr>
        <w:t>六、</w:t>
      </w:r>
      <w:r>
        <w:rPr>
          <w:rFonts w:ascii="宋体" w:hAnsi="宋体"/>
          <w:b/>
          <w:szCs w:val="21"/>
        </w:rPr>
        <w:t>采购标的的</w:t>
      </w:r>
      <w:r>
        <w:rPr>
          <w:rFonts w:hint="eastAsia" w:ascii="宋体" w:hAnsi="宋体"/>
          <w:b/>
          <w:szCs w:val="21"/>
        </w:rPr>
        <w:t>履约验收标准</w:t>
      </w:r>
    </w:p>
    <w:p w14:paraId="6B5A4A6F">
      <w:pPr>
        <w:tabs>
          <w:tab w:val="left" w:pos="420"/>
          <w:tab w:val="left" w:pos="900"/>
        </w:tabs>
        <w:spacing w:before="156" w:beforeLines="50" w:line="360" w:lineRule="auto"/>
        <w:rPr>
          <w:rFonts w:hint="eastAsia" w:ascii="宋体" w:hAnsi="宋体"/>
          <w:b/>
          <w:szCs w:val="21"/>
        </w:rPr>
      </w:pPr>
    </w:p>
    <w:bookmarkEnd w:id="1"/>
    <w:bookmarkEnd w:id="2"/>
    <w:bookmarkEnd w:id="3"/>
    <w:tbl>
      <w:tblPr>
        <w:tblStyle w:val="8"/>
        <w:tblW w:w="8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3507"/>
        <w:gridCol w:w="2254"/>
        <w:gridCol w:w="2114"/>
      </w:tblGrid>
      <w:tr w14:paraId="1667C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601" w:type="dxa"/>
            <w:gridSpan w:val="4"/>
            <w:vAlign w:val="center"/>
          </w:tcPr>
          <w:p w14:paraId="19D834A1">
            <w:pPr>
              <w:widowControl/>
              <w:jc w:val="center"/>
              <w:textAlignment w:val="baseline"/>
              <w:rPr>
                <w:color w:val="000000"/>
                <w:kern w:val="0"/>
                <w:sz w:val="20"/>
                <w:szCs w:val="21"/>
              </w:rPr>
            </w:pPr>
            <w:r>
              <w:rPr>
                <w:color w:val="000000"/>
                <w:kern w:val="0"/>
                <w:sz w:val="20"/>
                <w:szCs w:val="21"/>
              </w:rPr>
              <w:t>现场的检验指标及方法</w:t>
            </w:r>
          </w:p>
        </w:tc>
      </w:tr>
      <w:tr w14:paraId="7A2E2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26" w:type="dxa"/>
            <w:vAlign w:val="center"/>
          </w:tcPr>
          <w:p w14:paraId="25DAFB74">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5CED5B18">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18CC8C46">
            <w:pPr>
              <w:widowControl/>
              <w:jc w:val="center"/>
              <w:textAlignment w:val="baseline"/>
              <w:rPr>
                <w:color w:val="000000"/>
                <w:kern w:val="0"/>
                <w:sz w:val="20"/>
                <w:szCs w:val="21"/>
              </w:rPr>
            </w:pPr>
            <w:r>
              <w:rPr>
                <w:color w:val="000000"/>
                <w:kern w:val="0"/>
                <w:sz w:val="20"/>
                <w:szCs w:val="21"/>
              </w:rPr>
              <w:t>验收或测试方法</w:t>
            </w:r>
          </w:p>
        </w:tc>
      </w:tr>
      <w:tr w14:paraId="6BE14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14:paraId="5812FF84">
            <w:pPr>
              <w:widowControl/>
              <w:jc w:val="left"/>
              <w:textAlignment w:val="baseline"/>
              <w:rPr>
                <w:rFonts w:hint="eastAsia" w:ascii="黑体" w:hAnsi="黑体" w:eastAsia="黑体"/>
                <w:b/>
                <w:color w:val="000000"/>
                <w:kern w:val="0"/>
                <w:sz w:val="18"/>
                <w:szCs w:val="18"/>
              </w:rPr>
            </w:pPr>
            <w:r>
              <w:rPr>
                <w:rFonts w:hint="eastAsia" w:ascii="黑体" w:hAnsi="黑体" w:eastAsia="黑体"/>
                <w:b/>
                <w:color w:val="000000"/>
                <w:kern w:val="0"/>
                <w:sz w:val="18"/>
                <w:szCs w:val="18"/>
              </w:rPr>
              <w:t>项目建设单位验收要求：</w:t>
            </w:r>
          </w:p>
        </w:tc>
      </w:tr>
      <w:tr w14:paraId="77805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3CA2EB36">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51264A29">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44F7F50A">
            <w:pPr>
              <w:widowControl/>
              <w:jc w:val="left"/>
              <w:textAlignment w:val="baseline"/>
              <w:rPr>
                <w:color w:val="000000"/>
                <w:kern w:val="0"/>
                <w:sz w:val="18"/>
                <w:szCs w:val="18"/>
              </w:rPr>
            </w:pPr>
            <w:r>
              <w:rPr>
                <w:color w:val="000000"/>
                <w:kern w:val="0"/>
                <w:sz w:val="18"/>
                <w:szCs w:val="18"/>
              </w:rPr>
              <w:t>现场核查</w:t>
            </w:r>
          </w:p>
        </w:tc>
      </w:tr>
      <w:tr w14:paraId="5FE9E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122CE4DB">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5F546638">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配置、包括备品备件、耗</w:t>
            </w:r>
            <w:r>
              <w:rPr>
                <w:rFonts w:hint="eastAsia"/>
                <w:color w:val="000000"/>
                <w:kern w:val="0"/>
                <w:sz w:val="18"/>
                <w:szCs w:val="18"/>
              </w:rPr>
              <w:t>品耗</w:t>
            </w:r>
            <w:r>
              <w:rPr>
                <w:color w:val="000000"/>
                <w:kern w:val="0"/>
                <w:sz w:val="18"/>
                <w:szCs w:val="18"/>
              </w:rPr>
              <w:t>材等提供齐全，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43E2692E">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14:paraId="0F582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2B442477">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7037AEFC">
            <w:pPr>
              <w:widowControl/>
              <w:textAlignment w:val="baseline"/>
              <w:rPr>
                <w:color w:val="000000" w:themeColor="text1"/>
                <w:kern w:val="0"/>
                <w:sz w:val="18"/>
                <w:szCs w:val="18"/>
                <w14:textFill>
                  <w14:solidFill>
                    <w14:schemeClr w14:val="tx1"/>
                  </w14:solidFill>
                </w14:textFill>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2340FDDF">
            <w:pPr>
              <w:rPr>
                <w:rFonts w:hint="eastAsia" w:hAnsi="宋体"/>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《产品出厂检测报告》《产品合格证书》和根据合同约定提供《第三方检测报告》。</w:t>
            </w:r>
          </w:p>
        </w:tc>
      </w:tr>
      <w:tr w14:paraId="53A63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43A1E45A">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14:paraId="34C22B49">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14:paraId="18035A27">
            <w:pPr>
              <w:widowControl/>
              <w:textAlignment w:val="baseline"/>
              <w:rPr>
                <w:color w:val="000000"/>
                <w:kern w:val="0"/>
                <w:sz w:val="18"/>
                <w:szCs w:val="18"/>
              </w:rPr>
            </w:pPr>
            <w:r>
              <w:rPr>
                <w:color w:val="000000"/>
                <w:kern w:val="0"/>
                <w:sz w:val="18"/>
                <w:szCs w:val="18"/>
              </w:rPr>
              <w:t>现场核查</w:t>
            </w:r>
          </w:p>
        </w:tc>
      </w:tr>
      <w:tr w14:paraId="29550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2B193A4E">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3507" w:type="dxa"/>
            <w:vAlign w:val="center"/>
          </w:tcPr>
          <w:p w14:paraId="01DE913D">
            <w:pPr>
              <w:widowControl/>
              <w:textAlignment w:val="baseline"/>
              <w:rPr>
                <w:color w:val="000000" w:themeColor="text1"/>
                <w:kern w:val="0"/>
                <w:sz w:val="18"/>
                <w:szCs w:val="18"/>
                <w14:textFill>
                  <w14:solidFill>
                    <w14:schemeClr w14:val="tx1"/>
                  </w14:solidFill>
                </w14:textFill>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52768EE6">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14:paraId="1AD86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3D1AC9E1">
            <w:pPr>
              <w:widowControl/>
              <w:spacing w:line="450" w:lineRule="atLeast"/>
              <w:jc w:val="center"/>
              <w:textAlignment w:val="baseline"/>
              <w:rPr>
                <w:color w:val="000000"/>
                <w:kern w:val="0"/>
                <w:sz w:val="20"/>
                <w:szCs w:val="21"/>
              </w:rPr>
            </w:pPr>
            <w:r>
              <w:rPr>
                <w:rFonts w:hint="eastAsia"/>
                <w:color w:val="000000"/>
                <w:kern w:val="0"/>
                <w:sz w:val="20"/>
                <w:szCs w:val="21"/>
              </w:rPr>
              <w:t>6</w:t>
            </w:r>
          </w:p>
        </w:tc>
        <w:tc>
          <w:tcPr>
            <w:tcW w:w="7875" w:type="dxa"/>
            <w:gridSpan w:val="3"/>
            <w:vAlign w:val="center"/>
          </w:tcPr>
          <w:p w14:paraId="47BF8EDC">
            <w:pPr>
              <w:widowControl/>
              <w:textAlignment w:val="baseline"/>
              <w:rPr>
                <w:color w:val="000000"/>
                <w:kern w:val="0"/>
                <w:sz w:val="18"/>
                <w:szCs w:val="18"/>
              </w:rPr>
            </w:pPr>
            <w:r>
              <w:rPr>
                <w:rFonts w:hint="eastAsia"/>
                <w:color w:val="000000"/>
                <w:kern w:val="0"/>
                <w:sz w:val="18"/>
                <w:szCs w:val="18"/>
              </w:rPr>
              <w:t>《供应商货物类项目完工报告》，《项目建设单位货物类项目完工自验收报告》，《项目建设单位货物类项目完工自验收报告》，《第三方检测报告》等与验收相关的材料由项目建设单位妥善保管存档。</w:t>
            </w:r>
          </w:p>
        </w:tc>
      </w:tr>
      <w:tr w14:paraId="22D68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14:paraId="7B847056">
            <w:pPr>
              <w:widowControl/>
              <w:jc w:val="left"/>
              <w:textAlignment w:val="baseline"/>
              <w:rPr>
                <w:color w:val="000000"/>
                <w:kern w:val="0"/>
                <w:sz w:val="18"/>
                <w:szCs w:val="18"/>
              </w:rPr>
            </w:pPr>
            <w:r>
              <w:rPr>
                <w:rFonts w:hint="eastAsia" w:ascii="黑体" w:hAnsi="黑体" w:eastAsia="黑体"/>
                <w:b/>
                <w:color w:val="000000"/>
                <w:kern w:val="0"/>
                <w:sz w:val="18"/>
                <w:szCs w:val="18"/>
              </w:rPr>
              <w:t>学校验收复核要求：</w:t>
            </w:r>
          </w:p>
        </w:tc>
      </w:tr>
      <w:tr w14:paraId="6BB2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1B1D2299">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47C50087">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14:paraId="2E6B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2A1CF0AC">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3349B9D9">
            <w:pPr>
              <w:widowControl/>
              <w:textAlignment w:val="baseline"/>
              <w:rPr>
                <w:color w:val="000000"/>
                <w:kern w:val="0"/>
                <w:sz w:val="18"/>
                <w:szCs w:val="18"/>
              </w:rPr>
            </w:pPr>
            <w:r>
              <w:rPr>
                <w:rFonts w:hint="eastAsia"/>
                <w:color w:val="000000"/>
                <w:kern w:val="0"/>
                <w:sz w:val="18"/>
                <w:szCs w:val="18"/>
              </w:rPr>
              <w:t>提供《供应商货物类项目完工报告》</w:t>
            </w:r>
          </w:p>
        </w:tc>
      </w:tr>
      <w:tr w14:paraId="69CC6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6BFF4DD7">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3C5A2864">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14:paraId="54693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61425DE9">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4A19A203">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14:paraId="5EA69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33" w:type="dxa"/>
            <w:gridSpan w:val="2"/>
            <w:vAlign w:val="center"/>
          </w:tcPr>
          <w:p w14:paraId="643A8546">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3417B695">
            <w:pPr>
              <w:widowControl/>
              <w:textAlignment w:val="baseline"/>
              <w:rPr>
                <w:color w:val="000000"/>
                <w:kern w:val="0"/>
                <w:sz w:val="20"/>
                <w:szCs w:val="21"/>
              </w:rPr>
            </w:pPr>
            <w:r>
              <w:rPr>
                <w:color w:val="000000"/>
                <w:kern w:val="0"/>
                <w:sz w:val="20"/>
                <w:szCs w:val="21"/>
              </w:rPr>
              <w:t>是</w:t>
            </w:r>
            <w:r>
              <w:rPr>
                <w:rFonts w:hint="eastAsia" w:cs="宋体" w:asciiTheme="minorEastAsia" w:hAnsiTheme="minorEastAsia"/>
                <w:color w:val="000000"/>
                <w:kern w:val="0"/>
                <w:sz w:val="20"/>
                <w:szCs w:val="21"/>
              </w:rPr>
              <w:t>□</w:t>
            </w:r>
          </w:p>
        </w:tc>
        <w:tc>
          <w:tcPr>
            <w:tcW w:w="2114" w:type="dxa"/>
            <w:vAlign w:val="center"/>
          </w:tcPr>
          <w:p w14:paraId="0CC4380A">
            <w:pPr>
              <w:widowControl/>
              <w:textAlignment w:val="baseline"/>
              <w:rPr>
                <w:color w:val="000000"/>
                <w:kern w:val="0"/>
                <w:sz w:val="20"/>
                <w:szCs w:val="21"/>
              </w:rPr>
            </w:pPr>
            <w:r>
              <w:rPr>
                <w:color w:val="000000"/>
                <w:kern w:val="0"/>
                <w:sz w:val="20"/>
                <w:szCs w:val="21"/>
              </w:rPr>
              <w:t>否</w:t>
            </w:r>
            <w:r>
              <w:rPr>
                <w:rFonts w:hint="eastAsia" w:ascii="宋体" w:hAnsi="宋体" w:cs="宋体"/>
                <w:color w:val="000000"/>
                <w:kern w:val="0"/>
                <w:sz w:val="20"/>
                <w:szCs w:val="21"/>
              </w:rPr>
              <w:t>√</w:t>
            </w:r>
          </w:p>
        </w:tc>
      </w:tr>
      <w:tr w14:paraId="372EE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33" w:type="dxa"/>
            <w:gridSpan w:val="2"/>
            <w:vAlign w:val="center"/>
          </w:tcPr>
          <w:p w14:paraId="38E843AD">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41792182">
            <w:pPr>
              <w:widowControl/>
              <w:textAlignment w:val="baseline"/>
              <w:rPr>
                <w:color w:val="000000"/>
                <w:kern w:val="0"/>
                <w:sz w:val="20"/>
                <w:szCs w:val="21"/>
              </w:rPr>
            </w:pPr>
            <w:r>
              <w:rPr>
                <w:color w:val="000000"/>
                <w:kern w:val="0"/>
                <w:sz w:val="20"/>
                <w:szCs w:val="21"/>
              </w:rPr>
              <w:t>是</w:t>
            </w:r>
            <w:r>
              <w:rPr>
                <w:rFonts w:hint="eastAsia" w:cs="宋体" w:asciiTheme="minorEastAsia" w:hAnsiTheme="minorEastAsia"/>
                <w:color w:val="000000"/>
                <w:kern w:val="0"/>
                <w:sz w:val="20"/>
                <w:szCs w:val="21"/>
              </w:rPr>
              <w:t>□</w:t>
            </w:r>
          </w:p>
        </w:tc>
        <w:tc>
          <w:tcPr>
            <w:tcW w:w="2114" w:type="dxa"/>
            <w:vAlign w:val="center"/>
          </w:tcPr>
          <w:p w14:paraId="5F075403">
            <w:pPr>
              <w:widowControl/>
              <w:textAlignment w:val="baseline"/>
              <w:rPr>
                <w:color w:val="000000"/>
                <w:kern w:val="0"/>
                <w:sz w:val="20"/>
                <w:szCs w:val="21"/>
              </w:rPr>
            </w:pPr>
            <w:r>
              <w:rPr>
                <w:color w:val="000000"/>
                <w:kern w:val="0"/>
                <w:sz w:val="20"/>
                <w:szCs w:val="21"/>
              </w:rPr>
              <w:t>否</w:t>
            </w:r>
            <w:r>
              <w:rPr>
                <w:rFonts w:hint="eastAsia" w:ascii="宋体" w:hAnsi="宋体" w:cs="宋体"/>
                <w:color w:val="000000"/>
                <w:kern w:val="0"/>
                <w:sz w:val="20"/>
                <w:szCs w:val="21"/>
              </w:rPr>
              <w:t>√</w:t>
            </w:r>
          </w:p>
        </w:tc>
      </w:tr>
      <w:tr w14:paraId="2F324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1" w:type="dxa"/>
            <w:gridSpan w:val="4"/>
            <w:vAlign w:val="center"/>
          </w:tcPr>
          <w:p w14:paraId="1D004A62">
            <w:pPr>
              <w:widowControl/>
              <w:textAlignment w:val="baseline"/>
              <w:rPr>
                <w:color w:val="000000"/>
                <w:kern w:val="0"/>
                <w:sz w:val="20"/>
                <w:szCs w:val="21"/>
              </w:rPr>
            </w:pPr>
            <w:r>
              <w:rPr>
                <w:color w:val="000000"/>
                <w:kern w:val="0"/>
                <w:sz w:val="20"/>
                <w:szCs w:val="21"/>
              </w:rPr>
              <w:t>除现场验收外，需提供的其他验收要求</w:t>
            </w:r>
          </w:p>
        </w:tc>
      </w:tr>
      <w:tr w14:paraId="6F3C0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233" w:type="dxa"/>
            <w:gridSpan w:val="2"/>
            <w:vAlign w:val="center"/>
          </w:tcPr>
          <w:p w14:paraId="3649052C">
            <w:pPr>
              <w:widowControl/>
              <w:spacing w:line="450" w:lineRule="atLeast"/>
              <w:textAlignment w:val="baseline"/>
              <w:rPr>
                <w:color w:val="000000"/>
                <w:kern w:val="0"/>
                <w:sz w:val="20"/>
                <w:szCs w:val="21"/>
              </w:rPr>
            </w:pPr>
            <w:r>
              <w:rPr>
                <w:color w:val="000000"/>
                <w:kern w:val="0"/>
                <w:sz w:val="20"/>
                <w:szCs w:val="21"/>
              </w:rPr>
              <w:t>除现场验收外，是</w:t>
            </w:r>
            <w:r>
              <w:rPr>
                <w:rFonts w:hint="eastAsia" w:ascii="宋体" w:hAnsi="宋体" w:cs="宋体"/>
                <w:color w:val="000000"/>
                <w:kern w:val="0"/>
                <w:sz w:val="20"/>
                <w:szCs w:val="21"/>
              </w:rPr>
              <w:t>√</w:t>
            </w:r>
            <w:r>
              <w:rPr>
                <w:color w:val="000000"/>
                <w:kern w:val="0"/>
                <w:sz w:val="20"/>
                <w:szCs w:val="21"/>
              </w:rPr>
              <w:t>否</w:t>
            </w:r>
            <w:r>
              <w:rPr>
                <w:rFonts w:hint="eastAsia" w:cs="宋体" w:asciiTheme="minorEastAsia" w:hAnsiTheme="minorEastAsia"/>
                <w:color w:val="000000"/>
                <w:kern w:val="0"/>
                <w:sz w:val="20"/>
                <w:szCs w:val="21"/>
              </w:rPr>
              <w:t>□</w:t>
            </w:r>
            <w:r>
              <w:rPr>
                <w:color w:val="000000"/>
                <w:kern w:val="0"/>
                <w:sz w:val="20"/>
                <w:szCs w:val="21"/>
              </w:rPr>
              <w:t>需提供第三方检测报告</w:t>
            </w:r>
          </w:p>
          <w:p w14:paraId="2A583650">
            <w:pPr>
              <w:widowControl/>
              <w:spacing w:line="450" w:lineRule="atLeast"/>
              <w:textAlignment w:val="baseline"/>
              <w:rPr>
                <w:color w:val="000000"/>
                <w:kern w:val="0"/>
                <w:sz w:val="20"/>
                <w:szCs w:val="21"/>
              </w:rPr>
            </w:pPr>
          </w:p>
        </w:tc>
        <w:tc>
          <w:tcPr>
            <w:tcW w:w="4368" w:type="dxa"/>
            <w:gridSpan w:val="2"/>
            <w:vAlign w:val="center"/>
          </w:tcPr>
          <w:p w14:paraId="15285FED">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48F4B7CD">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6E394356"/>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7B648">
    <w:pPr>
      <w:pStyle w:val="4"/>
      <w:jc w:val="center"/>
    </w:pPr>
    <w:r>
      <w:fldChar w:fldCharType="begin"/>
    </w:r>
    <w:r>
      <w:instrText xml:space="preserve">PAGE   \* MERGEFORMAT</w:instrText>
    </w:r>
    <w:r>
      <w:fldChar w:fldCharType="separate"/>
    </w:r>
    <w:r>
      <w:rPr>
        <w:lang w:val="zh-CN"/>
      </w:rPr>
      <w:t>4</w:t>
    </w:r>
    <w:r>
      <w:fldChar w:fldCharType="end"/>
    </w:r>
  </w:p>
  <w:p w14:paraId="6128B063">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D475B4"/>
    <w:multiLevelType w:val="multilevel"/>
    <w:tmpl w:val="1AD475B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1FC"/>
    <w:rsid w:val="000045B7"/>
    <w:rsid w:val="000170BA"/>
    <w:rsid w:val="00017C9A"/>
    <w:rsid w:val="000418B7"/>
    <w:rsid w:val="0006617F"/>
    <w:rsid w:val="00090056"/>
    <w:rsid w:val="000A1120"/>
    <w:rsid w:val="000A209A"/>
    <w:rsid w:val="000A7913"/>
    <w:rsid w:val="000C588B"/>
    <w:rsid w:val="000D378B"/>
    <w:rsid w:val="000E272A"/>
    <w:rsid w:val="001050FF"/>
    <w:rsid w:val="00105428"/>
    <w:rsid w:val="001118DE"/>
    <w:rsid w:val="00121C66"/>
    <w:rsid w:val="0012727F"/>
    <w:rsid w:val="001400C4"/>
    <w:rsid w:val="00140AF0"/>
    <w:rsid w:val="001507CE"/>
    <w:rsid w:val="00157667"/>
    <w:rsid w:val="001609FC"/>
    <w:rsid w:val="00162A76"/>
    <w:rsid w:val="0017493A"/>
    <w:rsid w:val="00176534"/>
    <w:rsid w:val="0018461B"/>
    <w:rsid w:val="00192B6A"/>
    <w:rsid w:val="001B03C0"/>
    <w:rsid w:val="001B712C"/>
    <w:rsid w:val="001C0880"/>
    <w:rsid w:val="001C41C3"/>
    <w:rsid w:val="001C65BB"/>
    <w:rsid w:val="001C6FB4"/>
    <w:rsid w:val="001C7C84"/>
    <w:rsid w:val="001D450F"/>
    <w:rsid w:val="001D6158"/>
    <w:rsid w:val="001E4E8C"/>
    <w:rsid w:val="002125C1"/>
    <w:rsid w:val="002204EA"/>
    <w:rsid w:val="0023014A"/>
    <w:rsid w:val="00235B82"/>
    <w:rsid w:val="00237253"/>
    <w:rsid w:val="002815C8"/>
    <w:rsid w:val="0028524D"/>
    <w:rsid w:val="002A4902"/>
    <w:rsid w:val="002A6571"/>
    <w:rsid w:val="002B3A1B"/>
    <w:rsid w:val="002B7C6E"/>
    <w:rsid w:val="002C0D9A"/>
    <w:rsid w:val="002D68DE"/>
    <w:rsid w:val="002F3219"/>
    <w:rsid w:val="003027D7"/>
    <w:rsid w:val="00306670"/>
    <w:rsid w:val="00310E17"/>
    <w:rsid w:val="003113D4"/>
    <w:rsid w:val="00344C98"/>
    <w:rsid w:val="003452AD"/>
    <w:rsid w:val="003458D7"/>
    <w:rsid w:val="00345D8D"/>
    <w:rsid w:val="00353DB2"/>
    <w:rsid w:val="00353EC3"/>
    <w:rsid w:val="0036352F"/>
    <w:rsid w:val="003649AF"/>
    <w:rsid w:val="00373454"/>
    <w:rsid w:val="00395C91"/>
    <w:rsid w:val="003B1B61"/>
    <w:rsid w:val="003C63B2"/>
    <w:rsid w:val="003D068C"/>
    <w:rsid w:val="003D06DB"/>
    <w:rsid w:val="003E4113"/>
    <w:rsid w:val="003E4FDA"/>
    <w:rsid w:val="003F0575"/>
    <w:rsid w:val="003F6BB1"/>
    <w:rsid w:val="00414F2F"/>
    <w:rsid w:val="004262EC"/>
    <w:rsid w:val="00426CB3"/>
    <w:rsid w:val="004403D5"/>
    <w:rsid w:val="0044054F"/>
    <w:rsid w:val="00443471"/>
    <w:rsid w:val="00447743"/>
    <w:rsid w:val="00453832"/>
    <w:rsid w:val="00463CAC"/>
    <w:rsid w:val="0049248F"/>
    <w:rsid w:val="004951D7"/>
    <w:rsid w:val="004A048D"/>
    <w:rsid w:val="004A43F0"/>
    <w:rsid w:val="004B3DFE"/>
    <w:rsid w:val="004C0DBD"/>
    <w:rsid w:val="004C4FD2"/>
    <w:rsid w:val="004E3314"/>
    <w:rsid w:val="004E36C2"/>
    <w:rsid w:val="004E4B14"/>
    <w:rsid w:val="004F4CFF"/>
    <w:rsid w:val="00501176"/>
    <w:rsid w:val="0051081D"/>
    <w:rsid w:val="00510891"/>
    <w:rsid w:val="0052535A"/>
    <w:rsid w:val="0053111A"/>
    <w:rsid w:val="00534361"/>
    <w:rsid w:val="005460A0"/>
    <w:rsid w:val="00562C62"/>
    <w:rsid w:val="005633CE"/>
    <w:rsid w:val="00571ADE"/>
    <w:rsid w:val="005803F6"/>
    <w:rsid w:val="005853E9"/>
    <w:rsid w:val="0059304A"/>
    <w:rsid w:val="005951EF"/>
    <w:rsid w:val="005A3DE0"/>
    <w:rsid w:val="005B075B"/>
    <w:rsid w:val="005B62C9"/>
    <w:rsid w:val="005C3DA0"/>
    <w:rsid w:val="005D0233"/>
    <w:rsid w:val="005E6A0A"/>
    <w:rsid w:val="005F1571"/>
    <w:rsid w:val="005F401F"/>
    <w:rsid w:val="005F7EB4"/>
    <w:rsid w:val="00611202"/>
    <w:rsid w:val="00614B8D"/>
    <w:rsid w:val="006237BE"/>
    <w:rsid w:val="00632AA2"/>
    <w:rsid w:val="00636F27"/>
    <w:rsid w:val="00640733"/>
    <w:rsid w:val="00650489"/>
    <w:rsid w:val="006668DC"/>
    <w:rsid w:val="006878E9"/>
    <w:rsid w:val="0069087B"/>
    <w:rsid w:val="00691FB4"/>
    <w:rsid w:val="006C2918"/>
    <w:rsid w:val="006C4396"/>
    <w:rsid w:val="006C782C"/>
    <w:rsid w:val="006D095D"/>
    <w:rsid w:val="006D7730"/>
    <w:rsid w:val="006F3F67"/>
    <w:rsid w:val="00703AC6"/>
    <w:rsid w:val="00710AA5"/>
    <w:rsid w:val="00715B3F"/>
    <w:rsid w:val="00726751"/>
    <w:rsid w:val="007554BB"/>
    <w:rsid w:val="00761D5A"/>
    <w:rsid w:val="0076501A"/>
    <w:rsid w:val="007839AE"/>
    <w:rsid w:val="00785146"/>
    <w:rsid w:val="007A5DE1"/>
    <w:rsid w:val="007B5B7F"/>
    <w:rsid w:val="007D7686"/>
    <w:rsid w:val="007F4BD9"/>
    <w:rsid w:val="00800E11"/>
    <w:rsid w:val="00800E12"/>
    <w:rsid w:val="00801053"/>
    <w:rsid w:val="0080610F"/>
    <w:rsid w:val="008153D5"/>
    <w:rsid w:val="00823CA9"/>
    <w:rsid w:val="008403A0"/>
    <w:rsid w:val="008443F9"/>
    <w:rsid w:val="0084652E"/>
    <w:rsid w:val="00860346"/>
    <w:rsid w:val="00870113"/>
    <w:rsid w:val="0087359A"/>
    <w:rsid w:val="00873F09"/>
    <w:rsid w:val="008818D5"/>
    <w:rsid w:val="0089621F"/>
    <w:rsid w:val="008978F2"/>
    <w:rsid w:val="00897CD0"/>
    <w:rsid w:val="008C0BE7"/>
    <w:rsid w:val="008C63B2"/>
    <w:rsid w:val="008D094B"/>
    <w:rsid w:val="008D0E90"/>
    <w:rsid w:val="008D222C"/>
    <w:rsid w:val="008F2ED3"/>
    <w:rsid w:val="008F304A"/>
    <w:rsid w:val="00902581"/>
    <w:rsid w:val="009043BA"/>
    <w:rsid w:val="00912013"/>
    <w:rsid w:val="00914745"/>
    <w:rsid w:val="00921700"/>
    <w:rsid w:val="00921DFC"/>
    <w:rsid w:val="00925E61"/>
    <w:rsid w:val="00946EF5"/>
    <w:rsid w:val="00961EAD"/>
    <w:rsid w:val="00981987"/>
    <w:rsid w:val="0099177F"/>
    <w:rsid w:val="00993330"/>
    <w:rsid w:val="00995789"/>
    <w:rsid w:val="009B2EF0"/>
    <w:rsid w:val="009B697B"/>
    <w:rsid w:val="009D131F"/>
    <w:rsid w:val="009D2E89"/>
    <w:rsid w:val="009D3518"/>
    <w:rsid w:val="009F6CAB"/>
    <w:rsid w:val="009F7A2C"/>
    <w:rsid w:val="00A047F0"/>
    <w:rsid w:val="00A146C2"/>
    <w:rsid w:val="00A161FC"/>
    <w:rsid w:val="00A41EA2"/>
    <w:rsid w:val="00A60C98"/>
    <w:rsid w:val="00A61492"/>
    <w:rsid w:val="00A61746"/>
    <w:rsid w:val="00A62F42"/>
    <w:rsid w:val="00A765E9"/>
    <w:rsid w:val="00A865ED"/>
    <w:rsid w:val="00A86DAE"/>
    <w:rsid w:val="00AA38E0"/>
    <w:rsid w:val="00AA52A2"/>
    <w:rsid w:val="00AB48E9"/>
    <w:rsid w:val="00AC005D"/>
    <w:rsid w:val="00AC6F95"/>
    <w:rsid w:val="00AC7940"/>
    <w:rsid w:val="00AC7FA5"/>
    <w:rsid w:val="00AE1AFA"/>
    <w:rsid w:val="00AE67A6"/>
    <w:rsid w:val="00AF7468"/>
    <w:rsid w:val="00B015CE"/>
    <w:rsid w:val="00B15035"/>
    <w:rsid w:val="00B151BE"/>
    <w:rsid w:val="00B26D05"/>
    <w:rsid w:val="00B27B74"/>
    <w:rsid w:val="00B43698"/>
    <w:rsid w:val="00B4481B"/>
    <w:rsid w:val="00B4483F"/>
    <w:rsid w:val="00B47D50"/>
    <w:rsid w:val="00B72BD6"/>
    <w:rsid w:val="00B91989"/>
    <w:rsid w:val="00B94A57"/>
    <w:rsid w:val="00BA359E"/>
    <w:rsid w:val="00BB2053"/>
    <w:rsid w:val="00BB469B"/>
    <w:rsid w:val="00BB7A38"/>
    <w:rsid w:val="00BC1008"/>
    <w:rsid w:val="00BC3D86"/>
    <w:rsid w:val="00BC7870"/>
    <w:rsid w:val="00BD0727"/>
    <w:rsid w:val="00BE12E8"/>
    <w:rsid w:val="00BE5444"/>
    <w:rsid w:val="00BF0663"/>
    <w:rsid w:val="00C1098B"/>
    <w:rsid w:val="00C10AE9"/>
    <w:rsid w:val="00C15054"/>
    <w:rsid w:val="00C25ADC"/>
    <w:rsid w:val="00C36A51"/>
    <w:rsid w:val="00C60612"/>
    <w:rsid w:val="00C63818"/>
    <w:rsid w:val="00C65472"/>
    <w:rsid w:val="00C742D1"/>
    <w:rsid w:val="00C82348"/>
    <w:rsid w:val="00CA1484"/>
    <w:rsid w:val="00CB10CE"/>
    <w:rsid w:val="00CD153F"/>
    <w:rsid w:val="00CD2230"/>
    <w:rsid w:val="00CD50E0"/>
    <w:rsid w:val="00CE4765"/>
    <w:rsid w:val="00CF1A7D"/>
    <w:rsid w:val="00D01B0A"/>
    <w:rsid w:val="00D04B4C"/>
    <w:rsid w:val="00D324D9"/>
    <w:rsid w:val="00D41788"/>
    <w:rsid w:val="00D45ED1"/>
    <w:rsid w:val="00D56E82"/>
    <w:rsid w:val="00D94396"/>
    <w:rsid w:val="00D97FEA"/>
    <w:rsid w:val="00DB5F3C"/>
    <w:rsid w:val="00DB6ED1"/>
    <w:rsid w:val="00DC15C6"/>
    <w:rsid w:val="00DC1928"/>
    <w:rsid w:val="00DF1EA0"/>
    <w:rsid w:val="00DF5062"/>
    <w:rsid w:val="00E02FC1"/>
    <w:rsid w:val="00E0305B"/>
    <w:rsid w:val="00E0581E"/>
    <w:rsid w:val="00E1130A"/>
    <w:rsid w:val="00E13236"/>
    <w:rsid w:val="00E22081"/>
    <w:rsid w:val="00E34F90"/>
    <w:rsid w:val="00E4264C"/>
    <w:rsid w:val="00E43701"/>
    <w:rsid w:val="00E70EFF"/>
    <w:rsid w:val="00E72288"/>
    <w:rsid w:val="00E73399"/>
    <w:rsid w:val="00E74CB1"/>
    <w:rsid w:val="00E7573D"/>
    <w:rsid w:val="00E76B0F"/>
    <w:rsid w:val="00E821CF"/>
    <w:rsid w:val="00E85911"/>
    <w:rsid w:val="00E874A4"/>
    <w:rsid w:val="00E931F1"/>
    <w:rsid w:val="00EA4104"/>
    <w:rsid w:val="00EB3494"/>
    <w:rsid w:val="00EF7E1B"/>
    <w:rsid w:val="00F072C1"/>
    <w:rsid w:val="00F07693"/>
    <w:rsid w:val="00F10369"/>
    <w:rsid w:val="00F160CC"/>
    <w:rsid w:val="00F17DEA"/>
    <w:rsid w:val="00F24EC4"/>
    <w:rsid w:val="00F35137"/>
    <w:rsid w:val="00F358C2"/>
    <w:rsid w:val="00F43286"/>
    <w:rsid w:val="00F51892"/>
    <w:rsid w:val="00F57DCD"/>
    <w:rsid w:val="00F8023C"/>
    <w:rsid w:val="00F9789E"/>
    <w:rsid w:val="00FB00E1"/>
    <w:rsid w:val="00FC1111"/>
    <w:rsid w:val="00FC3BB8"/>
    <w:rsid w:val="00FE1B41"/>
    <w:rsid w:val="00FF21F2"/>
    <w:rsid w:val="00FF339E"/>
    <w:rsid w:val="00FF47AD"/>
    <w:rsid w:val="00FF49E8"/>
    <w:rsid w:val="00FF698C"/>
    <w:rsid w:val="1BC72B84"/>
    <w:rsid w:val="1F404EB7"/>
    <w:rsid w:val="24F24109"/>
    <w:rsid w:val="3A742285"/>
    <w:rsid w:val="3E574754"/>
    <w:rsid w:val="4FAF6015"/>
    <w:rsid w:val="53B931EA"/>
    <w:rsid w:val="53E87E31"/>
    <w:rsid w:val="581F7334"/>
    <w:rsid w:val="63CA4D92"/>
    <w:rsid w:val="695A0B28"/>
    <w:rsid w:val="6F4F392C"/>
    <w:rsid w:val="727D6BA1"/>
    <w:rsid w:val="7C6D1FB4"/>
    <w:rsid w:val="7D255C98"/>
    <w:rsid w:val="7DB33A33"/>
    <w:rsid w:val="7E2D7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0"/>
    <w:rPr>
      <w:rFonts w:ascii="宋体" w:hAnsi="Courier New" w:cstheme="minorBidi"/>
      <w:szCs w:val="22"/>
    </w:rPr>
  </w:style>
  <w:style w:type="paragraph" w:styleId="3">
    <w:name w:val="Balloon Text"/>
    <w:basedOn w:val="1"/>
    <w:link w:val="18"/>
    <w:semiHidden/>
    <w:unhideWhenUsed/>
    <w:qFormat/>
    <w:uiPriority w:val="99"/>
    <w:rPr>
      <w:sz w:val="18"/>
      <w:szCs w:val="18"/>
    </w:rPr>
  </w:style>
  <w:style w:type="paragraph" w:styleId="4">
    <w:name w:val="footer"/>
    <w:basedOn w:val="1"/>
    <w:link w:val="11"/>
    <w:qFormat/>
    <w:uiPriority w:val="0"/>
    <w:pPr>
      <w:tabs>
        <w:tab w:val="center" w:pos="4153"/>
        <w:tab w:val="right" w:pos="8306"/>
      </w:tabs>
      <w:snapToGrid w:val="0"/>
      <w:jc w:val="left"/>
    </w:pPr>
    <w:rPr>
      <w:rFonts w:asciiTheme="minorHAnsi" w:hAnsiTheme="minorHAnsi" w:eastAsiaTheme="minorEastAsia" w:cstheme="minorBidi"/>
      <w:sz w:val="18"/>
      <w:szCs w:val="22"/>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link w:val="12"/>
    <w:qFormat/>
    <w:uiPriority w:val="0"/>
    <w:pPr>
      <w:spacing w:before="240" w:after="60"/>
      <w:jc w:val="center"/>
      <w:outlineLvl w:val="0"/>
    </w:pPr>
    <w:rPr>
      <w:rFonts w:ascii="Arial" w:hAnsi="Arial" w:cs="Arial"/>
      <w:b/>
      <w:bCs/>
      <w:sz w:val="32"/>
      <w:szCs w:val="32"/>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纯文本 字符"/>
    <w:link w:val="2"/>
    <w:qFormat/>
    <w:uiPriority w:val="0"/>
    <w:rPr>
      <w:rFonts w:ascii="宋体" w:hAnsi="Courier New" w:eastAsia="宋体"/>
    </w:rPr>
  </w:style>
  <w:style w:type="character" w:customStyle="1" w:styleId="11">
    <w:name w:val="页脚 字符"/>
    <w:link w:val="4"/>
    <w:qFormat/>
    <w:uiPriority w:val="0"/>
    <w:rPr>
      <w:sz w:val="18"/>
    </w:rPr>
  </w:style>
  <w:style w:type="character" w:customStyle="1" w:styleId="12">
    <w:name w:val="标题 字符"/>
    <w:link w:val="6"/>
    <w:qFormat/>
    <w:uiPriority w:val="0"/>
    <w:rPr>
      <w:rFonts w:ascii="Arial" w:hAnsi="Arial" w:eastAsia="宋体" w:cs="Arial"/>
      <w:b/>
      <w:bCs/>
      <w:sz w:val="32"/>
      <w:szCs w:val="32"/>
    </w:rPr>
  </w:style>
  <w:style w:type="character" w:customStyle="1" w:styleId="13">
    <w:name w:val="页脚 Char"/>
    <w:basedOn w:val="9"/>
    <w:semiHidden/>
    <w:qFormat/>
    <w:uiPriority w:val="99"/>
    <w:rPr>
      <w:rFonts w:ascii="Times New Roman" w:hAnsi="Times New Roman" w:eastAsia="宋体" w:cs="Times New Roman"/>
      <w:sz w:val="18"/>
      <w:szCs w:val="18"/>
    </w:rPr>
  </w:style>
  <w:style w:type="character" w:customStyle="1" w:styleId="14">
    <w:name w:val="标题 Char"/>
    <w:basedOn w:val="9"/>
    <w:qFormat/>
    <w:uiPriority w:val="10"/>
    <w:rPr>
      <w:rFonts w:eastAsia="宋体" w:asciiTheme="majorHAnsi" w:hAnsiTheme="majorHAnsi" w:cstheme="majorBidi"/>
      <w:b/>
      <w:bCs/>
      <w:sz w:val="32"/>
      <w:szCs w:val="32"/>
    </w:rPr>
  </w:style>
  <w:style w:type="character" w:customStyle="1" w:styleId="15">
    <w:name w:val="纯文本 Char"/>
    <w:basedOn w:val="9"/>
    <w:semiHidden/>
    <w:qFormat/>
    <w:uiPriority w:val="99"/>
    <w:rPr>
      <w:rFonts w:ascii="宋体" w:hAnsi="Courier New" w:eastAsia="宋体" w:cs="Courier New"/>
      <w:szCs w:val="21"/>
    </w:rPr>
  </w:style>
  <w:style w:type="character" w:customStyle="1" w:styleId="16">
    <w:name w:val="页眉 字符"/>
    <w:basedOn w:val="9"/>
    <w:link w:val="5"/>
    <w:qFormat/>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 w:type="character" w:customStyle="1" w:styleId="18">
    <w:name w:val="批注框文本 字符"/>
    <w:basedOn w:val="9"/>
    <w:link w:val="3"/>
    <w:semiHidden/>
    <w:qFormat/>
    <w:uiPriority w:val="99"/>
    <w:rPr>
      <w:rFonts w:ascii="Times New Roman" w:hAnsi="Times New Roman" w:eastAsia="宋体" w:cs="Times New Roman"/>
      <w:sz w:val="18"/>
      <w:szCs w:val="18"/>
    </w:rPr>
  </w:style>
  <w:style w:type="paragraph" w:customStyle="1" w:styleId="19">
    <w:name w:val="paragraph"/>
    <w:basedOn w:val="1"/>
    <w:semiHidden/>
    <w:qFormat/>
    <w:uiPriority w:val="0"/>
    <w:pPr>
      <w:widowControl/>
      <w:spacing w:before="100" w:beforeAutospacing="1" w:after="100" w:afterAutospacing="1"/>
      <w:jc w:val="left"/>
    </w:pPr>
    <w:rPr>
      <w:rFonts w:ascii="等线" w:hAnsi="等线" w:eastAsia="等线"/>
      <w:kern w:val="0"/>
      <w:sz w:val="24"/>
      <w:szCs w:val="24"/>
    </w:rPr>
  </w:style>
  <w:style w:type="paragraph" w:customStyle="1" w:styleId="20">
    <w:name w:val="Revision"/>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2317</Words>
  <Characters>2856</Characters>
  <Lines>27</Lines>
  <Paragraphs>7</Paragraphs>
  <TotalTime>1</TotalTime>
  <ScaleCrop>false</ScaleCrop>
  <LinksUpToDate>false</LinksUpToDate>
  <CharactersWithSpaces>3042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2025-03-14T06:15:00Z</dcterms:created>
  <dc:creator>User</dc:creator>
  <cp:lastModifiedBy>薄钧戈</cp:lastModifiedBy>
  <dcterms:modified xsi:type="dcterms:W3CDTF">2025-03-19T06:42:39Z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CCE3C77A0F1141729934ACCAF57344D3_13</vt:lpwstr>
  </property>
  <property fmtid="{D5CDD505-2E9C-101B-9397-08002B2CF9AE}" pid="4" name="KSOTemplateDocerSaveRecord">
    <vt:lpwstr>eyJoZGlkIjoiODllNTViNzdjNTc1NmZkYjgwODRiZTY5NzAyMDQ5YzUiLCJ1c2VySWQiOiI2NDE0MzA4NDEifQ==</vt:lpwstr>
  </property>
</Properties>
</file>