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ADAFA">
      <w:pPr>
        <w:pStyle w:val="8"/>
        <w:spacing w:line="360" w:lineRule="auto"/>
        <w:rPr>
          <w:rFonts w:ascii="宋体" w:hAnsi="宋体"/>
        </w:rPr>
      </w:pPr>
      <w:bookmarkStart w:id="0" w:name="_Toc38367762"/>
      <w:r>
        <w:rPr>
          <w:rFonts w:hint="eastAsia" w:ascii="宋体" w:hAnsi="宋体"/>
        </w:rPr>
        <w:t>西安交通大学兴庆校区教三楼拟建场地考古发掘劳务配合及安保服务（含文物影响评估报告编制）</w:t>
      </w:r>
      <w:r>
        <w:rPr>
          <w:rFonts w:ascii="宋体" w:hAnsi="宋体"/>
        </w:rPr>
        <w:t>采购需求</w:t>
      </w:r>
      <w:bookmarkEnd w:id="0"/>
    </w:p>
    <w:p w14:paraId="5DF591ED">
      <w:pPr>
        <w:numPr>
          <w:ilvl w:val="0"/>
          <w:numId w:val="1"/>
        </w:numPr>
        <w:tabs>
          <w:tab w:val="left" w:pos="900"/>
        </w:tabs>
        <w:spacing w:before="156" w:beforeLines="50" w:line="360" w:lineRule="auto"/>
        <w:rPr>
          <w:rFonts w:hAnsi="宋体"/>
          <w:b/>
          <w:sz w:val="24"/>
          <w:szCs w:val="24"/>
        </w:rPr>
      </w:pPr>
      <w:bookmarkStart w:id="1" w:name="_Toc219271393"/>
      <w:bookmarkStart w:id="2" w:name="_Toc172360661"/>
      <w:bookmarkStart w:id="3" w:name="_Toc158978330"/>
      <w:r>
        <w:rPr>
          <w:rFonts w:hAnsi="宋体"/>
          <w:b/>
          <w:sz w:val="24"/>
          <w:szCs w:val="24"/>
        </w:rPr>
        <w:t>采购</w:t>
      </w:r>
      <w:r>
        <w:rPr>
          <w:rFonts w:hint="eastAsia" w:hAnsi="宋体"/>
          <w:b/>
          <w:sz w:val="24"/>
          <w:szCs w:val="24"/>
        </w:rPr>
        <w:t>标的</w:t>
      </w:r>
      <w:r>
        <w:rPr>
          <w:rFonts w:hAnsi="宋体"/>
          <w:b/>
          <w:sz w:val="24"/>
          <w:szCs w:val="24"/>
        </w:rPr>
        <w:t>需实现的功能或者目标</w:t>
      </w:r>
    </w:p>
    <w:p w14:paraId="0B7953EA">
      <w:pPr>
        <w:tabs>
          <w:tab w:val="left" w:pos="900"/>
        </w:tabs>
        <w:spacing w:before="156" w:beforeLines="50" w:line="360" w:lineRule="auto"/>
        <w:ind w:firstLine="480" w:firstLineChars="200"/>
        <w:rPr>
          <w:sz w:val="24"/>
          <w:szCs w:val="24"/>
        </w:rPr>
      </w:pPr>
      <w:r>
        <w:rPr>
          <w:rFonts w:hint="eastAsia"/>
          <w:sz w:val="24"/>
          <w:szCs w:val="24"/>
        </w:rPr>
        <w:t>完成</w:t>
      </w:r>
      <w:r>
        <w:rPr>
          <w:rFonts w:hint="eastAsia" w:ascii="宋体" w:hAnsi="宋体"/>
          <w:sz w:val="24"/>
          <w:szCs w:val="24"/>
        </w:rPr>
        <w:t>兴庆校区教三楼拟建场地考古发掘</w:t>
      </w:r>
      <w:r>
        <w:rPr>
          <w:rFonts w:hint="eastAsia"/>
          <w:sz w:val="24"/>
          <w:szCs w:val="24"/>
        </w:rPr>
        <w:t>所需</w:t>
      </w:r>
      <w:r>
        <w:rPr>
          <w:sz w:val="24"/>
          <w:szCs w:val="24"/>
        </w:rPr>
        <w:t>的</w:t>
      </w:r>
      <w:r>
        <w:rPr>
          <w:rFonts w:hint="eastAsia"/>
          <w:sz w:val="24"/>
          <w:szCs w:val="24"/>
        </w:rPr>
        <w:t>劳务配合、</w:t>
      </w:r>
      <w:r>
        <w:rPr>
          <w:sz w:val="24"/>
          <w:szCs w:val="24"/>
        </w:rPr>
        <w:t>土方工</w:t>
      </w:r>
      <w:r>
        <w:rPr>
          <w:rFonts w:hint="eastAsia"/>
          <w:sz w:val="24"/>
          <w:szCs w:val="24"/>
        </w:rPr>
        <w:t>作（含回填）、表面覆土场内倒运、安全保卫及文物影响评估工作报告编制。</w:t>
      </w:r>
    </w:p>
    <w:p w14:paraId="45C902A2">
      <w:pPr>
        <w:tabs>
          <w:tab w:val="left" w:pos="900"/>
        </w:tabs>
        <w:spacing w:before="156" w:beforeLines="50" w:line="360" w:lineRule="auto"/>
        <w:ind w:firstLine="480" w:firstLineChars="200"/>
        <w:rPr>
          <w:sz w:val="24"/>
          <w:szCs w:val="24"/>
        </w:rPr>
      </w:pPr>
      <w:r>
        <w:rPr>
          <w:rFonts w:hint="eastAsia"/>
          <w:sz w:val="24"/>
          <w:szCs w:val="24"/>
        </w:rPr>
        <w:t>配合考古发掘技术单位，按考古发掘计划布设的10m×10m探方25个进行报价，深度系数统一按1考虑（即2m以内），报价包含劳务配合费、土方工作（含回填）费及安保费；表面覆土场内倒运及刮铲至满足考古发掘要求的层位。根据考古发掘成果情况，结合拟建项目建设工程方案开展对隋唐长安城文物影响进行评估，并编制影响评估报告，满足文物行政部门审批要件需求。</w:t>
      </w:r>
    </w:p>
    <w:p w14:paraId="2B112F48">
      <w:pPr>
        <w:tabs>
          <w:tab w:val="left" w:pos="900"/>
        </w:tabs>
        <w:spacing w:before="156" w:beforeLines="50" w:line="360" w:lineRule="auto"/>
        <w:rPr>
          <w:rFonts w:hAnsi="宋体"/>
          <w:b/>
          <w:sz w:val="24"/>
          <w:szCs w:val="24"/>
        </w:rPr>
      </w:pPr>
      <w:r>
        <w:rPr>
          <w:rFonts w:hint="eastAsia" w:hAnsi="宋体"/>
          <w:b/>
          <w:sz w:val="24"/>
          <w:szCs w:val="24"/>
        </w:rPr>
        <w:t>二、采购标的概况</w:t>
      </w:r>
    </w:p>
    <w:p w14:paraId="7D221C3A">
      <w:pPr>
        <w:pStyle w:val="8"/>
        <w:spacing w:line="360" w:lineRule="auto"/>
        <w:jc w:val="both"/>
        <w:rPr>
          <w:rFonts w:ascii="宋体" w:hAnsi="宋体"/>
          <w:sz w:val="24"/>
          <w:szCs w:val="24"/>
          <w:u w:val="single"/>
        </w:rPr>
      </w:pPr>
      <w:r>
        <w:rPr>
          <w:rFonts w:hint="eastAsia" w:ascii="宋体" w:hAnsi="宋体"/>
          <w:sz w:val="24"/>
          <w:szCs w:val="24"/>
        </w:rPr>
        <w:t>（一）采购项目名称及概况：</w:t>
      </w:r>
      <w:r>
        <w:rPr>
          <w:rFonts w:hint="eastAsia" w:ascii="宋体" w:hAnsi="宋体"/>
          <w:sz w:val="24"/>
          <w:szCs w:val="24"/>
          <w:u w:val="single"/>
        </w:rPr>
        <w:t xml:space="preserve">教三楼拟建场地考古发掘劳务配合及安保服务（含文物影响评估报告编制） </w:t>
      </w:r>
    </w:p>
    <w:p w14:paraId="27FDF164">
      <w:pPr>
        <w:pStyle w:val="21"/>
        <w:widowControl/>
        <w:spacing w:line="360" w:lineRule="auto"/>
        <w:ind w:firstLine="560"/>
        <w:rPr>
          <w:rFonts w:ascii="宋体" w:hAnsi="宋体" w:cs="宋体"/>
          <w:color w:val="000000"/>
          <w:sz w:val="24"/>
          <w:szCs w:val="24"/>
        </w:rPr>
      </w:pPr>
      <w:r>
        <w:rPr>
          <w:rFonts w:hint="eastAsia" w:ascii="宋体" w:hAnsi="宋体" w:cs="宋体"/>
          <w:color w:val="000000" w:themeColor="text1"/>
          <w:kern w:val="0"/>
          <w:sz w:val="24"/>
          <w:szCs w:val="24"/>
          <w14:textFill>
            <w14:solidFill>
              <w14:schemeClr w14:val="tx1"/>
            </w14:solidFill>
          </w14:textFill>
        </w:rPr>
        <w:t>本项</w:t>
      </w:r>
      <w:r>
        <w:rPr>
          <w:rFonts w:hint="eastAsia" w:ascii="宋体" w:hAnsi="宋体" w:cs="宋体"/>
          <w:kern w:val="0"/>
          <w:sz w:val="24"/>
          <w:szCs w:val="24"/>
        </w:rPr>
        <w:t>目位于</w:t>
      </w:r>
      <w:r>
        <w:rPr>
          <w:rFonts w:hint="eastAsia" w:ascii="宋体" w:hAnsi="宋体" w:cs="宋体"/>
          <w:color w:val="000000" w:themeColor="text1"/>
          <w:kern w:val="0"/>
          <w:sz w:val="24"/>
          <w:szCs w:val="24"/>
          <w14:textFill>
            <w14:solidFill>
              <w14:schemeClr w14:val="tx1"/>
            </w14:solidFill>
          </w14:textFill>
        </w:rPr>
        <w:t>西安市碑林区咸宁西路28号西安交通大学内，文治路以北，梧桐西道以东，属全国重点文物保护单位—隋唐长安城保护范围道政坊内，毗邻东市，用地总面积5896.77平方米。</w:t>
      </w:r>
      <w:r>
        <w:rPr>
          <w:rFonts w:hint="eastAsia" w:ascii="宋体" w:hAnsi="宋体" w:cs="宋体"/>
          <w:color w:val="000000"/>
          <w:sz w:val="24"/>
          <w:szCs w:val="24"/>
        </w:rPr>
        <w:t>本次采购内容为教三楼拟建场地考古发掘</w:t>
      </w:r>
      <w:r>
        <w:rPr>
          <w:rFonts w:hint="eastAsia" w:ascii="宋体" w:hAnsi="宋体"/>
          <w:sz w:val="24"/>
          <w:szCs w:val="24"/>
        </w:rPr>
        <w:t>劳务配合及安保</w:t>
      </w:r>
      <w:r>
        <w:rPr>
          <w:rFonts w:ascii="宋体" w:hAnsi="宋体"/>
          <w:sz w:val="24"/>
          <w:szCs w:val="24"/>
        </w:rPr>
        <w:t>采购</w:t>
      </w:r>
      <w:r>
        <w:rPr>
          <w:rFonts w:hint="eastAsia" w:ascii="宋体" w:hAnsi="宋体"/>
          <w:sz w:val="24"/>
          <w:szCs w:val="24"/>
        </w:rPr>
        <w:t>（含文物影响评估报告编制）</w:t>
      </w:r>
      <w:r>
        <w:rPr>
          <w:rFonts w:hint="eastAsia" w:ascii="宋体" w:hAnsi="宋体" w:cs="宋体"/>
          <w:color w:val="000000"/>
          <w:sz w:val="24"/>
          <w:szCs w:val="24"/>
        </w:rPr>
        <w:t>。</w:t>
      </w:r>
    </w:p>
    <w:p w14:paraId="688E7E8D">
      <w:pPr>
        <w:pStyle w:val="7"/>
        <w:widowControl/>
        <w:spacing w:beforeAutospacing="0" w:afterAutospacing="0" w:line="360" w:lineRule="auto"/>
        <w:ind w:firstLine="480" w:firstLineChars="200"/>
        <w:jc w:val="both"/>
        <w:rPr>
          <w:rFonts w:ascii="宋体" w:hAnsi="宋体" w:cs="宋体"/>
          <w:color w:val="000000"/>
          <w:szCs w:val="24"/>
        </w:rPr>
      </w:pPr>
      <w:r>
        <w:rPr>
          <w:rFonts w:hint="eastAsia" w:ascii="宋体" w:hAnsi="宋体" w:cs="宋体"/>
          <w:color w:val="000000"/>
          <w:szCs w:val="24"/>
        </w:rPr>
        <w:t>1.投标人需具备的资格条件：</w:t>
      </w:r>
    </w:p>
    <w:p w14:paraId="68460A57">
      <w:pPr>
        <w:pStyle w:val="2"/>
        <w:spacing w:line="360" w:lineRule="auto"/>
        <w:ind w:left="420" w:leftChars="200"/>
        <w:rPr>
          <w:sz w:val="24"/>
          <w:szCs w:val="24"/>
        </w:rPr>
      </w:pPr>
      <w:r>
        <w:rPr>
          <w:rFonts w:hint="eastAsia" w:ascii="Times New Roman"/>
          <w:sz w:val="24"/>
          <w:szCs w:val="24"/>
        </w:rPr>
        <w:t>（1）供应商应具有全国重点文物保护单位的考古发掘劳务配合业绩；</w:t>
      </w:r>
    </w:p>
    <w:p w14:paraId="1CB94B02">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sz w:val="24"/>
          <w:szCs w:val="24"/>
        </w:rPr>
        <w:t>（2）项目负责人具有文物博物系列中级以上职称（需为供应商在职职工，提供社会养老保险证明）。</w:t>
      </w:r>
    </w:p>
    <w:p w14:paraId="02782DFD">
      <w:pPr>
        <w:tabs>
          <w:tab w:val="left" w:pos="900"/>
        </w:tabs>
        <w:spacing w:line="360" w:lineRule="auto"/>
        <w:ind w:firstLine="600" w:firstLineChars="250"/>
        <w:rPr>
          <w:rFonts w:hAnsi="宋体"/>
          <w:sz w:val="24"/>
          <w:szCs w:val="24"/>
        </w:rPr>
      </w:pPr>
      <w:r>
        <w:rPr>
          <w:rFonts w:hint="eastAsia" w:hAnsi="宋体"/>
          <w:sz w:val="24"/>
          <w:szCs w:val="24"/>
        </w:rPr>
        <w:t>教三楼拟建场地文勘工作已完成，考古发掘技术单位为陕西省考古研究院。经考古勘探发现该区域内有遗迹49处，其中：古代墓葬7座，灰坑11处，近现代扰坑10处，井18眼，窑址2座，沟1条。本次采购内容为教三楼拟建场地文物发掘劳务配合及安保服务项目及文物影响评估报告编制工作，该项目主要包括</w:t>
      </w:r>
      <w:r>
        <w:rPr>
          <w:rFonts w:hAnsi="宋体"/>
          <w:sz w:val="24"/>
          <w:szCs w:val="24"/>
        </w:rPr>
        <w:t>考古发掘</w:t>
      </w:r>
      <w:r>
        <w:rPr>
          <w:rFonts w:hint="eastAsia" w:hAnsi="宋体"/>
          <w:sz w:val="24"/>
          <w:szCs w:val="24"/>
        </w:rPr>
        <w:t>所需</w:t>
      </w:r>
      <w:r>
        <w:rPr>
          <w:rFonts w:hAnsi="宋体"/>
          <w:sz w:val="24"/>
          <w:szCs w:val="24"/>
        </w:rPr>
        <w:t>的</w:t>
      </w:r>
      <w:r>
        <w:rPr>
          <w:rFonts w:hint="eastAsia" w:hAnsi="宋体"/>
          <w:sz w:val="24"/>
          <w:szCs w:val="24"/>
        </w:rPr>
        <w:t>劳务配合、</w:t>
      </w:r>
      <w:r>
        <w:rPr>
          <w:rFonts w:hAnsi="宋体"/>
          <w:sz w:val="24"/>
          <w:szCs w:val="24"/>
        </w:rPr>
        <w:t>土方工</w:t>
      </w:r>
      <w:r>
        <w:rPr>
          <w:rFonts w:hint="eastAsia" w:hAnsi="宋体"/>
          <w:sz w:val="24"/>
          <w:szCs w:val="24"/>
        </w:rPr>
        <w:t>作（含回填）、表面覆土场内倒运及安全保卫工作，文物影响评估报告编制需满足行政审批要求。</w:t>
      </w:r>
    </w:p>
    <w:p w14:paraId="4E19FED2">
      <w:pPr>
        <w:spacing w:before="156" w:beforeLines="50" w:line="360" w:lineRule="auto"/>
        <w:rPr>
          <w:rFonts w:hAnsi="宋体"/>
          <w:sz w:val="24"/>
          <w:szCs w:val="24"/>
        </w:rPr>
      </w:pPr>
      <w:r>
        <w:rPr>
          <w:rFonts w:hint="eastAsia" w:hAnsi="宋体"/>
          <w:sz w:val="24"/>
          <w:szCs w:val="24"/>
        </w:rPr>
        <w:t>（二）采购数量及计量单位：2500㎡。</w:t>
      </w:r>
    </w:p>
    <w:p w14:paraId="162E5F3B">
      <w:pPr>
        <w:numPr>
          <w:ilvl w:val="0"/>
          <w:numId w:val="2"/>
        </w:numPr>
        <w:spacing w:before="156" w:beforeLines="50" w:line="36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sz w:val="24"/>
          <w:szCs w:val="24"/>
        </w:rPr>
        <w:t>最高限价：人民币</w:t>
      </w:r>
      <w:r>
        <w:rPr>
          <w:rFonts w:hint="eastAsia" w:ascii="宋体" w:hAnsi="宋体" w:eastAsia="宋体" w:cs="宋体"/>
          <w:color w:val="000000" w:themeColor="text1"/>
          <w:sz w:val="24"/>
          <w:szCs w:val="24"/>
          <w:u w:val="single"/>
          <w14:textFill>
            <w14:solidFill>
              <w14:schemeClr w14:val="tx1"/>
            </w14:solidFill>
          </w14:textFill>
        </w:rPr>
        <w:t xml:space="preserve">  148.5万元（含预留金10万元） </w:t>
      </w:r>
    </w:p>
    <w:p w14:paraId="48E80EFB">
      <w:pPr>
        <w:spacing w:before="156" w:beforeLines="50" w:line="360" w:lineRule="auto"/>
        <w:rPr>
          <w:sz w:val="24"/>
          <w:szCs w:val="24"/>
        </w:rPr>
      </w:pPr>
      <w:r>
        <w:rPr>
          <w:rFonts w:hint="eastAsia" w:hAnsi="宋体"/>
          <w:sz w:val="24"/>
          <w:szCs w:val="24"/>
        </w:rPr>
        <w:t>（四）服务周期</w:t>
      </w:r>
      <w:r>
        <w:rPr>
          <w:rFonts w:hAnsi="宋体"/>
          <w:sz w:val="24"/>
          <w:szCs w:val="24"/>
        </w:rPr>
        <w:t>：</w:t>
      </w:r>
      <w:r>
        <w:rPr>
          <w:rFonts w:hAnsi="宋体"/>
          <w:sz w:val="24"/>
          <w:szCs w:val="24"/>
          <w:u w:val="single"/>
        </w:rPr>
        <w:t xml:space="preserve"> </w:t>
      </w:r>
      <w:r>
        <w:rPr>
          <w:rFonts w:hint="eastAsia" w:hAnsi="宋体"/>
          <w:sz w:val="24"/>
          <w:szCs w:val="24"/>
          <w:u w:val="single"/>
        </w:rPr>
        <w:t>90天（同考古发掘工期）</w:t>
      </w:r>
      <w:r>
        <w:rPr>
          <w:rFonts w:hAnsi="宋体"/>
          <w:sz w:val="24"/>
          <w:szCs w:val="24"/>
          <w:u w:val="single"/>
        </w:rPr>
        <w:t xml:space="preserve">   </w:t>
      </w:r>
      <w:r>
        <w:rPr>
          <w:rFonts w:hint="eastAsia" w:hAnsi="宋体"/>
          <w:sz w:val="24"/>
          <w:szCs w:val="24"/>
        </w:rPr>
        <w:t>。</w:t>
      </w:r>
    </w:p>
    <w:p w14:paraId="311B9D02">
      <w:pPr>
        <w:tabs>
          <w:tab w:val="left" w:pos="900"/>
        </w:tabs>
        <w:spacing w:before="156" w:beforeLines="50" w:line="360" w:lineRule="auto"/>
        <w:rPr>
          <w:rFonts w:hAnsi="宋体"/>
          <w:sz w:val="24"/>
          <w:szCs w:val="24"/>
          <w:u w:val="single"/>
        </w:rPr>
      </w:pPr>
      <w:r>
        <w:rPr>
          <w:rFonts w:hint="eastAsia" w:hAnsi="宋体"/>
          <w:sz w:val="24"/>
          <w:szCs w:val="24"/>
        </w:rPr>
        <w:t>（五）服务</w:t>
      </w:r>
      <w:r>
        <w:rPr>
          <w:rFonts w:hAnsi="宋体"/>
          <w:sz w:val="24"/>
          <w:szCs w:val="24"/>
        </w:rPr>
        <w:t>地点：</w:t>
      </w:r>
      <w:r>
        <w:rPr>
          <w:rFonts w:hint="eastAsia" w:hAnsi="宋体"/>
          <w:sz w:val="24"/>
          <w:szCs w:val="24"/>
          <w:u w:val="single"/>
        </w:rPr>
        <w:t xml:space="preserve"> </w:t>
      </w:r>
      <w:r>
        <w:rPr>
          <w:rFonts w:hint="eastAsia" w:ascii="宋体" w:hAnsi="宋体" w:cs="宋体"/>
          <w:kern w:val="0"/>
          <w:sz w:val="24"/>
          <w:szCs w:val="24"/>
          <w:u w:val="single"/>
        </w:rPr>
        <w:t>西安市碑林区咸宁西路28号西安交通大学内</w:t>
      </w:r>
      <w:r>
        <w:rPr>
          <w:rFonts w:hint="eastAsia" w:hAnsi="宋体"/>
          <w:sz w:val="24"/>
          <w:szCs w:val="24"/>
          <w:u w:val="single"/>
        </w:rPr>
        <w:t>。</w:t>
      </w:r>
    </w:p>
    <w:p w14:paraId="094720E1">
      <w:pPr>
        <w:tabs>
          <w:tab w:val="left" w:pos="900"/>
        </w:tabs>
        <w:spacing w:before="156" w:beforeLines="50" w:line="360" w:lineRule="auto"/>
        <w:rPr>
          <w:rFonts w:hAnsi="宋体"/>
          <w:sz w:val="24"/>
          <w:szCs w:val="24"/>
        </w:rPr>
      </w:pPr>
      <w:r>
        <w:rPr>
          <w:rFonts w:hint="eastAsia" w:hAnsi="宋体"/>
          <w:sz w:val="24"/>
          <w:szCs w:val="24"/>
        </w:rPr>
        <w:t>（六）付款方式：合同签订进场后支付合同金额的20%预付款，待发掘工作完成，并验收合格，支付合同金额的50%（不含预留金），取得文物部门用地审批意见，支付剩余服务款项（付款前服务单位须提供正式发票）。</w:t>
      </w:r>
    </w:p>
    <w:p w14:paraId="1ECE8BF9">
      <w:pPr>
        <w:tabs>
          <w:tab w:val="left" w:pos="900"/>
        </w:tabs>
        <w:spacing w:line="360" w:lineRule="auto"/>
        <w:rPr>
          <w:rFonts w:hAnsi="宋体"/>
          <w:sz w:val="24"/>
          <w:szCs w:val="24"/>
        </w:rPr>
      </w:pPr>
      <w:r>
        <w:rPr>
          <w:rFonts w:hint="eastAsia" w:hAnsi="宋体"/>
          <w:sz w:val="24"/>
          <w:szCs w:val="24"/>
        </w:rPr>
        <w:t>（七）结算方式：项目支付的总价为固定费用(不含预留金部分）。预留金部分按实际发生的相关工作及费用，采购方同服务方协商确定后支付。</w:t>
      </w:r>
      <w:bookmarkStart w:id="4" w:name="_GoBack"/>
      <w:bookmarkEnd w:id="4"/>
    </w:p>
    <w:p w14:paraId="7F6710B1">
      <w:pPr>
        <w:tabs>
          <w:tab w:val="left" w:pos="900"/>
        </w:tabs>
        <w:spacing w:before="156" w:beforeLines="50" w:line="360" w:lineRule="auto"/>
        <w:rPr>
          <w:rFonts w:hAnsi="宋体"/>
          <w:b/>
          <w:sz w:val="24"/>
          <w:szCs w:val="24"/>
        </w:rPr>
      </w:pPr>
      <w:r>
        <w:rPr>
          <w:rFonts w:hint="eastAsia" w:hAnsi="宋体"/>
          <w:b/>
          <w:sz w:val="24"/>
          <w:szCs w:val="24"/>
        </w:rPr>
        <w:t>四、采购标的需满足的质量、安全、技术规格、物理特性等要求：</w:t>
      </w:r>
    </w:p>
    <w:p w14:paraId="3242F46D">
      <w:pPr>
        <w:tabs>
          <w:tab w:val="left" w:pos="900"/>
        </w:tabs>
        <w:spacing w:line="360" w:lineRule="auto"/>
        <w:ind w:firstLine="600" w:firstLineChars="250"/>
        <w:rPr>
          <w:rFonts w:hAnsi="宋体"/>
          <w:color w:val="000000" w:themeColor="text1"/>
          <w:sz w:val="24"/>
          <w:szCs w:val="24"/>
          <w14:textFill>
            <w14:solidFill>
              <w14:schemeClr w14:val="tx1"/>
            </w14:solidFill>
          </w14:textFill>
        </w:rPr>
      </w:pPr>
      <w:r>
        <w:rPr>
          <w:rFonts w:hint="eastAsia" w:hAnsi="宋体"/>
          <w:sz w:val="24"/>
          <w:szCs w:val="24"/>
        </w:rPr>
        <w:t>满足文物发掘技术服务单位的劳动力组织安排，满足文物发掘相应的土方工作量，负责发掘现场的安全保卫工作，完成表面覆土场内倒运，按照安全文明施工要求实施，并承担相应的质量、安全责任。中标人</w:t>
      </w:r>
      <w:r>
        <w:rPr>
          <w:rFonts w:hAnsi="宋体"/>
          <w:sz w:val="24"/>
          <w:szCs w:val="24"/>
        </w:rPr>
        <w:t>根据</w:t>
      </w:r>
      <w:r>
        <w:rPr>
          <w:rFonts w:hint="eastAsia" w:hAnsi="宋体"/>
          <w:sz w:val="24"/>
          <w:szCs w:val="24"/>
        </w:rPr>
        <w:t>文物发掘单位</w:t>
      </w:r>
      <w:r>
        <w:rPr>
          <w:rFonts w:hAnsi="宋体"/>
          <w:sz w:val="24"/>
          <w:szCs w:val="24"/>
        </w:rPr>
        <w:t>需要配备</w:t>
      </w:r>
      <w:r>
        <w:rPr>
          <w:rFonts w:hint="eastAsia" w:hAnsi="宋体"/>
          <w:sz w:val="24"/>
          <w:szCs w:val="24"/>
        </w:rPr>
        <w:t>劳动力</w:t>
      </w:r>
      <w:r>
        <w:rPr>
          <w:rFonts w:hAnsi="宋体"/>
          <w:sz w:val="24"/>
          <w:szCs w:val="24"/>
        </w:rPr>
        <w:t>，并</w:t>
      </w:r>
      <w:r>
        <w:rPr>
          <w:rFonts w:hint="eastAsia" w:hAnsi="宋体"/>
          <w:sz w:val="24"/>
          <w:szCs w:val="24"/>
        </w:rPr>
        <w:t>安排</w:t>
      </w:r>
      <w:r>
        <w:rPr>
          <w:rFonts w:hAnsi="宋体"/>
          <w:sz w:val="24"/>
          <w:szCs w:val="24"/>
        </w:rPr>
        <w:t>专人进行管理，</w:t>
      </w:r>
      <w:r>
        <w:rPr>
          <w:rFonts w:hint="eastAsia" w:hAnsi="宋体"/>
          <w:sz w:val="24"/>
          <w:szCs w:val="24"/>
        </w:rPr>
        <w:t>应做好满足文物发掘工作的安全防护措施（含</w:t>
      </w:r>
      <w:r>
        <w:rPr>
          <w:rFonts w:hAnsi="宋体"/>
          <w:sz w:val="24"/>
          <w:szCs w:val="24"/>
        </w:rPr>
        <w:t>对发掘中可能存在安全隐患的部位进行支护、加固</w:t>
      </w:r>
      <w:r>
        <w:rPr>
          <w:rFonts w:hint="eastAsia" w:hAnsi="宋体"/>
          <w:sz w:val="24"/>
          <w:szCs w:val="24"/>
        </w:rPr>
        <w:t>等）、冬雨季防护措施</w:t>
      </w:r>
      <w:r>
        <w:rPr>
          <w:rFonts w:hAnsi="宋体"/>
          <w:sz w:val="24"/>
          <w:szCs w:val="24"/>
        </w:rPr>
        <w:t>，确保</w:t>
      </w:r>
      <w:r>
        <w:rPr>
          <w:rFonts w:hint="eastAsia" w:hAnsi="宋体"/>
          <w:sz w:val="24"/>
          <w:szCs w:val="24"/>
        </w:rPr>
        <w:t>发掘</w:t>
      </w:r>
      <w:r>
        <w:rPr>
          <w:rFonts w:hAnsi="宋体"/>
          <w:sz w:val="24"/>
          <w:szCs w:val="24"/>
        </w:rPr>
        <w:t>过程中的人身安全</w:t>
      </w:r>
      <w:r>
        <w:rPr>
          <w:rFonts w:hint="eastAsia" w:hAnsi="宋体"/>
          <w:sz w:val="24"/>
          <w:szCs w:val="24"/>
        </w:rPr>
        <w:t>，并承担相应的安全责任</w:t>
      </w:r>
      <w:r>
        <w:rPr>
          <w:rFonts w:hAnsi="宋体"/>
          <w:sz w:val="24"/>
          <w:szCs w:val="24"/>
        </w:rPr>
        <w:t>。考古发掘结束后</w:t>
      </w:r>
      <w:r>
        <w:rPr>
          <w:rFonts w:hint="eastAsia" w:hAnsi="宋体"/>
          <w:sz w:val="24"/>
          <w:szCs w:val="24"/>
        </w:rPr>
        <w:t>，</w:t>
      </w:r>
      <w:r>
        <w:rPr>
          <w:rFonts w:hint="eastAsia" w:hAnsi="宋体"/>
          <w:color w:val="000000" w:themeColor="text1"/>
          <w:sz w:val="24"/>
          <w:szCs w:val="24"/>
          <w14:textFill>
            <w14:solidFill>
              <w14:schemeClr w14:val="tx1"/>
            </w14:solidFill>
          </w14:textFill>
        </w:rPr>
        <w:t>对存在安全隐患区域及时进行</w:t>
      </w:r>
      <w:r>
        <w:rPr>
          <w:rFonts w:hAnsi="宋体"/>
          <w:color w:val="000000" w:themeColor="text1"/>
          <w:sz w:val="24"/>
          <w:szCs w:val="24"/>
          <w14:textFill>
            <w14:solidFill>
              <w14:schemeClr w14:val="tx1"/>
            </w14:solidFill>
          </w14:textFill>
        </w:rPr>
        <w:t>土方回填工作</w:t>
      </w:r>
      <w:r>
        <w:rPr>
          <w:rFonts w:hint="eastAsia" w:hAnsi="宋体"/>
          <w:color w:val="000000" w:themeColor="text1"/>
          <w:sz w:val="24"/>
          <w:szCs w:val="24"/>
          <w14:textFill>
            <w14:solidFill>
              <w14:schemeClr w14:val="tx1"/>
            </w14:solidFill>
          </w14:textFill>
        </w:rPr>
        <w:t>，费用在报价中一并考虑</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报价中应包含配合发掘工作发掘技术服务单位的相关管理费用。</w:t>
      </w:r>
    </w:p>
    <w:p w14:paraId="04196177">
      <w:pPr>
        <w:tabs>
          <w:tab w:val="left" w:pos="900"/>
        </w:tabs>
        <w:spacing w:line="360" w:lineRule="auto"/>
        <w:ind w:firstLine="480" w:firstLineChars="200"/>
        <w:rPr>
          <w:rFonts w:hAnsi="宋体"/>
          <w:sz w:val="24"/>
          <w:szCs w:val="24"/>
        </w:rPr>
      </w:pPr>
      <w:r>
        <w:rPr>
          <w:rFonts w:hAnsi="宋体"/>
          <w:color w:val="000000" w:themeColor="text1"/>
          <w:sz w:val="24"/>
          <w:szCs w:val="24"/>
          <w14:textFill>
            <w14:solidFill>
              <w14:schemeClr w14:val="tx1"/>
            </w14:solidFill>
          </w14:textFill>
        </w:rPr>
        <w:t>发掘过程中，</w:t>
      </w:r>
      <w:r>
        <w:rPr>
          <w:rFonts w:hint="eastAsia" w:hAnsi="宋体"/>
          <w:color w:val="000000" w:themeColor="text1"/>
          <w:sz w:val="24"/>
          <w:szCs w:val="24"/>
          <w14:textFill>
            <w14:solidFill>
              <w14:schemeClr w14:val="tx1"/>
            </w14:solidFill>
          </w14:textFill>
        </w:rPr>
        <w:t xml:space="preserve">中标人应接受并配合采购人、发掘技术服务单位的工作安排 </w:t>
      </w:r>
      <w:r>
        <w:rPr>
          <w:rFonts w:hAnsi="宋体"/>
          <w:color w:val="000000" w:themeColor="text1"/>
          <w:sz w:val="24"/>
          <w:szCs w:val="24"/>
          <w14:textFill>
            <w14:solidFill>
              <w14:schemeClr w14:val="tx1"/>
            </w14:solidFill>
          </w14:textFill>
        </w:rPr>
        <w:t>，尽量缩短工期、降低成本，把对</w:t>
      </w:r>
      <w:r>
        <w:rPr>
          <w:rFonts w:hint="eastAsia" w:hAnsi="宋体"/>
          <w:color w:val="000000" w:themeColor="text1"/>
          <w:sz w:val="24"/>
          <w:szCs w:val="24"/>
          <w14:textFill>
            <w14:solidFill>
              <w14:schemeClr w14:val="tx1"/>
            </w14:solidFill>
          </w14:textFill>
        </w:rPr>
        <w:t>采购人</w:t>
      </w:r>
      <w:r>
        <w:rPr>
          <w:rFonts w:hAnsi="宋体"/>
          <w:color w:val="000000" w:themeColor="text1"/>
          <w:sz w:val="24"/>
          <w:szCs w:val="24"/>
          <w14:textFill>
            <w14:solidFill>
              <w14:schemeClr w14:val="tx1"/>
            </w14:solidFill>
          </w14:textFill>
        </w:rPr>
        <w:t>基建工程的</w:t>
      </w:r>
      <w:r>
        <w:rPr>
          <w:rFonts w:hint="eastAsia" w:hAnsi="宋体"/>
          <w:color w:val="000000" w:themeColor="text1"/>
          <w:sz w:val="24"/>
          <w:szCs w:val="24"/>
          <w14:textFill>
            <w14:solidFill>
              <w14:schemeClr w14:val="tx1"/>
            </w14:solidFill>
          </w14:textFill>
        </w:rPr>
        <w:t>进度</w:t>
      </w:r>
      <w:r>
        <w:rPr>
          <w:rFonts w:hAnsi="宋体"/>
          <w:color w:val="000000" w:themeColor="text1"/>
          <w:sz w:val="24"/>
          <w:szCs w:val="24"/>
          <w14:textFill>
            <w14:solidFill>
              <w14:schemeClr w14:val="tx1"/>
            </w14:solidFill>
          </w14:textFill>
        </w:rPr>
        <w:t>影响降低到最低限度。</w:t>
      </w:r>
      <w:r>
        <w:rPr>
          <w:rFonts w:hint="eastAsia" w:hAnsi="宋体"/>
          <w:color w:val="000000" w:themeColor="text1"/>
          <w:sz w:val="24"/>
          <w:szCs w:val="24"/>
          <w14:textFill>
            <w14:solidFill>
              <w14:schemeClr w14:val="tx1"/>
            </w14:solidFill>
          </w14:textFill>
        </w:rPr>
        <w:t>因非采购人及</w:t>
      </w:r>
      <w:r>
        <w:rPr>
          <w:rFonts w:hint="eastAsia" w:hAnsi="宋体"/>
          <w:sz w:val="24"/>
          <w:szCs w:val="24"/>
        </w:rPr>
        <w:t>发掘技术服务单位原因造成工期延误的，采购人有权扣除不超过合同价款5%的工期延误罚金。</w:t>
      </w:r>
    </w:p>
    <w:p w14:paraId="2AE6F924">
      <w:pPr>
        <w:tabs>
          <w:tab w:val="left" w:pos="900"/>
        </w:tabs>
        <w:spacing w:line="360" w:lineRule="auto"/>
        <w:ind w:firstLine="480" w:firstLineChars="200"/>
        <w:rPr>
          <w:rFonts w:hAnsi="宋体"/>
          <w:sz w:val="24"/>
          <w:szCs w:val="24"/>
        </w:rPr>
      </w:pPr>
      <w:r>
        <w:rPr>
          <w:rFonts w:hAnsi="宋体"/>
          <w:sz w:val="24"/>
          <w:szCs w:val="24"/>
        </w:rPr>
        <w:t>发掘现场的安全保卫工作，</w:t>
      </w:r>
      <w:r>
        <w:rPr>
          <w:rFonts w:hint="eastAsia" w:hAnsi="宋体"/>
          <w:sz w:val="24"/>
          <w:szCs w:val="24"/>
        </w:rPr>
        <w:t>服从发掘技术服务单位的安排，</w:t>
      </w:r>
      <w:r>
        <w:rPr>
          <w:rFonts w:hAnsi="宋体"/>
          <w:sz w:val="24"/>
          <w:szCs w:val="24"/>
        </w:rPr>
        <w:t>由</w:t>
      </w:r>
      <w:r>
        <w:rPr>
          <w:rFonts w:hint="eastAsia" w:hAnsi="宋体"/>
          <w:sz w:val="24"/>
          <w:szCs w:val="24"/>
        </w:rPr>
        <w:t>中标人</w:t>
      </w:r>
      <w:r>
        <w:rPr>
          <w:rFonts w:hAnsi="宋体"/>
          <w:sz w:val="24"/>
          <w:szCs w:val="24"/>
        </w:rPr>
        <w:t>负责</w:t>
      </w:r>
      <w:r>
        <w:rPr>
          <w:rFonts w:hint="eastAsia" w:hAnsi="宋体"/>
          <w:sz w:val="24"/>
          <w:szCs w:val="24"/>
        </w:rPr>
        <w:t>；中标人承担安全保护责任。要求考古现场须按照《陕西省考古研究院考古工地安全保卫规定》进行考古发掘现场人员及设备的配置，满足考古工地安全保卫的需要。</w:t>
      </w:r>
    </w:p>
    <w:p w14:paraId="17D5AE46">
      <w:pPr>
        <w:tabs>
          <w:tab w:val="left" w:pos="900"/>
        </w:tabs>
        <w:spacing w:line="360" w:lineRule="auto"/>
        <w:ind w:firstLine="480" w:firstLineChars="200"/>
        <w:rPr>
          <w:rFonts w:hAnsi="宋体"/>
          <w:sz w:val="24"/>
          <w:szCs w:val="24"/>
        </w:rPr>
      </w:pPr>
      <w:r>
        <w:rPr>
          <w:rFonts w:hint="eastAsia" w:hAnsi="宋体"/>
          <w:sz w:val="24"/>
          <w:szCs w:val="24"/>
        </w:rPr>
        <w:t>因项目位于全国重点文物保护单位—隋唐长安城保护范围内，</w:t>
      </w: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须完成该地块的《文物影响评估报告》编制及相关涉建手续的报送</w:t>
      </w:r>
      <w:r>
        <w:rPr>
          <w:rFonts w:hint="eastAsia" w:hAnsi="宋体"/>
          <w:sz w:val="24"/>
          <w:szCs w:val="24"/>
        </w:rPr>
        <w:t>，项目负责人需有文物博物专业中级及以上职称。</w:t>
      </w:r>
    </w:p>
    <w:p w14:paraId="28D69CFB">
      <w:pPr>
        <w:tabs>
          <w:tab w:val="left" w:pos="900"/>
        </w:tabs>
        <w:spacing w:line="360" w:lineRule="auto"/>
        <w:ind w:firstLine="480" w:firstLineChars="200"/>
        <w:rPr>
          <w:rFonts w:hAnsi="宋体"/>
          <w:sz w:val="24"/>
          <w:szCs w:val="24"/>
        </w:rPr>
      </w:pPr>
      <w:r>
        <w:rPr>
          <w:rFonts w:hint="eastAsia" w:hAnsi="宋体"/>
          <w:sz w:val="24"/>
          <w:szCs w:val="24"/>
        </w:rPr>
        <w:t>报价要求（按照采购人提供的工作量计算投标报价，为全费用含税单价及含税总价，按照附表格式填报）</w:t>
      </w:r>
    </w:p>
    <w:p w14:paraId="57F05024">
      <w:pPr>
        <w:spacing w:before="156" w:beforeLines="50" w:line="360" w:lineRule="auto"/>
        <w:ind w:firstLine="240" w:firstLineChars="100"/>
        <w:jc w:val="center"/>
        <w:rPr>
          <w:rFonts w:hAnsi="宋体"/>
          <w:sz w:val="24"/>
          <w:szCs w:val="24"/>
        </w:rPr>
      </w:pPr>
      <w:r>
        <w:rPr>
          <w:rFonts w:hint="eastAsia" w:hAnsi="宋体"/>
          <w:sz w:val="24"/>
          <w:szCs w:val="24"/>
        </w:rPr>
        <w:t>劳务配合服务报价表</w:t>
      </w:r>
    </w:p>
    <w:tbl>
      <w:tblPr>
        <w:tblStyle w:val="9"/>
        <w:tblW w:w="10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4770"/>
        <w:gridCol w:w="614"/>
        <w:gridCol w:w="750"/>
        <w:gridCol w:w="1104"/>
        <w:gridCol w:w="1104"/>
        <w:gridCol w:w="875"/>
        <w:gridCol w:w="700"/>
      </w:tblGrid>
      <w:tr w14:paraId="00CE0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97" w:type="dxa"/>
            <w:vAlign w:val="center"/>
          </w:tcPr>
          <w:p w14:paraId="16FC17CB">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4770" w:type="dxa"/>
            <w:vAlign w:val="center"/>
          </w:tcPr>
          <w:p w14:paraId="5EC9EAE9">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工程内容</w:t>
            </w:r>
          </w:p>
        </w:tc>
        <w:tc>
          <w:tcPr>
            <w:tcW w:w="614" w:type="dxa"/>
            <w:vAlign w:val="center"/>
          </w:tcPr>
          <w:p w14:paraId="7E6B01BE">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750" w:type="dxa"/>
            <w:shd w:val="clear" w:color="auto" w:fill="auto"/>
            <w:vAlign w:val="center"/>
          </w:tcPr>
          <w:p w14:paraId="530C95B2">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1104" w:type="dxa"/>
            <w:vAlign w:val="center"/>
          </w:tcPr>
          <w:p w14:paraId="0B1E59FC">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深度系数</w:t>
            </w:r>
          </w:p>
        </w:tc>
        <w:tc>
          <w:tcPr>
            <w:tcW w:w="1104" w:type="dxa"/>
            <w:vAlign w:val="center"/>
          </w:tcPr>
          <w:p w14:paraId="3EE94840">
            <w:pPr>
              <w:spacing w:line="360" w:lineRule="auto"/>
              <w:jc w:val="center"/>
              <w:rPr>
                <w:rFonts w:asciiTheme="minorEastAsia" w:hAnsiTheme="minorEastAsia" w:cstheme="minorEastAsia"/>
                <w:sz w:val="24"/>
                <w:szCs w:val="24"/>
              </w:rPr>
            </w:pPr>
            <w:r>
              <w:rPr>
                <w:rFonts w:hint="eastAsia" w:ascii="宋体" w:hAnsi="宋体"/>
                <w:sz w:val="24"/>
                <w:szCs w:val="24"/>
              </w:rPr>
              <w:t>全费用含税单价（元）</w:t>
            </w:r>
          </w:p>
        </w:tc>
        <w:tc>
          <w:tcPr>
            <w:tcW w:w="875" w:type="dxa"/>
            <w:vAlign w:val="center"/>
          </w:tcPr>
          <w:p w14:paraId="40006796">
            <w:pPr>
              <w:spacing w:line="360" w:lineRule="auto"/>
              <w:jc w:val="center"/>
              <w:rPr>
                <w:rFonts w:ascii="宋体" w:hAnsi="宋体"/>
                <w:sz w:val="24"/>
                <w:szCs w:val="24"/>
              </w:rPr>
            </w:pPr>
            <w:r>
              <w:rPr>
                <w:rFonts w:hint="eastAsia" w:ascii="宋体" w:hAnsi="宋体"/>
                <w:sz w:val="24"/>
                <w:szCs w:val="24"/>
              </w:rPr>
              <w:t>合价</w:t>
            </w:r>
          </w:p>
          <w:p w14:paraId="7176CC60">
            <w:pPr>
              <w:spacing w:line="360" w:lineRule="auto"/>
              <w:jc w:val="center"/>
              <w:rPr>
                <w:rFonts w:asciiTheme="minorEastAsia" w:hAnsiTheme="minorEastAsia" w:eastAsiaTheme="minorEastAsia" w:cstheme="minorEastAsia"/>
                <w:sz w:val="24"/>
                <w:szCs w:val="24"/>
              </w:rPr>
            </w:pPr>
            <w:r>
              <w:rPr>
                <w:rFonts w:hint="eastAsia" w:ascii="宋体" w:hAnsi="宋体"/>
                <w:sz w:val="24"/>
                <w:szCs w:val="24"/>
              </w:rPr>
              <w:t>（元）</w:t>
            </w:r>
          </w:p>
        </w:tc>
        <w:tc>
          <w:tcPr>
            <w:tcW w:w="700" w:type="dxa"/>
            <w:vAlign w:val="center"/>
          </w:tcPr>
          <w:p w14:paraId="420739F8">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39D6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jc w:val="center"/>
        </w:trPr>
        <w:tc>
          <w:tcPr>
            <w:tcW w:w="597" w:type="dxa"/>
            <w:vAlign w:val="center"/>
          </w:tcPr>
          <w:p w14:paraId="6BD81128">
            <w:pPr>
              <w:spacing w:line="360"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4770" w:type="dxa"/>
            <w:vAlign w:val="center"/>
          </w:tcPr>
          <w:p w14:paraId="6010778E">
            <w:pPr>
              <w:tabs>
                <w:tab w:val="left" w:pos="900"/>
              </w:tabs>
              <w:spacing w:line="360" w:lineRule="auto"/>
              <w:ind w:firstLine="600" w:firstLineChars="25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配合考古发掘技术单位，按考古发掘计划布设的10m×10m探方25个进行报价，深度系数统一按1考虑（即2m以内），报价包含满足考古发掘所需的劳务配合费、土方工作费（含回填）、安保费。</w:t>
            </w:r>
          </w:p>
        </w:tc>
        <w:tc>
          <w:tcPr>
            <w:tcW w:w="614" w:type="dxa"/>
            <w:vAlign w:val="center"/>
          </w:tcPr>
          <w:p w14:paraId="384DC9EE">
            <w:pPr>
              <w:spacing w:line="360"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m</w:t>
            </w:r>
            <w:r>
              <w:rPr>
                <w:rFonts w:hint="eastAsia" w:asciiTheme="minorEastAsia" w:hAnsiTheme="minorEastAsia" w:eastAsiaTheme="minorEastAsia" w:cstheme="minorEastAsia"/>
                <w:color w:val="000000" w:themeColor="text1"/>
                <w:sz w:val="24"/>
                <w:szCs w:val="24"/>
                <w:vertAlign w:val="superscript"/>
                <w14:textFill>
                  <w14:solidFill>
                    <w14:schemeClr w14:val="tx1"/>
                  </w14:solidFill>
                </w14:textFill>
              </w:rPr>
              <w:t>2</w:t>
            </w:r>
          </w:p>
        </w:tc>
        <w:tc>
          <w:tcPr>
            <w:tcW w:w="750" w:type="dxa"/>
            <w:shd w:val="clear" w:color="auto" w:fill="auto"/>
            <w:vAlign w:val="center"/>
          </w:tcPr>
          <w:p w14:paraId="46D36659">
            <w:pPr>
              <w:spacing w:line="360"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2500</w:t>
            </w:r>
          </w:p>
        </w:tc>
        <w:tc>
          <w:tcPr>
            <w:tcW w:w="1104" w:type="dxa"/>
            <w:vAlign w:val="center"/>
          </w:tcPr>
          <w:p w14:paraId="4F61F99E">
            <w:pPr>
              <w:spacing w:line="360"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1104" w:type="dxa"/>
            <w:vAlign w:val="center"/>
          </w:tcPr>
          <w:p w14:paraId="05523CF7">
            <w:pPr>
              <w:spacing w:line="360"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75" w:type="dxa"/>
            <w:vAlign w:val="center"/>
          </w:tcPr>
          <w:p w14:paraId="3C50F156">
            <w:pPr>
              <w:spacing w:line="360"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700" w:type="dxa"/>
            <w:vAlign w:val="center"/>
          </w:tcPr>
          <w:p w14:paraId="3C695E91">
            <w:pPr>
              <w:spacing w:line="360" w:lineRule="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发掘深度为2m以内（含2m）。</w:t>
            </w:r>
          </w:p>
        </w:tc>
      </w:tr>
      <w:tr w14:paraId="01274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97" w:type="dxa"/>
            <w:vAlign w:val="center"/>
          </w:tcPr>
          <w:p w14:paraId="149889DA">
            <w:pPr>
              <w:spacing w:line="360"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p>
        </w:tc>
        <w:tc>
          <w:tcPr>
            <w:tcW w:w="4770" w:type="dxa"/>
            <w:vAlign w:val="center"/>
          </w:tcPr>
          <w:p w14:paraId="1E836F58">
            <w:pPr>
              <w:tabs>
                <w:tab w:val="left" w:pos="900"/>
              </w:tabs>
              <w:spacing w:line="360" w:lineRule="auto"/>
              <w:ind w:firstLine="600" w:firstLineChars="25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根据考古发掘成果情况，结合拟建项目建设工程方案开展对隋唐长安城文物影响进行评估，并编制影响评估报告，满足文物行政部门审批要件需求。</w:t>
            </w:r>
          </w:p>
        </w:tc>
        <w:tc>
          <w:tcPr>
            <w:tcW w:w="614" w:type="dxa"/>
            <w:vAlign w:val="center"/>
          </w:tcPr>
          <w:p w14:paraId="2F1F4981">
            <w:pPr>
              <w:spacing w:line="360"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w:t>
            </w:r>
          </w:p>
        </w:tc>
        <w:tc>
          <w:tcPr>
            <w:tcW w:w="750" w:type="dxa"/>
            <w:shd w:val="clear" w:color="auto" w:fill="auto"/>
            <w:vAlign w:val="center"/>
          </w:tcPr>
          <w:p w14:paraId="73D98384">
            <w:pPr>
              <w:spacing w:line="360"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1104" w:type="dxa"/>
            <w:vAlign w:val="center"/>
          </w:tcPr>
          <w:p w14:paraId="1DD17129">
            <w:pPr>
              <w:spacing w:line="360"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c>
          <w:tcPr>
            <w:tcW w:w="1104" w:type="dxa"/>
            <w:vAlign w:val="center"/>
          </w:tcPr>
          <w:p w14:paraId="0351A1BA">
            <w:pPr>
              <w:spacing w:line="360"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75" w:type="dxa"/>
            <w:vAlign w:val="center"/>
          </w:tcPr>
          <w:p w14:paraId="0BD62395">
            <w:pPr>
              <w:spacing w:line="360"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700" w:type="dxa"/>
            <w:vAlign w:val="center"/>
          </w:tcPr>
          <w:p w14:paraId="462DF3CE">
            <w:pPr>
              <w:spacing w:line="360" w:lineRule="auto"/>
              <w:rPr>
                <w:rFonts w:asciiTheme="minorEastAsia" w:hAnsiTheme="minorEastAsia" w:eastAsiaTheme="minorEastAsia" w:cstheme="minorEastAsia"/>
                <w:color w:val="000000" w:themeColor="text1"/>
                <w:sz w:val="24"/>
                <w:szCs w:val="24"/>
                <w14:textFill>
                  <w14:solidFill>
                    <w14:schemeClr w14:val="tx1"/>
                  </w14:solidFill>
                </w14:textFill>
              </w:rPr>
            </w:pPr>
          </w:p>
        </w:tc>
      </w:tr>
    </w:tbl>
    <w:p w14:paraId="2B6D4F61">
      <w:pPr>
        <w:pStyle w:val="2"/>
        <w:spacing w:line="360" w:lineRule="auto"/>
        <w:ind w:left="0"/>
        <w:rPr>
          <w:color w:val="000000" w:themeColor="text1"/>
          <w:sz w:val="24"/>
          <w:szCs w:val="24"/>
          <w14:textFill>
            <w14:solidFill>
              <w14:schemeClr w14:val="tx1"/>
            </w14:solidFill>
          </w14:textFill>
        </w:rPr>
      </w:pPr>
    </w:p>
    <w:p w14:paraId="0D9BC29E">
      <w:pPr>
        <w:pStyle w:val="2"/>
        <w:spacing w:line="360" w:lineRule="auto"/>
        <w:ind w:left="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3.投标总价</w:t>
      </w:r>
    </w:p>
    <w:tbl>
      <w:tblPr>
        <w:tblStyle w:val="9"/>
        <w:tblW w:w="10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0"/>
        <w:gridCol w:w="3840"/>
      </w:tblGrid>
      <w:tr w14:paraId="714F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370" w:type="dxa"/>
            <w:vAlign w:val="center"/>
          </w:tcPr>
          <w:p w14:paraId="1A0C5546">
            <w:pPr>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投标总价</w:t>
            </w:r>
            <w:r>
              <w:rPr>
                <w:rFonts w:hint="eastAsia"/>
                <w:b/>
                <w:bCs/>
                <w:color w:val="000000" w:themeColor="text1"/>
                <w:sz w:val="24"/>
                <w:szCs w:val="24"/>
                <w:lang w:eastAsia="zh-CN"/>
                <w14:textFill>
                  <w14:solidFill>
                    <w14:schemeClr w14:val="tx1"/>
                  </w14:solidFill>
                </w14:textFill>
              </w:rPr>
              <w:t>（</w:t>
            </w:r>
            <w:r>
              <w:rPr>
                <w:rFonts w:hint="eastAsia"/>
                <w:b/>
                <w:bCs/>
                <w:color w:val="000000" w:themeColor="text1"/>
                <w:sz w:val="24"/>
                <w:szCs w:val="24"/>
                <w:lang w:val="en-US" w:eastAsia="zh-CN"/>
                <w14:textFill>
                  <w14:solidFill>
                    <w14:schemeClr w14:val="tx1"/>
                  </w14:solidFill>
                </w14:textFill>
              </w:rPr>
              <w:t>包含</w:t>
            </w:r>
            <w:r>
              <w:rPr>
                <w:rFonts w:hint="eastAsia" w:hAnsi="宋体"/>
                <w:b/>
                <w:bCs/>
                <w:color w:val="000000" w:themeColor="text1"/>
                <w:sz w:val="24"/>
                <w:szCs w:val="24"/>
                <w14:textFill>
                  <w14:solidFill>
                    <w14:schemeClr w14:val="tx1"/>
                  </w14:solidFill>
                </w14:textFill>
              </w:rPr>
              <w:t>劳务配合、土方工作（含回填）、安保配合</w:t>
            </w:r>
            <w:r>
              <w:rPr>
                <w:rFonts w:hint="eastAsia" w:hAnsi="宋体"/>
                <w:b/>
                <w:bCs/>
                <w:color w:val="000000" w:themeColor="text1"/>
                <w:sz w:val="24"/>
                <w:szCs w:val="24"/>
                <w:lang w:eastAsia="zh-CN"/>
                <w14:textFill>
                  <w14:solidFill>
                    <w14:schemeClr w14:val="tx1"/>
                  </w14:solidFill>
                </w14:textFill>
              </w:rPr>
              <w:t>、</w:t>
            </w:r>
            <w:r>
              <w:rPr>
                <w:rFonts w:hint="eastAsia"/>
                <w:b/>
                <w:bCs/>
                <w:color w:val="000000" w:themeColor="text1"/>
                <w:sz w:val="24"/>
                <w:szCs w:val="24"/>
                <w14:textFill>
                  <w14:solidFill>
                    <w14:schemeClr w14:val="tx1"/>
                  </w14:solidFill>
                </w14:textFill>
              </w:rPr>
              <w:t>文物影响评估报告编制</w:t>
            </w:r>
            <w:r>
              <w:rPr>
                <w:rFonts w:hint="eastAsia"/>
                <w:b/>
                <w:bCs/>
                <w:color w:val="000000" w:themeColor="text1"/>
                <w:sz w:val="24"/>
                <w:szCs w:val="24"/>
                <w:lang w:eastAsia="zh-CN"/>
                <w14:textFill>
                  <w14:solidFill>
                    <w14:schemeClr w14:val="tx1"/>
                  </w14:solidFill>
                </w14:textFill>
              </w:rPr>
              <w:t>、</w:t>
            </w:r>
            <w:r>
              <w:rPr>
                <w:rFonts w:hint="eastAsia"/>
                <w:b/>
                <w:bCs/>
                <w:color w:val="000000" w:themeColor="text1"/>
                <w:sz w:val="24"/>
                <w:szCs w:val="24"/>
                <w14:textFill>
                  <w14:solidFill>
                    <w14:schemeClr w14:val="tx1"/>
                  </w14:solidFill>
                </w14:textFill>
              </w:rPr>
              <w:t>预留金10万元</w:t>
            </w:r>
            <w:r>
              <w:rPr>
                <w:rFonts w:hint="eastAsia"/>
                <w:b/>
                <w:bCs/>
                <w:color w:val="000000" w:themeColor="text1"/>
                <w:sz w:val="24"/>
                <w:szCs w:val="24"/>
                <w:lang w:eastAsia="zh-CN"/>
                <w14:textFill>
                  <w14:solidFill>
                    <w14:schemeClr w14:val="tx1"/>
                  </w14:solidFill>
                </w14:textFill>
              </w:rPr>
              <w:t>）</w:t>
            </w:r>
          </w:p>
        </w:tc>
        <w:tc>
          <w:tcPr>
            <w:tcW w:w="3840" w:type="dxa"/>
            <w:vAlign w:val="center"/>
          </w:tcPr>
          <w:p w14:paraId="175458B5">
            <w:pPr>
              <w:spacing w:line="360" w:lineRule="auto"/>
              <w:rPr>
                <w:color w:val="000000" w:themeColor="text1"/>
                <w:sz w:val="24"/>
                <w:szCs w:val="24"/>
                <w14:textFill>
                  <w14:solidFill>
                    <w14:schemeClr w14:val="tx1"/>
                  </w14:solidFill>
                </w14:textFill>
              </w:rPr>
            </w:pP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元（大写：</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元）</w:t>
            </w:r>
          </w:p>
        </w:tc>
      </w:tr>
    </w:tbl>
    <w:p w14:paraId="067A874B">
      <w:pPr>
        <w:tabs>
          <w:tab w:val="left" w:pos="900"/>
        </w:tabs>
        <w:spacing w:line="360" w:lineRule="auto"/>
        <w:ind w:firstLine="600" w:firstLineChars="250"/>
        <w:rPr>
          <w:rFonts w:hAnsi="宋体"/>
          <w:sz w:val="24"/>
          <w:szCs w:val="24"/>
        </w:rPr>
      </w:pPr>
    </w:p>
    <w:p w14:paraId="356A1A49">
      <w:pPr>
        <w:tabs>
          <w:tab w:val="left" w:pos="900"/>
        </w:tabs>
        <w:spacing w:line="360" w:lineRule="auto"/>
        <w:ind w:firstLine="482" w:firstLineChars="200"/>
        <w:rPr>
          <w:rFonts w:hAnsi="宋体"/>
          <w:b/>
          <w:bCs/>
          <w:sz w:val="24"/>
          <w:szCs w:val="24"/>
        </w:rPr>
      </w:pPr>
      <w:r>
        <w:rPr>
          <w:rFonts w:hint="eastAsia" w:hAnsi="宋体"/>
          <w:b/>
          <w:bCs/>
          <w:sz w:val="24"/>
          <w:szCs w:val="24"/>
        </w:rPr>
        <w:t>最高限价为</w:t>
      </w:r>
      <w:r>
        <w:rPr>
          <w:rFonts w:hint="eastAsia" w:hAnsi="宋体"/>
          <w:b/>
          <w:bCs/>
          <w:color w:val="000000" w:themeColor="text1"/>
          <w:sz w:val="24"/>
          <w:szCs w:val="24"/>
          <w:u w:val="single"/>
          <w14:textFill>
            <w14:solidFill>
              <w14:schemeClr w14:val="tx1"/>
            </w14:solidFill>
          </w14:textFill>
        </w:rPr>
        <w:t xml:space="preserve">  148.5  </w:t>
      </w:r>
      <w:r>
        <w:rPr>
          <w:rFonts w:hint="eastAsia" w:hAnsi="宋体"/>
          <w:b/>
          <w:bCs/>
          <w:sz w:val="24"/>
          <w:szCs w:val="24"/>
        </w:rPr>
        <w:t>万元，含预留金</w:t>
      </w:r>
      <w:r>
        <w:rPr>
          <w:rFonts w:hint="eastAsia" w:hAnsi="宋体"/>
          <w:b/>
          <w:bCs/>
          <w:color w:val="000000" w:themeColor="text1"/>
          <w:sz w:val="24"/>
          <w:szCs w:val="24"/>
          <w14:textFill>
            <w14:solidFill>
              <w14:schemeClr w14:val="tx1"/>
            </w14:solidFill>
          </w14:textFill>
        </w:rPr>
        <w:t>10</w:t>
      </w:r>
      <w:r>
        <w:rPr>
          <w:rFonts w:hint="eastAsia" w:hAnsi="宋体"/>
          <w:b/>
          <w:bCs/>
          <w:sz w:val="24"/>
          <w:szCs w:val="24"/>
        </w:rPr>
        <w:t>万元（预留金为采购人所有，计入总报价中，用于超出原投标内容及工作量部分）；无论投标人是否填报，均视为含在总报价中。</w:t>
      </w:r>
    </w:p>
    <w:p w14:paraId="2653E623">
      <w:pPr>
        <w:tabs>
          <w:tab w:val="left" w:pos="900"/>
        </w:tabs>
        <w:spacing w:line="360" w:lineRule="auto"/>
        <w:ind w:firstLine="600" w:firstLineChars="250"/>
        <w:rPr>
          <w:rFonts w:hAnsi="宋体"/>
          <w:sz w:val="24"/>
          <w:szCs w:val="24"/>
        </w:rPr>
      </w:pPr>
      <w:r>
        <w:rPr>
          <w:rFonts w:hint="eastAsia" w:hAnsi="宋体"/>
          <w:sz w:val="24"/>
          <w:szCs w:val="24"/>
        </w:rPr>
        <w:t>在合同实施期间全费用含税单价不因市场和政策性调价等因素的变化而变动。该固定全费用含税单价包括（但不限于）人工费、土方工作费、安全保卫费、材料费、设备工器具费、管理费、措施费（支护、加固、临时设施、人员住宿设施、安全防护、冬雨季防护、安全看护棚及安全警示标志以及相应的材料费等）、风险费、利润、规费、税金，环保、市容、城管、公安等部门规定缴纳的有关费用及协调费用，按照规定采取维护市容、防止污染等费用，为</w:t>
      </w:r>
      <w:r>
        <w:rPr>
          <w:rFonts w:hint="eastAsia" w:hAnsi="宋体"/>
          <w:b/>
          <w:bCs/>
          <w:sz w:val="24"/>
          <w:szCs w:val="24"/>
        </w:rPr>
        <w:t>全费用含税单价</w:t>
      </w:r>
      <w:r>
        <w:rPr>
          <w:rFonts w:hint="eastAsia" w:hAnsi="宋体"/>
          <w:sz w:val="24"/>
          <w:szCs w:val="24"/>
        </w:rPr>
        <w:t>。</w:t>
      </w:r>
    </w:p>
    <w:p w14:paraId="5C6E5C04">
      <w:pPr>
        <w:tabs>
          <w:tab w:val="left" w:pos="900"/>
        </w:tabs>
        <w:spacing w:line="360" w:lineRule="auto"/>
        <w:ind w:firstLine="600" w:firstLineChars="250"/>
        <w:rPr>
          <w:rFonts w:hAnsi="宋体"/>
          <w:b/>
          <w:bCs/>
          <w:sz w:val="24"/>
          <w:szCs w:val="24"/>
        </w:rPr>
      </w:pPr>
      <w:r>
        <w:rPr>
          <w:rFonts w:hint="eastAsia" w:hAnsi="宋体"/>
          <w:sz w:val="24"/>
          <w:szCs w:val="24"/>
        </w:rPr>
        <w:t>投标人自行踏勘现场，综合考虑场地内工作位置、结构、环境、表面覆土场内倒运等条件，综合考虑满足文物发掘要求的劳务配合、土方工作（含回填）、表面覆土场内倒运及安保配合，综合考虑以上因素进行报价。</w:t>
      </w:r>
      <w:r>
        <w:rPr>
          <w:rFonts w:hint="eastAsia" w:hAnsi="宋体"/>
          <w:b/>
          <w:bCs/>
          <w:sz w:val="24"/>
          <w:szCs w:val="24"/>
        </w:rPr>
        <w:t>投标报价(预留金除外）为固定价格，结算时不做调整。</w:t>
      </w:r>
    </w:p>
    <w:p w14:paraId="40F639EB">
      <w:pPr>
        <w:tabs>
          <w:tab w:val="left" w:pos="900"/>
        </w:tabs>
        <w:spacing w:line="360" w:lineRule="auto"/>
        <w:ind w:firstLine="600" w:firstLineChars="250"/>
        <w:rPr>
          <w:rFonts w:hAnsi="宋体"/>
          <w:sz w:val="24"/>
          <w:szCs w:val="24"/>
        </w:rPr>
      </w:pPr>
      <w:r>
        <w:rPr>
          <w:rFonts w:hint="eastAsia" w:hAnsi="宋体"/>
          <w:sz w:val="24"/>
          <w:szCs w:val="24"/>
        </w:rPr>
        <w:t>五、采购标的的验收标准</w:t>
      </w:r>
    </w:p>
    <w:p w14:paraId="08DC4609">
      <w:pPr>
        <w:tabs>
          <w:tab w:val="left" w:pos="900"/>
        </w:tabs>
        <w:spacing w:line="360" w:lineRule="auto"/>
        <w:ind w:firstLine="600" w:firstLineChars="250"/>
        <w:rPr>
          <w:rFonts w:hAnsi="宋体"/>
          <w:sz w:val="24"/>
          <w:szCs w:val="24"/>
        </w:rPr>
      </w:pPr>
      <w:r>
        <w:rPr>
          <w:rFonts w:hint="eastAsia" w:hAnsi="宋体"/>
          <w:sz w:val="24"/>
          <w:szCs w:val="24"/>
        </w:rPr>
        <w:t>按照考古发掘技术单位要求验收严格。</w:t>
      </w:r>
    </w:p>
    <w:bookmarkEnd w:id="1"/>
    <w:bookmarkEnd w:id="2"/>
    <w:bookmarkEnd w:id="3"/>
    <w:p w14:paraId="2402B6AB">
      <w:pPr>
        <w:tabs>
          <w:tab w:val="left" w:pos="900"/>
        </w:tabs>
        <w:spacing w:before="156" w:beforeLines="50" w:line="360" w:lineRule="auto"/>
        <w:jc w:val="center"/>
        <w:rPr>
          <w:sz w:val="24"/>
          <w:szCs w:val="24"/>
        </w:rPr>
      </w:pPr>
    </w:p>
    <w:p w14:paraId="7E6FF476">
      <w:pPr>
        <w:spacing w:line="360" w:lineRule="auto"/>
        <w:rPr>
          <w:sz w:val="24"/>
          <w:szCs w:val="24"/>
        </w:rPr>
      </w:pPr>
    </w:p>
    <w:sectPr>
      <w:footerReference r:id="rId3" w:type="default"/>
      <w:pgSz w:w="11906" w:h="16838"/>
      <w:pgMar w:top="1440" w:right="1179" w:bottom="1383" w:left="1525"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984E0">
    <w:pPr>
      <w:pStyle w:val="5"/>
      <w:jc w:val="center"/>
    </w:pPr>
    <w:r>
      <w:fldChar w:fldCharType="begin"/>
    </w:r>
    <w:r>
      <w:instrText xml:space="preserve">PAGE   \* MERGEFORMAT</w:instrText>
    </w:r>
    <w:r>
      <w:fldChar w:fldCharType="separate"/>
    </w:r>
    <w:r>
      <w:rPr>
        <w:lang w:val="zh-CN"/>
      </w:rPr>
      <w:t>1</w:t>
    </w:r>
    <w:r>
      <w:fldChar w:fldCharType="end"/>
    </w:r>
  </w:p>
  <w:p w14:paraId="03943EAD">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ED651"/>
    <w:multiLevelType w:val="singleLevel"/>
    <w:tmpl w:val="06BED651"/>
    <w:lvl w:ilvl="0" w:tentative="0">
      <w:start w:val="1"/>
      <w:numFmt w:val="chineseCounting"/>
      <w:suff w:val="nothing"/>
      <w:lvlText w:val="%1、"/>
      <w:lvlJc w:val="left"/>
      <w:rPr>
        <w:rFonts w:hint="eastAsia"/>
      </w:rPr>
    </w:lvl>
  </w:abstractNum>
  <w:abstractNum w:abstractNumId="1">
    <w:nsid w:val="57D19B51"/>
    <w:multiLevelType w:val="singleLevel"/>
    <w:tmpl w:val="57D19B51"/>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3ODhhNTBlOTU4OWE1ZmYxNDUwNzE2ZTE2MjE3YWMifQ=="/>
  </w:docVars>
  <w:rsids>
    <w:rsidRoot w:val="00A161FC"/>
    <w:rsid w:val="00085BA8"/>
    <w:rsid w:val="00086706"/>
    <w:rsid w:val="000C2F39"/>
    <w:rsid w:val="00105428"/>
    <w:rsid w:val="00140AF0"/>
    <w:rsid w:val="001507CE"/>
    <w:rsid w:val="00157667"/>
    <w:rsid w:val="001609FC"/>
    <w:rsid w:val="00161090"/>
    <w:rsid w:val="0018461B"/>
    <w:rsid w:val="001A6063"/>
    <w:rsid w:val="001B712C"/>
    <w:rsid w:val="001C41C3"/>
    <w:rsid w:val="00212C98"/>
    <w:rsid w:val="00237253"/>
    <w:rsid w:val="00251A44"/>
    <w:rsid w:val="002B3A1B"/>
    <w:rsid w:val="002F3716"/>
    <w:rsid w:val="003113D4"/>
    <w:rsid w:val="00324938"/>
    <w:rsid w:val="00345D8D"/>
    <w:rsid w:val="0036352F"/>
    <w:rsid w:val="003649AF"/>
    <w:rsid w:val="00385C2C"/>
    <w:rsid w:val="003D6EE7"/>
    <w:rsid w:val="003E211E"/>
    <w:rsid w:val="003F5AC5"/>
    <w:rsid w:val="00412D01"/>
    <w:rsid w:val="00425198"/>
    <w:rsid w:val="00453832"/>
    <w:rsid w:val="004951D7"/>
    <w:rsid w:val="004A43F0"/>
    <w:rsid w:val="004D21BC"/>
    <w:rsid w:val="004E4B14"/>
    <w:rsid w:val="004F547B"/>
    <w:rsid w:val="00501176"/>
    <w:rsid w:val="00510891"/>
    <w:rsid w:val="00523E4F"/>
    <w:rsid w:val="0053111A"/>
    <w:rsid w:val="0054561A"/>
    <w:rsid w:val="00562C62"/>
    <w:rsid w:val="005633CE"/>
    <w:rsid w:val="00563D30"/>
    <w:rsid w:val="00571ADE"/>
    <w:rsid w:val="005951EF"/>
    <w:rsid w:val="005C1D80"/>
    <w:rsid w:val="005F1571"/>
    <w:rsid w:val="005F39A2"/>
    <w:rsid w:val="005F401F"/>
    <w:rsid w:val="00611202"/>
    <w:rsid w:val="00621188"/>
    <w:rsid w:val="00640888"/>
    <w:rsid w:val="006C2918"/>
    <w:rsid w:val="006C4A8E"/>
    <w:rsid w:val="006C5AB6"/>
    <w:rsid w:val="006C782C"/>
    <w:rsid w:val="00702973"/>
    <w:rsid w:val="00702C61"/>
    <w:rsid w:val="007554BB"/>
    <w:rsid w:val="007839AE"/>
    <w:rsid w:val="007F454D"/>
    <w:rsid w:val="007F4BD9"/>
    <w:rsid w:val="00800E12"/>
    <w:rsid w:val="008153D5"/>
    <w:rsid w:val="00823CA9"/>
    <w:rsid w:val="008403A0"/>
    <w:rsid w:val="0084652E"/>
    <w:rsid w:val="0089273D"/>
    <w:rsid w:val="0089621F"/>
    <w:rsid w:val="008A5152"/>
    <w:rsid w:val="008C0D48"/>
    <w:rsid w:val="00916633"/>
    <w:rsid w:val="00920EF4"/>
    <w:rsid w:val="00925E61"/>
    <w:rsid w:val="0099177F"/>
    <w:rsid w:val="009953DC"/>
    <w:rsid w:val="00995789"/>
    <w:rsid w:val="009F6CAB"/>
    <w:rsid w:val="009F7A2C"/>
    <w:rsid w:val="00A047F0"/>
    <w:rsid w:val="00A161FC"/>
    <w:rsid w:val="00A765E9"/>
    <w:rsid w:val="00AB2174"/>
    <w:rsid w:val="00AC005D"/>
    <w:rsid w:val="00AC4DE9"/>
    <w:rsid w:val="00AF7468"/>
    <w:rsid w:val="00B10B62"/>
    <w:rsid w:val="00B4481B"/>
    <w:rsid w:val="00B72BD6"/>
    <w:rsid w:val="00B91989"/>
    <w:rsid w:val="00B951AC"/>
    <w:rsid w:val="00BC3D86"/>
    <w:rsid w:val="00BD2740"/>
    <w:rsid w:val="00BE5444"/>
    <w:rsid w:val="00BF46EE"/>
    <w:rsid w:val="00C15054"/>
    <w:rsid w:val="00C23CB5"/>
    <w:rsid w:val="00C63818"/>
    <w:rsid w:val="00C65F3B"/>
    <w:rsid w:val="00C76E87"/>
    <w:rsid w:val="00C82348"/>
    <w:rsid w:val="00CD153F"/>
    <w:rsid w:val="00CD2230"/>
    <w:rsid w:val="00CD73F2"/>
    <w:rsid w:val="00D1212F"/>
    <w:rsid w:val="00D244B4"/>
    <w:rsid w:val="00D42C28"/>
    <w:rsid w:val="00DC1928"/>
    <w:rsid w:val="00DF5062"/>
    <w:rsid w:val="00E0581E"/>
    <w:rsid w:val="00E1130A"/>
    <w:rsid w:val="00E4264C"/>
    <w:rsid w:val="00E721CE"/>
    <w:rsid w:val="00E73399"/>
    <w:rsid w:val="00E7573D"/>
    <w:rsid w:val="00E821CF"/>
    <w:rsid w:val="00E931F1"/>
    <w:rsid w:val="00ED4DC2"/>
    <w:rsid w:val="00F7431A"/>
    <w:rsid w:val="00F9789E"/>
    <w:rsid w:val="00FB00E1"/>
    <w:rsid w:val="00FC1111"/>
    <w:rsid w:val="00FC3BB8"/>
    <w:rsid w:val="00FE1B41"/>
    <w:rsid w:val="00FF21F2"/>
    <w:rsid w:val="00FF47AD"/>
    <w:rsid w:val="025F5FB3"/>
    <w:rsid w:val="02624152"/>
    <w:rsid w:val="03600692"/>
    <w:rsid w:val="037D4A7F"/>
    <w:rsid w:val="03820F4E"/>
    <w:rsid w:val="03C85F11"/>
    <w:rsid w:val="069A3818"/>
    <w:rsid w:val="074E30D0"/>
    <w:rsid w:val="085C6C20"/>
    <w:rsid w:val="0D7A67F4"/>
    <w:rsid w:val="0E862A05"/>
    <w:rsid w:val="10014793"/>
    <w:rsid w:val="11F50B3F"/>
    <w:rsid w:val="128A572B"/>
    <w:rsid w:val="12A81DD2"/>
    <w:rsid w:val="17C7004B"/>
    <w:rsid w:val="1A07140F"/>
    <w:rsid w:val="1A954896"/>
    <w:rsid w:val="1F30703E"/>
    <w:rsid w:val="20915434"/>
    <w:rsid w:val="23D6056F"/>
    <w:rsid w:val="2410775D"/>
    <w:rsid w:val="256D21E6"/>
    <w:rsid w:val="25C805EC"/>
    <w:rsid w:val="28367A2F"/>
    <w:rsid w:val="2AA726C0"/>
    <w:rsid w:val="2B8D037C"/>
    <w:rsid w:val="2C225949"/>
    <w:rsid w:val="2CCF4852"/>
    <w:rsid w:val="2DC5103E"/>
    <w:rsid w:val="2E054B49"/>
    <w:rsid w:val="3021735A"/>
    <w:rsid w:val="30F2282D"/>
    <w:rsid w:val="31846DBA"/>
    <w:rsid w:val="35BC534C"/>
    <w:rsid w:val="380B6117"/>
    <w:rsid w:val="39A700C1"/>
    <w:rsid w:val="3B0312F0"/>
    <w:rsid w:val="3B6F3B9D"/>
    <w:rsid w:val="3BB10D7F"/>
    <w:rsid w:val="3BC34C36"/>
    <w:rsid w:val="3C757CC8"/>
    <w:rsid w:val="3CFE624A"/>
    <w:rsid w:val="3F5C54AA"/>
    <w:rsid w:val="401753E8"/>
    <w:rsid w:val="40E116DD"/>
    <w:rsid w:val="41A24AFA"/>
    <w:rsid w:val="427D5E63"/>
    <w:rsid w:val="42810A13"/>
    <w:rsid w:val="42CF268E"/>
    <w:rsid w:val="44E56D05"/>
    <w:rsid w:val="463A0A56"/>
    <w:rsid w:val="466452EE"/>
    <w:rsid w:val="46777F84"/>
    <w:rsid w:val="49B410A5"/>
    <w:rsid w:val="4B5D7265"/>
    <w:rsid w:val="4FDC066D"/>
    <w:rsid w:val="500876B4"/>
    <w:rsid w:val="5209326F"/>
    <w:rsid w:val="52420949"/>
    <w:rsid w:val="53033861"/>
    <w:rsid w:val="56835CE6"/>
    <w:rsid w:val="56EF6ED8"/>
    <w:rsid w:val="57460AC2"/>
    <w:rsid w:val="576B1DBC"/>
    <w:rsid w:val="581C38FC"/>
    <w:rsid w:val="59E66788"/>
    <w:rsid w:val="59EC24A4"/>
    <w:rsid w:val="5A953B60"/>
    <w:rsid w:val="5B25390D"/>
    <w:rsid w:val="5B991448"/>
    <w:rsid w:val="5F830B05"/>
    <w:rsid w:val="6085714B"/>
    <w:rsid w:val="60900008"/>
    <w:rsid w:val="64395C36"/>
    <w:rsid w:val="64B1461A"/>
    <w:rsid w:val="65FA68C5"/>
    <w:rsid w:val="66FA3298"/>
    <w:rsid w:val="67B91ED9"/>
    <w:rsid w:val="68A0229F"/>
    <w:rsid w:val="690D1604"/>
    <w:rsid w:val="692B3EF3"/>
    <w:rsid w:val="698E5172"/>
    <w:rsid w:val="69F672E3"/>
    <w:rsid w:val="6CEF7A8A"/>
    <w:rsid w:val="6E0439E8"/>
    <w:rsid w:val="71F31444"/>
    <w:rsid w:val="74C23A26"/>
    <w:rsid w:val="75717D36"/>
    <w:rsid w:val="761B09FE"/>
    <w:rsid w:val="7A74539C"/>
    <w:rsid w:val="7B903B92"/>
    <w:rsid w:val="7CD406E7"/>
    <w:rsid w:val="7F807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324"/>
    </w:pPr>
    <w:rPr>
      <w:rFonts w:ascii="宋体" w:hAnsi="宋体"/>
      <w:sz w:val="28"/>
      <w:szCs w:val="28"/>
    </w:rPr>
  </w:style>
  <w:style w:type="paragraph" w:styleId="3">
    <w:name w:val="Plain Text"/>
    <w:basedOn w:val="1"/>
    <w:link w:val="12"/>
    <w:qFormat/>
    <w:uiPriority w:val="0"/>
    <w:rPr>
      <w:rFonts w:ascii="宋体" w:hAnsi="Courier New" w:cstheme="minorBidi"/>
      <w:szCs w:val="22"/>
    </w:rPr>
  </w:style>
  <w:style w:type="paragraph" w:styleId="4">
    <w:name w:val="Balloon Text"/>
    <w:basedOn w:val="1"/>
    <w:link w:val="20"/>
    <w:semiHidden/>
    <w:unhideWhenUsed/>
    <w:qFormat/>
    <w:uiPriority w:val="99"/>
    <w:rPr>
      <w:sz w:val="18"/>
      <w:szCs w:val="18"/>
    </w:rPr>
  </w:style>
  <w:style w:type="paragraph" w:styleId="5">
    <w:name w:val="footer"/>
    <w:basedOn w:val="1"/>
    <w:link w:val="13"/>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kern w:val="0"/>
      <w:sz w:val="24"/>
    </w:rPr>
  </w:style>
  <w:style w:type="paragraph" w:styleId="8">
    <w:name w:val="Title"/>
    <w:basedOn w:val="1"/>
    <w:link w:val="14"/>
    <w:qFormat/>
    <w:uiPriority w:val="0"/>
    <w:pPr>
      <w:spacing w:before="240" w:after="60"/>
      <w:jc w:val="center"/>
      <w:outlineLvl w:val="0"/>
    </w:pPr>
    <w:rPr>
      <w:rFonts w:ascii="Arial" w:hAnsi="Arial" w:cs="Arial"/>
      <w:b/>
      <w:bCs/>
      <w:sz w:val="32"/>
      <w:szCs w:val="3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纯文本 字符"/>
    <w:link w:val="3"/>
    <w:qFormat/>
    <w:uiPriority w:val="0"/>
    <w:rPr>
      <w:rFonts w:ascii="宋体" w:hAnsi="Courier New" w:eastAsia="宋体"/>
    </w:rPr>
  </w:style>
  <w:style w:type="character" w:customStyle="1" w:styleId="13">
    <w:name w:val="页脚 字符"/>
    <w:link w:val="5"/>
    <w:qFormat/>
    <w:uiPriority w:val="0"/>
    <w:rPr>
      <w:sz w:val="18"/>
    </w:rPr>
  </w:style>
  <w:style w:type="character" w:customStyle="1" w:styleId="14">
    <w:name w:val="标题 字符"/>
    <w:link w:val="8"/>
    <w:qFormat/>
    <w:uiPriority w:val="0"/>
    <w:rPr>
      <w:rFonts w:ascii="Arial" w:hAnsi="Arial" w:eastAsia="宋体" w:cs="Arial"/>
      <w:b/>
      <w:bCs/>
      <w:sz w:val="32"/>
      <w:szCs w:val="32"/>
    </w:rPr>
  </w:style>
  <w:style w:type="character" w:customStyle="1" w:styleId="15">
    <w:name w:val="页脚 Char"/>
    <w:basedOn w:val="11"/>
    <w:semiHidden/>
    <w:qFormat/>
    <w:uiPriority w:val="99"/>
    <w:rPr>
      <w:rFonts w:ascii="Times New Roman" w:hAnsi="Times New Roman" w:eastAsia="宋体" w:cs="Times New Roman"/>
      <w:sz w:val="18"/>
      <w:szCs w:val="18"/>
    </w:rPr>
  </w:style>
  <w:style w:type="character" w:customStyle="1" w:styleId="16">
    <w:name w:val="标题 Char"/>
    <w:basedOn w:val="11"/>
    <w:qFormat/>
    <w:uiPriority w:val="10"/>
    <w:rPr>
      <w:rFonts w:eastAsia="宋体" w:asciiTheme="majorHAnsi" w:hAnsiTheme="majorHAnsi" w:cstheme="majorBidi"/>
      <w:b/>
      <w:bCs/>
      <w:sz w:val="32"/>
      <w:szCs w:val="32"/>
    </w:rPr>
  </w:style>
  <w:style w:type="character" w:customStyle="1" w:styleId="17">
    <w:name w:val="纯文本 Char"/>
    <w:basedOn w:val="11"/>
    <w:semiHidden/>
    <w:qFormat/>
    <w:uiPriority w:val="99"/>
    <w:rPr>
      <w:rFonts w:ascii="宋体" w:hAnsi="Courier New" w:eastAsia="宋体" w:cs="Courier New"/>
      <w:szCs w:val="21"/>
    </w:rPr>
  </w:style>
  <w:style w:type="character" w:customStyle="1" w:styleId="18">
    <w:name w:val="页眉 字符"/>
    <w:basedOn w:val="11"/>
    <w:link w:val="6"/>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character" w:customStyle="1" w:styleId="20">
    <w:name w:val="批注框文本 字符"/>
    <w:basedOn w:val="11"/>
    <w:link w:val="4"/>
    <w:semiHidden/>
    <w:qFormat/>
    <w:uiPriority w:val="99"/>
    <w:rPr>
      <w:rFonts w:ascii="Times New Roman" w:hAnsi="Times New Roman" w:eastAsia="宋体" w:cs="Times New Roman"/>
      <w:sz w:val="18"/>
      <w:szCs w:val="18"/>
    </w:rPr>
  </w:style>
  <w:style w:type="paragraph" w:styleId="21">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16497-DC19-4454-B4C2-96F69D44823A}">
  <ds:schemaRefs/>
</ds:datastoreItem>
</file>

<file path=docProps/app.xml><?xml version="1.0" encoding="utf-8"?>
<Properties xmlns="http://schemas.openxmlformats.org/officeDocument/2006/extended-properties" xmlns:vt="http://schemas.openxmlformats.org/officeDocument/2006/docPropsVTypes">
  <Template>Normal</Template>
  <Pages>4</Pages>
  <Words>2317</Words>
  <Characters>2369</Characters>
  <Lines>17</Lines>
  <Paragraphs>4</Paragraphs>
  <TotalTime>212</TotalTime>
  <ScaleCrop>false</ScaleCrop>
  <LinksUpToDate>false</LinksUpToDate>
  <CharactersWithSpaces>2402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2025-02-26T07:01:00Z</dcterms:created>
  <dc:creator>User</dc:creator>
  <cp:lastModifiedBy>lenovo</cp:lastModifiedBy>
  <cp:lastPrinted>2024-11-27T06:48:00Z</cp:lastPrinted>
  <dcterms:modified xsi:type="dcterms:W3CDTF">2025-03-13T06:33:56Z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B7E866D9CBFB4D4AB2B0FC8788A245C2_13</vt:lpwstr>
  </property>
  <property fmtid="{D5CDD505-2E9C-101B-9397-08002B2CF9AE}" pid="4" name="KSOTemplateDocerSaveRecord">
    <vt:lpwstr>eyJoZGlkIjoiNjU2ZWU2MDE1ODg5M2VmMTdjMTBjNDczOWVkYWVlNzQifQ==</vt:lpwstr>
  </property>
</Properties>
</file>