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pacing w:line="360" w:lineRule="auto"/>
        <w:jc w:val="center"/>
        <w:rPr>
          <w:rFonts w:hint="eastAsia" w:ascii="宋体" w:hAnsi="宋体" w:eastAsia="宋体" w:cs="宋体"/>
          <w:color w:val="auto"/>
          <w:highlight w:val="none"/>
        </w:rPr>
      </w:pPr>
      <w:bookmarkStart w:id="0" w:name="_Toc172755325"/>
      <w:r>
        <w:rPr>
          <w:rFonts w:hint="eastAsia" w:ascii="宋体" w:hAnsi="宋体" w:eastAsia="宋体" w:cs="宋体"/>
          <w:color w:val="auto"/>
          <w:highlight w:val="none"/>
        </w:rPr>
        <w:t>第三章 采购需求</w:t>
      </w:r>
      <w:bookmarkEnd w:id="0"/>
    </w:p>
    <w:p>
      <w:pPr>
        <w:pStyle w:val="7"/>
        <w:wordWrap w:val="0"/>
        <w:spacing w:line="360" w:lineRule="auto"/>
        <w:ind w:firstLine="0" w:firstLineChars="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海南“智慧人大”项目-D包（第二次）</w:t>
      </w:r>
      <w:bookmarkStart w:id="1" w:name="_GoBack"/>
      <w:bookmarkEnd w:id="1"/>
    </w:p>
    <w:p>
      <w:pPr>
        <w:spacing w:line="360"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一、技术要求</w:t>
      </w:r>
    </w:p>
    <w:p>
      <w:pPr>
        <w:keepNext/>
        <w:keepLines/>
        <w:widowControl w:val="0"/>
        <w:tabs>
          <w:tab w:val="left" w:pos="567"/>
        </w:tabs>
        <w:spacing w:before="120" w:after="120" w:line="36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1、项目背景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当前，网络安全已经成为国家安全的重要组成部分，没有网络安全就没有国家安全。近年来，网络空间安全事件频发。面对国内外越来越严峻的网络安全的形势，网络安全提升到国家战略高度，而密码技术又是与核技术、航天技术并称为国家三大“杀手锏”，因此国产密码应用推进提到新的日程。《密码法》《网络安全法》等法律法规明确要求，重要领域网络和信息系统，应当采用国产密码进行保护，做到同步规划、同步建设、同步运行、定期评估。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金融和和重要领域重要信息系统开展密码应用安全性评估，是《中华人民共和国密码法》和中央有关文件的明确要求，是落实总体国家安全观和网络强国战略的具体行动，是深入推进重要领域密码应用的必然要求。开展商用密码应用安全性评估工作，不仅对规范密码应用具有重大意义，同时对维护网络和信息系统密码安全，切实保障网络安全，有效应对各类网络安全风险，也具有不可替代的重要作用。</w:t>
      </w:r>
    </w:p>
    <w:p>
      <w:pPr>
        <w:keepNext/>
        <w:keepLines/>
        <w:widowControl w:val="0"/>
        <w:tabs>
          <w:tab w:val="left" w:pos="567"/>
        </w:tabs>
        <w:spacing w:before="120" w:after="120" w:line="36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2、项目目标</w:t>
      </w:r>
    </w:p>
    <w:p>
      <w:pPr>
        <w:widowControl w:val="0"/>
        <w:spacing w:line="360" w:lineRule="auto"/>
        <w:ind w:left="49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根据《中华人民共和国密码法》、《商用密码管理条例（修订草案征求意见稿）》、《商用密码应用安全性评估管理办法（试行）》以及国家关于重要领域密码应用的有关要求，通过对</w:t>
      </w:r>
      <w:r>
        <w:rPr>
          <w:rFonts w:hint="eastAsia" w:ascii="宋体" w:hAnsi="宋体" w:eastAsia="宋体" w:cs="宋体"/>
          <w:color w:val="auto"/>
          <w:kern w:val="2"/>
          <w:sz w:val="24"/>
          <w:szCs w:val="24"/>
          <w:highlight w:val="none"/>
          <w:u w:val="single"/>
          <w:lang w:val="en-US" w:eastAsia="zh-CN" w:bidi="ar-SA"/>
        </w:rPr>
        <w:t>海南“智慧人大”项目</w:t>
      </w:r>
      <w:r>
        <w:rPr>
          <w:rFonts w:hint="eastAsia" w:ascii="宋体" w:hAnsi="宋体" w:eastAsia="宋体" w:cs="宋体"/>
          <w:color w:val="auto"/>
          <w:kern w:val="2"/>
          <w:sz w:val="24"/>
          <w:szCs w:val="24"/>
          <w:highlight w:val="none"/>
          <w:lang w:val="en-US" w:eastAsia="zh-CN" w:bidi="ar-SA"/>
        </w:rPr>
        <w:t>在通用要求、商用密码应用技术要求、商用密码应用管理要求方面的评估，对系统商用密码应用的合规性、正确性、有效性作出判断，给出系统在商用密码技术应用、密钥管理及安全管理方面与其相应安全等级信息系统商用密码应用基本要求之间的差距，最终出具被评估系统的商用密码应用安全性评估报告。</w:t>
      </w:r>
    </w:p>
    <w:p>
      <w:pPr>
        <w:spacing w:line="360" w:lineRule="auto"/>
        <w:ind w:firstLine="420"/>
        <w:rPr>
          <w:rFonts w:hint="eastAsia" w:ascii="宋体" w:hAnsi="宋体" w:eastAsia="宋体" w:cs="宋体"/>
          <w:color w:val="auto"/>
          <w:sz w:val="24"/>
          <w:szCs w:val="24"/>
          <w:highlight w:val="none"/>
        </w:rPr>
      </w:pPr>
    </w:p>
    <w:p>
      <w:pPr>
        <w:widowControl w:val="0"/>
        <w:spacing w:line="360" w:lineRule="auto"/>
        <w:ind w:left="0"/>
        <w:jc w:val="both"/>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3、项目对象</w:t>
      </w:r>
    </w:p>
    <w:tbl>
      <w:tblPr>
        <w:tblStyle w:val="5"/>
        <w:tblW w:w="8200" w:type="dxa"/>
        <w:jc w:val="center"/>
        <w:tblLayout w:type="fixed"/>
        <w:tblCellMar>
          <w:top w:w="0" w:type="dxa"/>
          <w:left w:w="108" w:type="dxa"/>
          <w:bottom w:w="0" w:type="dxa"/>
          <w:right w:w="108" w:type="dxa"/>
        </w:tblCellMar>
      </w:tblPr>
      <w:tblGrid>
        <w:gridCol w:w="689"/>
        <w:gridCol w:w="3878"/>
        <w:gridCol w:w="3633"/>
      </w:tblGrid>
      <w:tr>
        <w:tblPrEx>
          <w:tblCellMar>
            <w:top w:w="0" w:type="dxa"/>
            <w:left w:w="108" w:type="dxa"/>
            <w:bottom w:w="0" w:type="dxa"/>
            <w:right w:w="108" w:type="dxa"/>
          </w:tblCellMar>
        </w:tblPrEx>
        <w:trPr>
          <w:trHeight w:val="1227"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系统名称</w:t>
            </w:r>
          </w:p>
        </w:tc>
        <w:tc>
          <w:tcPr>
            <w:tcW w:w="3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网络安全保护等级</w:t>
            </w:r>
          </w:p>
        </w:tc>
      </w:tr>
      <w:tr>
        <w:tblPrEx>
          <w:tblCellMar>
            <w:top w:w="0" w:type="dxa"/>
            <w:left w:w="108" w:type="dxa"/>
            <w:bottom w:w="0" w:type="dxa"/>
            <w:right w:w="108" w:type="dxa"/>
          </w:tblCellMar>
        </w:tblPrEx>
        <w:trPr>
          <w:trHeight w:val="106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人大一体化办公业务平台</w:t>
            </w:r>
          </w:p>
        </w:tc>
        <w:tc>
          <w:tcPr>
            <w:tcW w:w="3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第三级</w:t>
            </w:r>
          </w:p>
        </w:tc>
      </w:tr>
    </w:tbl>
    <w:p>
      <w:pPr>
        <w:keepNext/>
        <w:keepLines/>
        <w:widowControl w:val="0"/>
        <w:tabs>
          <w:tab w:val="left" w:pos="567"/>
        </w:tabs>
        <w:spacing w:before="120" w:after="120" w:line="36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4、服务内容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本项目对人大一体化办公业务平台系统进行商用密码应用安全性评估服务，最终输出被评估系统的商用密码应用安全性评估报告，满足商用密码应用安全性评估工作的验收要求，具体内容包括：</w:t>
      </w:r>
    </w:p>
    <w:tbl>
      <w:tblPr>
        <w:tblStyle w:val="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794"/>
        <w:gridCol w:w="2438"/>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25" w:type="dxa"/>
            <w:shd w:val="clear" w:color="auto" w:fill="D0CECE"/>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序号</w:t>
            </w:r>
          </w:p>
        </w:tc>
        <w:tc>
          <w:tcPr>
            <w:tcW w:w="1794" w:type="dxa"/>
            <w:shd w:val="clear" w:color="auto" w:fill="D0CECE"/>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服务内容</w:t>
            </w:r>
          </w:p>
        </w:tc>
        <w:tc>
          <w:tcPr>
            <w:tcW w:w="2438" w:type="dxa"/>
            <w:shd w:val="clear" w:color="auto" w:fill="D0CECE"/>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服务内容子项</w:t>
            </w:r>
          </w:p>
        </w:tc>
        <w:tc>
          <w:tcPr>
            <w:tcW w:w="3702" w:type="dxa"/>
            <w:shd w:val="clear" w:color="auto" w:fill="D0CECE"/>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725" w:type="dxa"/>
            <w:shd w:val="clear" w:color="auto" w:fill="FFFFFF"/>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94" w:type="dxa"/>
            <w:shd w:val="clear" w:color="auto" w:fill="FFFFFF"/>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需求沟通确认</w:t>
            </w:r>
          </w:p>
        </w:tc>
        <w:tc>
          <w:tcPr>
            <w:tcW w:w="2438"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需求沟通调研和确认工作实施要求</w:t>
            </w:r>
          </w:p>
        </w:tc>
        <w:tc>
          <w:tcPr>
            <w:tcW w:w="3702"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对安全评估的组织实施流程、风险管控效果、时间节点、交付成果、评估方式等基础信息进行沟通核实，确认服务需求和工作要求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725" w:type="dxa"/>
            <w:shd w:val="clear" w:color="auto" w:fill="FFFFFF"/>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794" w:type="dxa"/>
            <w:shd w:val="clear" w:color="auto" w:fill="FFFFFF"/>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基础材料搜集整理和现场沟通采集</w:t>
            </w:r>
          </w:p>
        </w:tc>
        <w:tc>
          <w:tcPr>
            <w:tcW w:w="2438"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按照评估准备实施要求，搜集整理必要素材</w:t>
            </w:r>
          </w:p>
        </w:tc>
        <w:tc>
          <w:tcPr>
            <w:tcW w:w="3702"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通过远程或现场会议方式与业务研发、运维部门技术团队和保障团队沟通评估所需基础素材、文档等必要信息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725" w:type="dxa"/>
            <w:shd w:val="clear" w:color="auto" w:fill="FFFFFF"/>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794" w:type="dxa"/>
            <w:shd w:val="clear" w:color="auto" w:fill="FFFFFF"/>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系统评估</w:t>
            </w:r>
          </w:p>
        </w:tc>
        <w:tc>
          <w:tcPr>
            <w:tcW w:w="2438" w:type="dxa"/>
            <w:shd w:val="clear" w:color="auto" w:fill="FFFFFF"/>
            <w:tcMar>
              <w:top w:w="15" w:type="dxa"/>
              <w:left w:w="15" w:type="dxa"/>
              <w:bottom w:w="0" w:type="dxa"/>
              <w:right w:w="15" w:type="dxa"/>
            </w:tcMar>
            <w:vAlign w:val="center"/>
          </w:tcPr>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w:t>
            </w:r>
            <w:r>
              <w:rPr>
                <w:rFonts w:hint="eastAsia" w:ascii="宋体" w:hAnsi="宋体" w:eastAsia="宋体" w:cs="宋体"/>
                <w:color w:val="auto"/>
                <w:kern w:val="0"/>
                <w:szCs w:val="21"/>
                <w:highlight w:val="none"/>
              </w:rPr>
              <w:t>GB/T 39786-2021《信息系统密码应用基本要求》</w:t>
            </w:r>
            <w:r>
              <w:rPr>
                <w:rFonts w:hint="eastAsia" w:ascii="宋体" w:hAnsi="宋体" w:eastAsia="宋体" w:cs="宋体"/>
                <w:color w:val="auto"/>
                <w:szCs w:val="21"/>
                <w:highlight w:val="none"/>
              </w:rPr>
              <w:t>等标准进行测评</w:t>
            </w:r>
          </w:p>
        </w:tc>
        <w:tc>
          <w:tcPr>
            <w:tcW w:w="3702"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w:t>
            </w:r>
            <w:r>
              <w:rPr>
                <w:rFonts w:hint="eastAsia" w:ascii="宋体" w:hAnsi="宋体" w:eastAsia="宋体" w:cs="宋体"/>
                <w:color w:val="auto"/>
                <w:kern w:val="0"/>
                <w:szCs w:val="21"/>
                <w:highlight w:val="none"/>
              </w:rPr>
              <w:t>GB/T 39786-2021《信息系统密码应用基本要求》</w:t>
            </w:r>
            <w:r>
              <w:rPr>
                <w:rFonts w:hint="eastAsia" w:ascii="宋体" w:hAnsi="宋体" w:eastAsia="宋体" w:cs="宋体"/>
                <w:color w:val="auto"/>
                <w:szCs w:val="21"/>
                <w:highlight w:val="none"/>
              </w:rPr>
              <w:t>及通过评估的密码应用方案对系统进行评估，采取材料审查、人员访谈、实地查看、配置检查、工具测评等评估方法对系统密码应用情况进行评估分析，核查系统技术应用、密钥管理、安全管理是否符合密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725" w:type="dxa"/>
            <w:shd w:val="clear" w:color="auto" w:fill="FFFFFF"/>
            <w:tcMar>
              <w:top w:w="15" w:type="dxa"/>
              <w:left w:w="15" w:type="dxa"/>
              <w:bottom w:w="0" w:type="dxa"/>
              <w:right w:w="15" w:type="dxa"/>
            </w:tcMar>
            <w:vAlign w:val="center"/>
          </w:tcPr>
          <w:p>
            <w:pPr>
              <w:widowControl/>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94" w:type="dxa"/>
            <w:shd w:val="clear" w:color="auto" w:fill="FFFFFF"/>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报告编制</w:t>
            </w:r>
          </w:p>
        </w:tc>
        <w:tc>
          <w:tcPr>
            <w:tcW w:w="2438"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编制评估报告</w:t>
            </w:r>
          </w:p>
        </w:tc>
        <w:tc>
          <w:tcPr>
            <w:tcW w:w="3702" w:type="dxa"/>
            <w:shd w:val="clear" w:color="auto" w:fill="FFFFFF"/>
            <w:tcMar>
              <w:top w:w="15" w:type="dxa"/>
              <w:left w:w="15" w:type="dxa"/>
              <w:bottom w:w="0" w:type="dxa"/>
              <w:right w:w="15" w:type="dxa"/>
            </w:tcMar>
            <w:vAlign w:val="center"/>
          </w:tcPr>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对评估过程中发现的问题进行汇总确认，总结各项评估指标的评估结果，编制评估报告。</w:t>
            </w: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5、评估流程</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商用密码应用安全性评估过程分为四个基本测评活动：测评准备活动、方案编制活动、现场测评活动、分析与报告编制活动。双方间的沟通与洽谈贯穿整个密码应用安全性评估过程。</w:t>
      </w:r>
    </w:p>
    <w:p>
      <w:pPr>
        <w:spacing w:line="360" w:lineRule="auto"/>
        <w:outlineLvl w:val="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color w:val="auto"/>
          <w:sz w:val="24"/>
          <w:szCs w:val="24"/>
          <w:highlight w:val="none"/>
        </w:rPr>
        <w:t>项目成果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经密码测评完成后，最终输出被评估系统《商用密码应用与安全性评估报告》，并协助业主单位将评估结果报主管部门及所在地区(部门)密码管理部门备案。</w:t>
      </w:r>
    </w:p>
    <w:p>
      <w:pPr>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7、验收要求：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（1）验收条件：报价人针对各目标系统依据密码管理部门报告模板，出具商用密码应用安全性评估报告；并协助采购人完成评估结果备案。则可以提出验收申请。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（2）验收时间：服务完成后验收。 验收程序：项目业主自行验收。双方认为项目已具备验收条件，报价人向采购人提出验收申请，采购人在接到报价人验收申请后组织对报价人提交的资料进行审核，由采购人组织相关人员对服务工作进行最终验收评审。验收时间及地点由双方具体约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（3）验收标准：根据国家密码管理部门对密码评估工作及备案要求。 验收不合格的处理方式：报价人未按合同期限完成全部或一项服务工作内容，或提供未符合密码管理部门要求的评估报告则为验收不合格。报价人须完成整改并协助完成备案。其他未完善情况根据《民法典》等法律以及项目实际情况确定。 </w:t>
      </w:r>
    </w:p>
    <w:p>
      <w:pPr>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8、实施团队要求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本项目须至少配备1名项目经理，3名技术人员。具有国家商用密码应用安全性评估人员测评能力考核小组颁发的商用密码应用安全性评估人员测评能力考核证书。</w:t>
      </w:r>
    </w:p>
    <w:p>
      <w:pPr>
        <w:keepNext/>
        <w:keepLines/>
        <w:widowControl w:val="0"/>
        <w:tabs>
          <w:tab w:val="left" w:pos="567"/>
        </w:tabs>
        <w:spacing w:before="120" w:after="120" w:line="360" w:lineRule="auto"/>
        <w:ind w:firstLine="482" w:firstLineChars="200"/>
        <w:jc w:val="both"/>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1、服务期限：自合同生效并接到采购人通知进场之日起60天内完成测试并交付报告。</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2、服务地点：海南省人大常委会</w:t>
      </w:r>
      <w:r>
        <w:rPr>
          <w:rFonts w:hint="eastAsia" w:ascii="宋体" w:hAnsi="宋体" w:eastAsia="宋体" w:cs="宋体"/>
          <w:color w:val="auto"/>
          <w:sz w:val="24"/>
          <w:szCs w:val="24"/>
          <w:highlight w:val="none"/>
          <w:lang w:val="en-US" w:eastAsia="zh-CN"/>
        </w:rPr>
        <w:t>办公厅</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（1）供应商(含项目组所有成员)必须对项目技术文件以及由采购人提供的所有内部资料、技术文档、数据和信息予以保密。未经采购人书面许可，供应商不得以任何形式向第三方透露本项目内容。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（2）完成密码应用安全性评估工作后，针对评估发现的问题，向采购人提交改进建议，指导采购人对信息系统进行密码应用安全性整改，解决存在的问题。</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（3）评估报告提交1年内，围绕评估发现的问题和针对性改进建议，测评服务机构应向采购人免费提供咨询服务。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、付款时间、方式及条件：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（1）本项目合同签订后，采购人收到供应商开具的增值税普通发票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个工作日内向供应商支付合同金额的50%；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（2）供应商提交信息系统商用密码应用安全性评估报告，采购人收到评估报告并确认报告完整、准确并终验通过后，采购人收到供应商开具的增值税普通发票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个工作日内向供应商支付合同金额剩余的50%。</w:t>
      </w:r>
    </w:p>
    <w:p>
      <w:pPr>
        <w:spacing w:line="360" w:lineRule="auto"/>
        <w:rPr>
          <w:rFonts w:hint="eastAsia" w:ascii="宋体" w:hAnsi="宋体" w:eastAsia="宋体" w:cs="宋体"/>
          <w:color w:val="auto"/>
          <w:sz w:val="24"/>
          <w:szCs w:val="24"/>
          <w:highlight w:val="none"/>
        </w:rPr>
        <w:sectPr>
          <w:pgSz w:w="11906" w:h="16838"/>
          <w:pgMar w:top="1134" w:right="1134" w:bottom="1134" w:left="1417" w:header="851" w:footer="992" w:gutter="0"/>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06966"/>
    <w:rsid w:val="006143A4"/>
    <w:rsid w:val="008709B5"/>
    <w:rsid w:val="00B231A2"/>
    <w:rsid w:val="00CD57F9"/>
    <w:rsid w:val="01335492"/>
    <w:rsid w:val="01426436"/>
    <w:rsid w:val="014961A6"/>
    <w:rsid w:val="0160316C"/>
    <w:rsid w:val="024808D6"/>
    <w:rsid w:val="025F4196"/>
    <w:rsid w:val="02765A99"/>
    <w:rsid w:val="036E14DF"/>
    <w:rsid w:val="039B29EE"/>
    <w:rsid w:val="03EA4DB2"/>
    <w:rsid w:val="04761205"/>
    <w:rsid w:val="04891959"/>
    <w:rsid w:val="04B27473"/>
    <w:rsid w:val="04D53766"/>
    <w:rsid w:val="05131781"/>
    <w:rsid w:val="05F777B8"/>
    <w:rsid w:val="06775ABC"/>
    <w:rsid w:val="067F37C0"/>
    <w:rsid w:val="078377A1"/>
    <w:rsid w:val="079F74A3"/>
    <w:rsid w:val="07A36704"/>
    <w:rsid w:val="08420F59"/>
    <w:rsid w:val="09097E34"/>
    <w:rsid w:val="093A38A0"/>
    <w:rsid w:val="0A12120D"/>
    <w:rsid w:val="0A72754A"/>
    <w:rsid w:val="0A814308"/>
    <w:rsid w:val="0AC51A37"/>
    <w:rsid w:val="0AD6594B"/>
    <w:rsid w:val="0B170DA8"/>
    <w:rsid w:val="0BB000F8"/>
    <w:rsid w:val="0CE25BBE"/>
    <w:rsid w:val="0CF63F6F"/>
    <w:rsid w:val="0D600C36"/>
    <w:rsid w:val="0D6F2CCB"/>
    <w:rsid w:val="0DB47773"/>
    <w:rsid w:val="0DBC166A"/>
    <w:rsid w:val="0DBF1AD9"/>
    <w:rsid w:val="0E4D77F2"/>
    <w:rsid w:val="0ECB5029"/>
    <w:rsid w:val="0F082AD3"/>
    <w:rsid w:val="0FBB5550"/>
    <w:rsid w:val="10025838"/>
    <w:rsid w:val="11E06966"/>
    <w:rsid w:val="12305620"/>
    <w:rsid w:val="125D0478"/>
    <w:rsid w:val="12C5593A"/>
    <w:rsid w:val="12E14112"/>
    <w:rsid w:val="12F940A6"/>
    <w:rsid w:val="13DC73B0"/>
    <w:rsid w:val="146B5326"/>
    <w:rsid w:val="148A70FA"/>
    <w:rsid w:val="14A413FD"/>
    <w:rsid w:val="160F3359"/>
    <w:rsid w:val="167C4DA3"/>
    <w:rsid w:val="18F31E2F"/>
    <w:rsid w:val="1926740D"/>
    <w:rsid w:val="19366209"/>
    <w:rsid w:val="19A24D8C"/>
    <w:rsid w:val="19D75091"/>
    <w:rsid w:val="1A0A3540"/>
    <w:rsid w:val="1A1440FA"/>
    <w:rsid w:val="1A600F9D"/>
    <w:rsid w:val="1A894D38"/>
    <w:rsid w:val="1A8F5856"/>
    <w:rsid w:val="1AD210B2"/>
    <w:rsid w:val="1ADF3B07"/>
    <w:rsid w:val="1C257552"/>
    <w:rsid w:val="1C550063"/>
    <w:rsid w:val="1C716862"/>
    <w:rsid w:val="1D863F64"/>
    <w:rsid w:val="1DAA57B8"/>
    <w:rsid w:val="1DF9238A"/>
    <w:rsid w:val="1E3E18A2"/>
    <w:rsid w:val="1E5235CB"/>
    <w:rsid w:val="1E6E2D61"/>
    <w:rsid w:val="1ED12616"/>
    <w:rsid w:val="1F7477F2"/>
    <w:rsid w:val="204B0152"/>
    <w:rsid w:val="20FF393D"/>
    <w:rsid w:val="22AA58DF"/>
    <w:rsid w:val="2391172E"/>
    <w:rsid w:val="24A129AC"/>
    <w:rsid w:val="24DA7EE1"/>
    <w:rsid w:val="25092718"/>
    <w:rsid w:val="251251AF"/>
    <w:rsid w:val="265F5D73"/>
    <w:rsid w:val="26EB1D67"/>
    <w:rsid w:val="2731756F"/>
    <w:rsid w:val="27515021"/>
    <w:rsid w:val="2881026E"/>
    <w:rsid w:val="28986692"/>
    <w:rsid w:val="2A061DEB"/>
    <w:rsid w:val="2A743927"/>
    <w:rsid w:val="2B2F1CB4"/>
    <w:rsid w:val="2B421914"/>
    <w:rsid w:val="2B4B48F5"/>
    <w:rsid w:val="2B6962E3"/>
    <w:rsid w:val="2BE0237D"/>
    <w:rsid w:val="2CFD5F61"/>
    <w:rsid w:val="2D8A5174"/>
    <w:rsid w:val="2DB545EA"/>
    <w:rsid w:val="2DD05505"/>
    <w:rsid w:val="2E8527D1"/>
    <w:rsid w:val="2F9309B8"/>
    <w:rsid w:val="30B635ED"/>
    <w:rsid w:val="313662BC"/>
    <w:rsid w:val="3151441B"/>
    <w:rsid w:val="31516AA1"/>
    <w:rsid w:val="31553C06"/>
    <w:rsid w:val="31FC0ECB"/>
    <w:rsid w:val="32B23796"/>
    <w:rsid w:val="33081D31"/>
    <w:rsid w:val="332004CA"/>
    <w:rsid w:val="341B3D8E"/>
    <w:rsid w:val="34281AFD"/>
    <w:rsid w:val="3437747A"/>
    <w:rsid w:val="3546775C"/>
    <w:rsid w:val="356E4C58"/>
    <w:rsid w:val="357644BB"/>
    <w:rsid w:val="35B17ADC"/>
    <w:rsid w:val="35DF1045"/>
    <w:rsid w:val="364F01AE"/>
    <w:rsid w:val="37154D59"/>
    <w:rsid w:val="37422301"/>
    <w:rsid w:val="37EC1343"/>
    <w:rsid w:val="3812190D"/>
    <w:rsid w:val="384B7A49"/>
    <w:rsid w:val="39875AE8"/>
    <w:rsid w:val="39E43AFA"/>
    <w:rsid w:val="3A0722E4"/>
    <w:rsid w:val="3A0E792D"/>
    <w:rsid w:val="3A7C5FB0"/>
    <w:rsid w:val="3A947525"/>
    <w:rsid w:val="3B7E64A5"/>
    <w:rsid w:val="3B866ABA"/>
    <w:rsid w:val="3BBF6B5D"/>
    <w:rsid w:val="3C5C48CE"/>
    <w:rsid w:val="3CAC0EC1"/>
    <w:rsid w:val="3CBB6DAD"/>
    <w:rsid w:val="3CD831B8"/>
    <w:rsid w:val="3D1C4E14"/>
    <w:rsid w:val="3D962BC7"/>
    <w:rsid w:val="3DA326C6"/>
    <w:rsid w:val="3DA51AA7"/>
    <w:rsid w:val="3F812DAD"/>
    <w:rsid w:val="3F9A7426"/>
    <w:rsid w:val="3FF9214C"/>
    <w:rsid w:val="4086423F"/>
    <w:rsid w:val="412B48EC"/>
    <w:rsid w:val="41552615"/>
    <w:rsid w:val="41702558"/>
    <w:rsid w:val="418E4EC4"/>
    <w:rsid w:val="41D65427"/>
    <w:rsid w:val="425B72D1"/>
    <w:rsid w:val="4292366F"/>
    <w:rsid w:val="439A134C"/>
    <w:rsid w:val="44313166"/>
    <w:rsid w:val="4484501E"/>
    <w:rsid w:val="449326F9"/>
    <w:rsid w:val="452224A2"/>
    <w:rsid w:val="458841E7"/>
    <w:rsid w:val="45B65898"/>
    <w:rsid w:val="46795702"/>
    <w:rsid w:val="46C05675"/>
    <w:rsid w:val="47CA454C"/>
    <w:rsid w:val="47EE5C16"/>
    <w:rsid w:val="48B57545"/>
    <w:rsid w:val="490325E0"/>
    <w:rsid w:val="495F6E6D"/>
    <w:rsid w:val="4999745F"/>
    <w:rsid w:val="499D30E6"/>
    <w:rsid w:val="4A230F52"/>
    <w:rsid w:val="4A6606B7"/>
    <w:rsid w:val="4A9D3E2A"/>
    <w:rsid w:val="4AAF657C"/>
    <w:rsid w:val="4AD3227A"/>
    <w:rsid w:val="4B9C70F1"/>
    <w:rsid w:val="4BA8420C"/>
    <w:rsid w:val="4BCD2E14"/>
    <w:rsid w:val="4BE86601"/>
    <w:rsid w:val="4BFA4D34"/>
    <w:rsid w:val="4C6A35CE"/>
    <w:rsid w:val="4CBC179D"/>
    <w:rsid w:val="4CCC671F"/>
    <w:rsid w:val="4D0453C5"/>
    <w:rsid w:val="4D5A1DAA"/>
    <w:rsid w:val="4D636B03"/>
    <w:rsid w:val="4E771F4A"/>
    <w:rsid w:val="4F0F4BEA"/>
    <w:rsid w:val="501F68DF"/>
    <w:rsid w:val="508E222E"/>
    <w:rsid w:val="50C060F4"/>
    <w:rsid w:val="511A09D6"/>
    <w:rsid w:val="51691CE6"/>
    <w:rsid w:val="51AD7AA3"/>
    <w:rsid w:val="52065439"/>
    <w:rsid w:val="527B600C"/>
    <w:rsid w:val="52B01B0E"/>
    <w:rsid w:val="52B153D7"/>
    <w:rsid w:val="52C07FCD"/>
    <w:rsid w:val="52F1339A"/>
    <w:rsid w:val="531E4B96"/>
    <w:rsid w:val="53751E9B"/>
    <w:rsid w:val="53767808"/>
    <w:rsid w:val="541948FE"/>
    <w:rsid w:val="54F06156"/>
    <w:rsid w:val="54F60D9E"/>
    <w:rsid w:val="55027090"/>
    <w:rsid w:val="5608667C"/>
    <w:rsid w:val="563C2C37"/>
    <w:rsid w:val="568F156D"/>
    <w:rsid w:val="56FB1538"/>
    <w:rsid w:val="571F5942"/>
    <w:rsid w:val="574359FD"/>
    <w:rsid w:val="574623AC"/>
    <w:rsid w:val="57912440"/>
    <w:rsid w:val="58312EEE"/>
    <w:rsid w:val="58E41FFC"/>
    <w:rsid w:val="592C4CBD"/>
    <w:rsid w:val="598C0514"/>
    <w:rsid w:val="59A959CF"/>
    <w:rsid w:val="59AF0AC8"/>
    <w:rsid w:val="5AFE4E91"/>
    <w:rsid w:val="5B194F9A"/>
    <w:rsid w:val="5B987D9A"/>
    <w:rsid w:val="5BAE0FCD"/>
    <w:rsid w:val="5BBE67F7"/>
    <w:rsid w:val="5CC059EA"/>
    <w:rsid w:val="5DFE5FA9"/>
    <w:rsid w:val="5E4C6DEB"/>
    <w:rsid w:val="5E9B0390"/>
    <w:rsid w:val="5EEF7B2A"/>
    <w:rsid w:val="5F0C6755"/>
    <w:rsid w:val="5F741D32"/>
    <w:rsid w:val="5F7A7A39"/>
    <w:rsid w:val="5F8307CC"/>
    <w:rsid w:val="60023047"/>
    <w:rsid w:val="601623E3"/>
    <w:rsid w:val="61180E95"/>
    <w:rsid w:val="61795AD8"/>
    <w:rsid w:val="620A3DC4"/>
    <w:rsid w:val="62166F07"/>
    <w:rsid w:val="624809FE"/>
    <w:rsid w:val="6336337E"/>
    <w:rsid w:val="634A0A6B"/>
    <w:rsid w:val="634A6473"/>
    <w:rsid w:val="635941C9"/>
    <w:rsid w:val="63D54245"/>
    <w:rsid w:val="64160A45"/>
    <w:rsid w:val="641D1E8A"/>
    <w:rsid w:val="64226F29"/>
    <w:rsid w:val="647D1CD3"/>
    <w:rsid w:val="64E3603F"/>
    <w:rsid w:val="65B60588"/>
    <w:rsid w:val="66C720F8"/>
    <w:rsid w:val="66D2589C"/>
    <w:rsid w:val="66F55C98"/>
    <w:rsid w:val="67127F6F"/>
    <w:rsid w:val="675A44EA"/>
    <w:rsid w:val="67815904"/>
    <w:rsid w:val="67836B2F"/>
    <w:rsid w:val="685D6F89"/>
    <w:rsid w:val="68BA3796"/>
    <w:rsid w:val="69892DD7"/>
    <w:rsid w:val="69943D33"/>
    <w:rsid w:val="699A7B82"/>
    <w:rsid w:val="69B72313"/>
    <w:rsid w:val="69CC1855"/>
    <w:rsid w:val="69DF3FC2"/>
    <w:rsid w:val="6A051B81"/>
    <w:rsid w:val="6A082A40"/>
    <w:rsid w:val="6A2B06EA"/>
    <w:rsid w:val="6A46696C"/>
    <w:rsid w:val="6AF30ADE"/>
    <w:rsid w:val="6B4339D5"/>
    <w:rsid w:val="6B6B0C39"/>
    <w:rsid w:val="6B7B76AD"/>
    <w:rsid w:val="6BC0254E"/>
    <w:rsid w:val="6CA462E1"/>
    <w:rsid w:val="6CD1017B"/>
    <w:rsid w:val="6D9533B5"/>
    <w:rsid w:val="6DA91B9A"/>
    <w:rsid w:val="6DE153B7"/>
    <w:rsid w:val="6E904919"/>
    <w:rsid w:val="6EB343AA"/>
    <w:rsid w:val="6ECC28FE"/>
    <w:rsid w:val="6F890C81"/>
    <w:rsid w:val="700713A5"/>
    <w:rsid w:val="700D6B8A"/>
    <w:rsid w:val="70174BF1"/>
    <w:rsid w:val="70324CC8"/>
    <w:rsid w:val="711C2BAE"/>
    <w:rsid w:val="71956751"/>
    <w:rsid w:val="71F22AE2"/>
    <w:rsid w:val="71F72E0D"/>
    <w:rsid w:val="72353236"/>
    <w:rsid w:val="726B5E9D"/>
    <w:rsid w:val="7290121A"/>
    <w:rsid w:val="72C5390F"/>
    <w:rsid w:val="735663BF"/>
    <w:rsid w:val="735D2F54"/>
    <w:rsid w:val="7374698A"/>
    <w:rsid w:val="74AE4A50"/>
    <w:rsid w:val="753B6E9C"/>
    <w:rsid w:val="75944EDD"/>
    <w:rsid w:val="76616DD9"/>
    <w:rsid w:val="769028F3"/>
    <w:rsid w:val="76EA3640"/>
    <w:rsid w:val="778E7B5D"/>
    <w:rsid w:val="789963C8"/>
    <w:rsid w:val="78C6575C"/>
    <w:rsid w:val="78EA7914"/>
    <w:rsid w:val="791E614C"/>
    <w:rsid w:val="799D3B81"/>
    <w:rsid w:val="79BE2321"/>
    <w:rsid w:val="7A8B7854"/>
    <w:rsid w:val="7B2E3730"/>
    <w:rsid w:val="7B464D28"/>
    <w:rsid w:val="7B9F3232"/>
    <w:rsid w:val="7BE90F96"/>
    <w:rsid w:val="7C96780D"/>
    <w:rsid w:val="7CED61BF"/>
    <w:rsid w:val="7CF31B92"/>
    <w:rsid w:val="7D1F04F8"/>
    <w:rsid w:val="7D5B6998"/>
    <w:rsid w:val="7DEB4DEB"/>
    <w:rsid w:val="7E6E1056"/>
    <w:rsid w:val="7F4B0881"/>
    <w:rsid w:val="7F650719"/>
    <w:rsid w:val="7F96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spacing w:before="340" w:after="330" w:line="578" w:lineRule="auto"/>
      <w:outlineLvl w:val="0"/>
    </w:pPr>
    <w:rPr>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ind w:left="490"/>
    </w:pPr>
    <w:rPr>
      <w:szCs w:val="19"/>
    </w:rPr>
  </w:style>
  <w:style w:type="paragraph" w:customStyle="1" w:styleId="7">
    <w:name w:val="B"/>
    <w:basedOn w:val="4"/>
    <w:qFormat/>
    <w:uiPriority w:val="1"/>
    <w:pPr>
      <w:spacing w:line="360" w:lineRule="auto"/>
      <w:ind w:left="0" w:firstLine="480" w:firstLineChars="200"/>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2024-11-21T11:51:00Z</dcterms:created>
  <dc:creator>GCZB</dc:creator>
  <cp:lastModifiedBy>GCZB</cp:lastModifiedBy>
  <dcterms:modified xsi:type="dcterms:W3CDTF">2024-11-21T11:53:19Z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C1A7375A268F44878DC3A885321EFC80_11</vt:lpwstr>
  </property>
</Properties>
</file>