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95E7A">
      <w:pPr>
        <w:pStyle w:val="2"/>
        <w:widowControl w:val="0"/>
        <w:numPr>
          <w:ilvl w:val="0"/>
          <w:numId w:val="2"/>
        </w:numPr>
        <w:wordWrap/>
        <w:overflowPunct/>
        <w:topLinePunct w:val="0"/>
        <w:bidi w:val="0"/>
        <w:spacing w:line="574" w:lineRule="atLeast"/>
        <w:ind w:left="0" w:leftChars="0" w:right="218" w:rightChars="104" w:firstLine="643" w:firstLineChars="200"/>
        <w:jc w:val="left"/>
        <w:rPr>
          <w:rFonts w:ascii="宋体" w:hAnsi="宋体" w:eastAsia="宋体" w:cs="宋体"/>
          <w:color w:val="auto"/>
        </w:rPr>
      </w:pPr>
      <w:r>
        <w:rPr>
          <w:rFonts w:hint="eastAsia" w:ascii="宋体" w:hAnsi="宋体" w:eastAsia="宋体" w:cs="宋体"/>
          <w:color w:val="auto"/>
        </w:rPr>
        <w:t>采购需求</w:t>
      </w:r>
    </w:p>
    <w:p w14:paraId="41AFC821">
      <w:pPr>
        <w:pStyle w:val="3"/>
        <w:widowControl w:val="0"/>
        <w:numPr>
          <w:ilvl w:val="0"/>
          <w:numId w:val="3"/>
        </w:numPr>
        <w:wordWrap/>
        <w:overflowPunct/>
        <w:topLinePunct w:val="0"/>
        <w:bidi w:val="0"/>
        <w:spacing w:line="574" w:lineRule="atLeast"/>
        <w:ind w:left="0" w:leftChars="0" w:right="218" w:rightChars="104" w:firstLine="562" w:firstLineChars="200"/>
        <w:rPr>
          <w:rFonts w:ascii="宋体" w:hAnsi="宋体" w:cs="宋体"/>
          <w:color w:val="auto"/>
          <w:sz w:val="28"/>
          <w:szCs w:val="28"/>
        </w:rPr>
      </w:pPr>
      <w:bookmarkStart w:id="0" w:name="_Toc103263082"/>
      <w:bookmarkStart w:id="1" w:name="_Toc20608"/>
      <w:r>
        <w:rPr>
          <w:rFonts w:hint="eastAsia" w:ascii="宋体" w:hAnsi="宋体" w:cs="宋体"/>
          <w:color w:val="auto"/>
          <w:sz w:val="28"/>
          <w:szCs w:val="28"/>
        </w:rPr>
        <w:t>投标人须知前附表</w:t>
      </w:r>
      <w:bookmarkEnd w:id="0"/>
      <w:bookmarkEnd w:id="1"/>
    </w:p>
    <w:tbl>
      <w:tblPr>
        <w:tblStyle w:val="11"/>
        <w:tblW w:w="500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24"/>
        <w:gridCol w:w="1865"/>
        <w:gridCol w:w="6392"/>
      </w:tblGrid>
      <w:tr w14:paraId="3CB703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trPr>
        <w:tc>
          <w:tcPr>
            <w:tcW w:w="351" w:type="pct"/>
            <w:vAlign w:val="center"/>
          </w:tcPr>
          <w:p w14:paraId="08866D6E">
            <w:pPr>
              <w:keepNext w:val="0"/>
              <w:keepLines w:val="0"/>
              <w:pageBreakBefore w:val="0"/>
              <w:widowControl w:val="0"/>
              <w:kinsoku w:val="0"/>
              <w:wordWrap/>
              <w:overflowPunct/>
              <w:topLinePunct w:val="0"/>
              <w:autoSpaceDE w:val="0"/>
              <w:autoSpaceDN w:val="0"/>
              <w:bidi w:val="0"/>
              <w:adjustRightInd w:val="0"/>
              <w:snapToGrid w:val="0"/>
              <w:spacing w:line="574" w:lineRule="atLeast"/>
              <w:ind w:right="218" w:rightChars="104" w:firstLine="0" w:firstLineChars="0"/>
              <w:jc w:val="both"/>
              <w:textAlignment w:val="baseline"/>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050" w:type="pct"/>
            <w:vAlign w:val="center"/>
          </w:tcPr>
          <w:p w14:paraId="6E00DFFC">
            <w:pPr>
              <w:keepNext w:val="0"/>
              <w:keepLines w:val="0"/>
              <w:pageBreakBefore w:val="0"/>
              <w:widowControl w:val="0"/>
              <w:kinsoku w:val="0"/>
              <w:wordWrap/>
              <w:overflowPunct/>
              <w:topLinePunct w:val="0"/>
              <w:autoSpaceDE w:val="0"/>
              <w:autoSpaceDN w:val="0"/>
              <w:bidi w:val="0"/>
              <w:adjustRightInd w:val="0"/>
              <w:snapToGrid w:val="0"/>
              <w:spacing w:line="574" w:lineRule="atLeast"/>
              <w:ind w:right="218" w:rightChars="104" w:firstLine="0" w:firstLineChars="0"/>
              <w:jc w:val="both"/>
              <w:textAlignment w:val="baseline"/>
              <w:rPr>
                <w:rFonts w:ascii="宋体" w:hAnsi="宋体" w:eastAsia="宋体" w:cs="宋体"/>
                <w:color w:val="auto"/>
                <w:sz w:val="24"/>
                <w:szCs w:val="24"/>
              </w:rPr>
            </w:pPr>
            <w:r>
              <w:rPr>
                <w:rFonts w:hint="eastAsia" w:ascii="宋体" w:hAnsi="宋体" w:eastAsia="宋体" w:cs="宋体"/>
                <w:color w:val="auto"/>
                <w:sz w:val="24"/>
                <w:szCs w:val="24"/>
              </w:rPr>
              <w:t>条款名称</w:t>
            </w:r>
          </w:p>
        </w:tc>
        <w:tc>
          <w:tcPr>
            <w:tcW w:w="3598" w:type="pct"/>
            <w:vAlign w:val="center"/>
          </w:tcPr>
          <w:p w14:paraId="010CC50A">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说明和要求</w:t>
            </w:r>
          </w:p>
        </w:tc>
      </w:tr>
      <w:tr w14:paraId="7D53BB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6" w:hRule="atLeast"/>
        </w:trPr>
        <w:tc>
          <w:tcPr>
            <w:tcW w:w="351" w:type="pct"/>
            <w:vAlign w:val="center"/>
          </w:tcPr>
          <w:p w14:paraId="2BAB1400">
            <w:pPr>
              <w:keepNext w:val="0"/>
              <w:keepLines w:val="0"/>
              <w:pageBreakBefore w:val="0"/>
              <w:widowControl w:val="0"/>
              <w:kinsoku w:val="0"/>
              <w:wordWrap/>
              <w:overflowPunct/>
              <w:topLinePunct w:val="0"/>
              <w:autoSpaceDE w:val="0"/>
              <w:autoSpaceDN w:val="0"/>
              <w:bidi w:val="0"/>
              <w:adjustRightInd w:val="0"/>
              <w:snapToGrid w:val="0"/>
              <w:spacing w:line="574" w:lineRule="atLeast"/>
              <w:ind w:right="218" w:rightChars="104" w:firstLine="0" w:firstLineChars="0"/>
              <w:jc w:val="both"/>
              <w:textAlignment w:val="baseline"/>
              <w:rPr>
                <w:rFonts w:ascii="宋体" w:hAnsi="宋体" w:eastAsia="宋体" w:cs="宋体"/>
                <w:color w:val="auto"/>
                <w:sz w:val="24"/>
                <w:szCs w:val="24"/>
              </w:rPr>
            </w:pPr>
            <w:r>
              <w:rPr>
                <w:rFonts w:hint="eastAsia" w:ascii="宋体" w:hAnsi="宋体" w:eastAsia="宋体" w:cs="宋体"/>
                <w:color w:val="auto"/>
                <w:sz w:val="24"/>
                <w:szCs w:val="24"/>
              </w:rPr>
              <w:t>1</w:t>
            </w:r>
          </w:p>
        </w:tc>
        <w:tc>
          <w:tcPr>
            <w:tcW w:w="1050" w:type="pct"/>
            <w:vAlign w:val="center"/>
          </w:tcPr>
          <w:p w14:paraId="46C04A89">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项目预算</w:t>
            </w:r>
          </w:p>
        </w:tc>
        <w:tc>
          <w:tcPr>
            <w:tcW w:w="3598" w:type="pct"/>
          </w:tcPr>
          <w:p w14:paraId="177608BE">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rPr>
            </w:pPr>
            <w:r>
              <w:rPr>
                <w:rFonts w:hint="eastAsia" w:ascii="宋体" w:hAnsi="宋体" w:eastAsia="宋体" w:cs="宋体"/>
                <w:color w:val="auto"/>
                <w:sz w:val="24"/>
                <w:szCs w:val="24"/>
              </w:rPr>
              <w:t>预算金额：E包软件测评、代码审计34.984453万元。</w:t>
            </w:r>
          </w:p>
          <w:p w14:paraId="306F9DC2">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投标人总报价不能超过采购预算，超过视为无效投标。</w:t>
            </w:r>
          </w:p>
        </w:tc>
      </w:tr>
      <w:tr w14:paraId="330C37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7" w:hRule="atLeast"/>
        </w:trPr>
        <w:tc>
          <w:tcPr>
            <w:tcW w:w="351" w:type="pct"/>
            <w:vAlign w:val="center"/>
          </w:tcPr>
          <w:p w14:paraId="608AC49C">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2</w:t>
            </w:r>
          </w:p>
        </w:tc>
        <w:tc>
          <w:tcPr>
            <w:tcW w:w="1050" w:type="pct"/>
            <w:vAlign w:val="center"/>
          </w:tcPr>
          <w:p w14:paraId="425AD933">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是否接受进口产品投标</w:t>
            </w:r>
          </w:p>
        </w:tc>
        <w:tc>
          <w:tcPr>
            <w:tcW w:w="3598" w:type="pct"/>
            <w:vAlign w:val="center"/>
          </w:tcPr>
          <w:p w14:paraId="3D7ABE81">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 xml:space="preserve">接受（）不接受（√）  </w:t>
            </w:r>
          </w:p>
        </w:tc>
      </w:tr>
      <w:tr w14:paraId="6517CA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351" w:type="pct"/>
            <w:vAlign w:val="center"/>
          </w:tcPr>
          <w:p w14:paraId="1656F74C">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3</w:t>
            </w:r>
          </w:p>
        </w:tc>
        <w:tc>
          <w:tcPr>
            <w:tcW w:w="1050" w:type="pct"/>
            <w:vAlign w:val="center"/>
          </w:tcPr>
          <w:p w14:paraId="5B453C5D">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标前踏勘现场或/和标前答疑会</w:t>
            </w:r>
          </w:p>
        </w:tc>
        <w:tc>
          <w:tcPr>
            <w:tcW w:w="3598" w:type="pct"/>
            <w:vAlign w:val="center"/>
          </w:tcPr>
          <w:p w14:paraId="391ED321">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组织（）不组织（√）</w:t>
            </w:r>
          </w:p>
        </w:tc>
      </w:tr>
      <w:tr w14:paraId="40FA4A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351" w:type="pct"/>
            <w:vAlign w:val="center"/>
          </w:tcPr>
          <w:p w14:paraId="083C66B4">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4</w:t>
            </w:r>
          </w:p>
        </w:tc>
        <w:tc>
          <w:tcPr>
            <w:tcW w:w="1050" w:type="pct"/>
            <w:vAlign w:val="center"/>
          </w:tcPr>
          <w:p w14:paraId="2511AD8A">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述标和/或产（样）品演（展）示</w:t>
            </w:r>
          </w:p>
        </w:tc>
        <w:tc>
          <w:tcPr>
            <w:tcW w:w="3598" w:type="pct"/>
            <w:vAlign w:val="center"/>
          </w:tcPr>
          <w:p w14:paraId="0DFE66C0">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有（）无（√）</w:t>
            </w:r>
          </w:p>
        </w:tc>
      </w:tr>
      <w:tr w14:paraId="4DBDF9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3" w:hRule="atLeast"/>
        </w:trPr>
        <w:tc>
          <w:tcPr>
            <w:tcW w:w="351" w:type="pct"/>
            <w:vAlign w:val="center"/>
          </w:tcPr>
          <w:p w14:paraId="47FC5A18">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5</w:t>
            </w:r>
          </w:p>
        </w:tc>
        <w:tc>
          <w:tcPr>
            <w:tcW w:w="1050" w:type="pct"/>
            <w:vAlign w:val="center"/>
          </w:tcPr>
          <w:p w14:paraId="547001FB">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投标有效期</w:t>
            </w:r>
          </w:p>
        </w:tc>
        <w:tc>
          <w:tcPr>
            <w:tcW w:w="3598" w:type="pct"/>
            <w:vAlign w:val="center"/>
          </w:tcPr>
          <w:p w14:paraId="02EA4D56">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从提交投标文件的截止之日起算的90天内有效。</w:t>
            </w:r>
          </w:p>
        </w:tc>
      </w:tr>
      <w:tr w14:paraId="02CA3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7" w:hRule="atLeast"/>
        </w:trPr>
        <w:tc>
          <w:tcPr>
            <w:tcW w:w="351" w:type="pct"/>
            <w:vAlign w:val="center"/>
          </w:tcPr>
          <w:p w14:paraId="01A421D6">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6</w:t>
            </w:r>
          </w:p>
        </w:tc>
        <w:tc>
          <w:tcPr>
            <w:tcW w:w="1050" w:type="pct"/>
            <w:vAlign w:val="center"/>
          </w:tcPr>
          <w:p w14:paraId="2E641E25">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投标要求</w:t>
            </w:r>
          </w:p>
        </w:tc>
        <w:tc>
          <w:tcPr>
            <w:tcW w:w="3598" w:type="pct"/>
            <w:vAlign w:val="center"/>
          </w:tcPr>
          <w:p w14:paraId="345F9B41">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开标必须携带加密投标文件的CA数字证书、U盘和光盘内需拷贝投标文件和转换为PDF格式的盖章彩色扫描件。（或者是投标工具导出的PDF格式）</w:t>
            </w:r>
          </w:p>
        </w:tc>
      </w:tr>
      <w:tr w14:paraId="12A70F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trPr>
        <w:tc>
          <w:tcPr>
            <w:tcW w:w="351" w:type="pct"/>
            <w:vAlign w:val="center"/>
          </w:tcPr>
          <w:p w14:paraId="6B7B023E">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7</w:t>
            </w:r>
          </w:p>
        </w:tc>
        <w:tc>
          <w:tcPr>
            <w:tcW w:w="1050" w:type="pct"/>
            <w:vAlign w:val="center"/>
          </w:tcPr>
          <w:p w14:paraId="7F29ED37">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评标方法</w:t>
            </w:r>
          </w:p>
        </w:tc>
        <w:tc>
          <w:tcPr>
            <w:tcW w:w="3598" w:type="pct"/>
            <w:vAlign w:val="center"/>
          </w:tcPr>
          <w:p w14:paraId="6486696D">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最低评标价法（）综合评分法（√）</w:t>
            </w:r>
          </w:p>
        </w:tc>
      </w:tr>
      <w:tr w14:paraId="7F9C7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trPr>
        <w:tc>
          <w:tcPr>
            <w:tcW w:w="351" w:type="pct"/>
            <w:vAlign w:val="center"/>
          </w:tcPr>
          <w:p w14:paraId="164A8185">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8</w:t>
            </w:r>
          </w:p>
        </w:tc>
        <w:tc>
          <w:tcPr>
            <w:tcW w:w="1050" w:type="pct"/>
            <w:vAlign w:val="center"/>
          </w:tcPr>
          <w:p w14:paraId="06437260">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采购需求</w:t>
            </w:r>
          </w:p>
        </w:tc>
        <w:tc>
          <w:tcPr>
            <w:tcW w:w="3598" w:type="pct"/>
            <w:vAlign w:val="center"/>
          </w:tcPr>
          <w:p w14:paraId="3655C42F">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详见采购清单</w:t>
            </w:r>
          </w:p>
        </w:tc>
      </w:tr>
      <w:tr w14:paraId="6CA376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351" w:type="pct"/>
            <w:vAlign w:val="center"/>
          </w:tcPr>
          <w:p w14:paraId="539E3938">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9</w:t>
            </w:r>
          </w:p>
        </w:tc>
        <w:tc>
          <w:tcPr>
            <w:tcW w:w="1050" w:type="pct"/>
            <w:vAlign w:val="center"/>
          </w:tcPr>
          <w:p w14:paraId="2CD8B547">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交货时间</w:t>
            </w:r>
          </w:p>
        </w:tc>
        <w:tc>
          <w:tcPr>
            <w:tcW w:w="3598" w:type="pct"/>
            <w:vAlign w:val="center"/>
          </w:tcPr>
          <w:p w14:paraId="588B40F6">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详见第一章 合同履行期限</w:t>
            </w:r>
          </w:p>
        </w:tc>
      </w:tr>
      <w:tr w14:paraId="048285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351" w:type="pct"/>
            <w:vAlign w:val="center"/>
          </w:tcPr>
          <w:p w14:paraId="5AF5477D">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10</w:t>
            </w:r>
          </w:p>
        </w:tc>
        <w:tc>
          <w:tcPr>
            <w:tcW w:w="1050" w:type="pct"/>
            <w:vAlign w:val="center"/>
          </w:tcPr>
          <w:p w14:paraId="2B361D3A">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交货地点</w:t>
            </w:r>
          </w:p>
        </w:tc>
        <w:tc>
          <w:tcPr>
            <w:tcW w:w="3598" w:type="pct"/>
            <w:vAlign w:val="center"/>
          </w:tcPr>
          <w:p w14:paraId="1E54BA3B">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用户指定地点</w:t>
            </w:r>
          </w:p>
        </w:tc>
      </w:tr>
      <w:tr w14:paraId="7DFB9A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351" w:type="pct"/>
            <w:vAlign w:val="center"/>
          </w:tcPr>
          <w:p w14:paraId="21040DB1">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11</w:t>
            </w:r>
          </w:p>
        </w:tc>
        <w:tc>
          <w:tcPr>
            <w:tcW w:w="1050" w:type="pct"/>
            <w:vAlign w:val="center"/>
          </w:tcPr>
          <w:p w14:paraId="62F549CD">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本项目所属行业</w:t>
            </w:r>
          </w:p>
        </w:tc>
        <w:tc>
          <w:tcPr>
            <w:tcW w:w="3598" w:type="pct"/>
          </w:tcPr>
          <w:p w14:paraId="7CD7D1DB">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根据《统计上大中小微型企业划分办法（2017）》，本项目所属行业为软件和信息技术服务业。</w:t>
            </w:r>
          </w:p>
        </w:tc>
      </w:tr>
      <w:tr w14:paraId="3EFAE5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351" w:type="pct"/>
            <w:vAlign w:val="center"/>
          </w:tcPr>
          <w:p w14:paraId="6238EC29">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12</w:t>
            </w:r>
          </w:p>
        </w:tc>
        <w:tc>
          <w:tcPr>
            <w:tcW w:w="1050" w:type="pct"/>
            <w:vAlign w:val="center"/>
          </w:tcPr>
          <w:p w14:paraId="52F69D3D">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备注</w:t>
            </w:r>
          </w:p>
        </w:tc>
        <w:tc>
          <w:tcPr>
            <w:tcW w:w="3598" w:type="pct"/>
            <w:vAlign w:val="center"/>
          </w:tcPr>
          <w:p w14:paraId="1FCBBA96">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1、采购需求中未列明偏差的除特殊订制类货物以外，列明的尺寸、重量及体积允许±5%偏差。</w:t>
            </w:r>
          </w:p>
          <w:p w14:paraId="7A29A9CB">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2、采购标的物需按照国家相关标准、行业标准、地方标准或者其他标准、规范执行。</w:t>
            </w:r>
          </w:p>
          <w:p w14:paraId="14529E2C">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本章采购需求中的技术、商务要求均为本项目的实质性要求，各包投标人需完全满足或优于本采购需求中对应包的技术、商务的所有要求（即技术标偏离表和商务标偏离表均无负偏离的），否则视为无效投标。</w:t>
            </w:r>
          </w:p>
          <w:p w14:paraId="1299AE2B">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4、本项目范围内所有交付软件系统要求投标人提供国产化承诺书。</w:t>
            </w:r>
          </w:p>
        </w:tc>
      </w:tr>
    </w:tbl>
    <w:p w14:paraId="701EEDB7">
      <w:pPr>
        <w:widowControl w:val="0"/>
        <w:wordWrap/>
        <w:overflowPunct/>
        <w:topLinePunct w:val="0"/>
        <w:bidi w:val="0"/>
        <w:spacing w:line="574" w:lineRule="atLeast"/>
        <w:ind w:left="0" w:leftChars="0" w:right="218" w:rightChars="104" w:firstLine="420" w:firstLineChars="200"/>
        <w:rPr>
          <w:rFonts w:ascii="宋体" w:hAnsi="宋体" w:eastAsia="宋体" w:cs="宋体"/>
          <w:color w:val="auto"/>
        </w:rPr>
        <w:sectPr>
          <w:pgSz w:w="11906" w:h="16838"/>
          <w:pgMar w:top="2098" w:right="1474" w:bottom="1984" w:left="1587" w:header="851" w:footer="992" w:gutter="0"/>
          <w:cols w:space="425" w:num="1"/>
          <w:docGrid w:type="lines" w:linePitch="312" w:charSpace="0"/>
        </w:sectPr>
      </w:pPr>
    </w:p>
    <w:p w14:paraId="79B787C8">
      <w:pPr>
        <w:pStyle w:val="3"/>
        <w:widowControl w:val="0"/>
        <w:numPr>
          <w:ilvl w:val="0"/>
          <w:numId w:val="3"/>
        </w:numPr>
        <w:wordWrap/>
        <w:overflowPunct/>
        <w:topLinePunct w:val="0"/>
        <w:bidi w:val="0"/>
        <w:spacing w:line="574" w:lineRule="atLeast"/>
        <w:ind w:left="0" w:leftChars="0" w:right="218" w:rightChars="104" w:firstLine="643" w:firstLineChars="200"/>
        <w:rPr>
          <w:rFonts w:ascii="宋体" w:hAnsi="宋体" w:cs="宋体"/>
          <w:color w:val="auto"/>
          <w:sz w:val="32"/>
        </w:rPr>
      </w:pPr>
      <w:r>
        <w:rPr>
          <w:rFonts w:hint="eastAsia" w:ascii="宋体" w:hAnsi="宋体" w:cs="宋体"/>
          <w:color w:val="auto"/>
          <w:sz w:val="32"/>
        </w:rPr>
        <w:t>采购需求</w:t>
      </w:r>
    </w:p>
    <w:p w14:paraId="4B0F588F">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本项目须符合财政部、工信部发布的台式计算机政府采购需求标准(2023年版，依据财库(2023)29号文件)、便携式计算机政府采购需求标准(2023年版，依据财库(2023)30号文件)、一体式计算机政府采购需求标准(2023年版，依据财库(2023)31号文件)、工作站政府采购需求标准(2023 年版依据财库(2023)32号文件)、通用服务器政府采购需求标准(2023 年版，依据财库(2023)33号文件)、操作系统政府采购需求标准(2023年版，依据财库(2023)34号文件)、数据库政府采购需求标准(2023 年版，依据财库(202335 号文件)，并供应商所提供通用服务器的 CPU、操作系统应符合安全可靠测评要求。</w:t>
      </w:r>
    </w:p>
    <w:p w14:paraId="0E9EFE5C">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本项目所涉及的服务器、电脑（含电脑、工作站、电脑终端、便携式计算机等）、网络设备（除光纤交换机外）、信息安全设备、存储设备、服务器操作系统、中间件、数据库、中间件等需要采用国产化产品。</w:t>
      </w:r>
    </w:p>
    <w:p w14:paraId="1F59D380">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2" w:firstLineChars="200"/>
        <w:textAlignment w:val="baseline"/>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本项目国产化要求：</w:t>
      </w:r>
    </w:p>
    <w:p w14:paraId="6C72CC18">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技术自主可控：投标人保证所提供的产品或服务的核心技术、关键零部件均为国内自主研发、制造，拥有自主知识产权，不存在侵犯第三方知识产权的风险。</w:t>
      </w:r>
    </w:p>
    <w:p w14:paraId="6EA9C44C">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原材料与供应链：投标人承诺所有原材料及关键零部件均来源于国内供应商，确保供应链的稳定性和安全性。同时，承诺方将不断优化供应链管理，提高供应链的可控性和可靠性。</w:t>
      </w:r>
    </w:p>
    <w:p w14:paraId="6D2264A7">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产品质量与标准：投标人保证所提供的产品或服务符合国家相关法律法规、行业标准及采购方的具体要求。投标人将对产品进行严格的质量控制，确保产品性能稳定、可靠。</w:t>
      </w:r>
    </w:p>
    <w:p w14:paraId="6458EAA8">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售后服务与技术支持：投标人承诺提供完善的售后服务和技术支持，包括但不限于产品安装、调试、维护、培训等，确保用户在使用过程中能够得到及时有效的帮助。</w:t>
      </w:r>
    </w:p>
    <w:p w14:paraId="5E7E676B">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信息安全与数据保护：对于涉及信息安全的产品或服务，投标人将严格遵守国家相关法律法规要求，采取有效措施保护用户数据安全，防止数据泄露或被非法访问。</w:t>
      </w:r>
    </w:p>
    <w:p w14:paraId="75D25780">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持续改进与升级：投标人将持续关注产品性能和市场需求变化，不断进行技术升级和产品改进，以满足用户不断变化的需求。</w:t>
      </w:r>
    </w:p>
    <w:p w14:paraId="7D65DAC0">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hint="eastAsia" w:ascii="宋体" w:hAnsi="宋体" w:eastAsia="宋体" w:cs="宋体"/>
          <w:snapToGrid/>
          <w:color w:val="auto"/>
          <w:kern w:val="2"/>
          <w:sz w:val="24"/>
          <w:szCs w:val="24"/>
        </w:rPr>
      </w:pPr>
    </w:p>
    <w:p w14:paraId="3C09EA40">
      <w:pPr>
        <w:keepNext w:val="0"/>
        <w:keepLines w:val="0"/>
        <w:pageBreakBefore w:val="0"/>
        <w:widowControl w:val="0"/>
        <w:kinsoku w:val="0"/>
        <w:wordWrap/>
        <w:overflowPunct/>
        <w:topLinePunct w:val="0"/>
        <w:autoSpaceDE w:val="0"/>
        <w:autoSpaceDN w:val="0"/>
        <w:bidi w:val="0"/>
        <w:adjustRightInd w:val="0"/>
        <w:snapToGrid w:val="0"/>
        <w:spacing w:line="574" w:lineRule="atLeast"/>
        <w:ind w:left="0" w:leftChars="0" w:right="218" w:rightChars="104" w:firstLine="480" w:firstLineChars="200"/>
        <w:textAlignment w:val="baseline"/>
        <w:rPr>
          <w:rFonts w:hint="eastAsia" w:ascii="宋体" w:hAnsi="宋体" w:eastAsia="宋体" w:cs="宋体"/>
          <w:snapToGrid/>
          <w:color w:val="auto"/>
          <w:kern w:val="2"/>
          <w:sz w:val="24"/>
          <w:szCs w:val="24"/>
        </w:rPr>
      </w:pPr>
    </w:p>
    <w:p w14:paraId="02B44979">
      <w:pPr>
        <w:pStyle w:val="3"/>
        <w:widowControl w:val="0"/>
        <w:numPr>
          <w:ilvl w:val="1"/>
          <w:numId w:val="0"/>
        </w:numPr>
        <w:wordWrap/>
        <w:overflowPunct/>
        <w:topLinePunct w:val="0"/>
        <w:bidi w:val="0"/>
        <w:spacing w:line="574" w:lineRule="atLeast"/>
        <w:ind w:left="0" w:leftChars="0" w:right="218" w:rightChars="104" w:firstLine="883" w:firstLineChars="200"/>
        <w:jc w:val="center"/>
        <w:rPr>
          <w:rFonts w:ascii="宋体" w:hAnsi="宋体" w:cs="宋体"/>
          <w:sz w:val="44"/>
          <w:szCs w:val="44"/>
        </w:rPr>
      </w:pPr>
      <w:r>
        <w:rPr>
          <w:rFonts w:hint="eastAsia" w:ascii="宋体" w:hAnsi="宋体" w:cs="宋体"/>
          <w:sz w:val="44"/>
          <w:szCs w:val="44"/>
        </w:rPr>
        <w:t>E包：软件测评、代码审计</w:t>
      </w:r>
    </w:p>
    <w:p w14:paraId="3B6BAC1F">
      <w:pPr>
        <w:pStyle w:val="10"/>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Cs w:val="24"/>
          <w:lang w:bidi="ar"/>
        </w:rPr>
      </w:pPr>
      <w:r>
        <w:rPr>
          <w:rFonts w:hint="eastAsia" w:ascii="宋体" w:hAnsi="宋体" w:eastAsia="宋体" w:cs="宋体"/>
          <w:color w:val="auto"/>
          <w:szCs w:val="24"/>
          <w:lang w:bidi="ar"/>
        </w:rPr>
        <w:t>为确保升级建设完成后“12345”网上服务平台满足政务信息化项目验收要求，需对服务平台开展第三方软件测评、代码审计服务。</w:t>
      </w:r>
    </w:p>
    <w:p w14:paraId="5824E63B">
      <w:pPr>
        <w:pStyle w:val="3"/>
        <w:widowControl w:val="0"/>
        <w:wordWrap/>
        <w:overflowPunct/>
        <w:topLinePunct w:val="0"/>
        <w:bidi w:val="0"/>
        <w:ind w:left="0" w:leftChars="0" w:right="218" w:rightChars="104" w:firstLine="643" w:firstLineChars="200"/>
      </w:pPr>
      <w:r>
        <w:rPr>
          <w:rFonts w:hint="eastAsia"/>
        </w:rPr>
        <w:t>一、服务清单</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288"/>
        <w:gridCol w:w="4769"/>
        <w:gridCol w:w="840"/>
        <w:gridCol w:w="952"/>
      </w:tblGrid>
      <w:tr w14:paraId="06A9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92" w:type="pct"/>
            <w:tcBorders>
              <w:top w:val="single" w:color="auto" w:sz="4" w:space="0"/>
              <w:left w:val="single" w:color="auto" w:sz="4" w:space="0"/>
              <w:bottom w:val="single" w:color="auto" w:sz="4" w:space="0"/>
              <w:right w:val="single" w:color="auto" w:sz="4" w:space="0"/>
            </w:tcBorders>
            <w:shd w:val="clear" w:color="auto" w:fill="D9D9D9"/>
            <w:vAlign w:val="center"/>
          </w:tcPr>
          <w:p w14:paraId="16E076E8">
            <w:pPr>
              <w:widowControl w:val="0"/>
              <w:wordWrap/>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56" w:type="pct"/>
            <w:tcBorders>
              <w:top w:val="single" w:color="auto" w:sz="4" w:space="0"/>
              <w:left w:val="single" w:color="auto" w:sz="4" w:space="0"/>
              <w:bottom w:val="single" w:color="auto" w:sz="4" w:space="0"/>
              <w:right w:val="single" w:color="auto" w:sz="4" w:space="0"/>
            </w:tcBorders>
            <w:shd w:val="clear" w:color="auto" w:fill="D9D9D9"/>
            <w:vAlign w:val="center"/>
          </w:tcPr>
          <w:p w14:paraId="5904130B">
            <w:pPr>
              <w:widowControl w:val="0"/>
              <w:wordWrap/>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服务名称</w:t>
            </w:r>
          </w:p>
        </w:tc>
        <w:tc>
          <w:tcPr>
            <w:tcW w:w="2799" w:type="pct"/>
            <w:tcBorders>
              <w:top w:val="single" w:color="auto" w:sz="4" w:space="0"/>
              <w:left w:val="single" w:color="auto" w:sz="4" w:space="0"/>
              <w:bottom w:val="single" w:color="auto" w:sz="4" w:space="0"/>
              <w:right w:val="single" w:color="auto" w:sz="4" w:space="0"/>
            </w:tcBorders>
            <w:shd w:val="clear" w:color="auto" w:fill="D9D9D9"/>
            <w:vAlign w:val="center"/>
          </w:tcPr>
          <w:p w14:paraId="690A5C19">
            <w:pPr>
              <w:widowControl w:val="0"/>
              <w:wordWrap/>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服务内容</w:t>
            </w:r>
          </w:p>
        </w:tc>
        <w:tc>
          <w:tcPr>
            <w:tcW w:w="493" w:type="pct"/>
            <w:tcBorders>
              <w:top w:val="single" w:color="auto" w:sz="4" w:space="0"/>
              <w:left w:val="single" w:color="auto" w:sz="4" w:space="0"/>
              <w:bottom w:val="single" w:color="auto" w:sz="4" w:space="0"/>
              <w:right w:val="single" w:color="auto" w:sz="4" w:space="0"/>
            </w:tcBorders>
            <w:shd w:val="clear" w:color="auto" w:fill="D9D9D9"/>
            <w:vAlign w:val="center"/>
          </w:tcPr>
          <w:p w14:paraId="1AEA77F4">
            <w:pPr>
              <w:widowControl w:val="0"/>
              <w:wordWrap/>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服务频率</w:t>
            </w:r>
          </w:p>
        </w:tc>
        <w:tc>
          <w:tcPr>
            <w:tcW w:w="559" w:type="pct"/>
            <w:tcBorders>
              <w:top w:val="single" w:color="auto" w:sz="4" w:space="0"/>
              <w:left w:val="single" w:color="auto" w:sz="4" w:space="0"/>
              <w:bottom w:val="single" w:color="auto" w:sz="4" w:space="0"/>
              <w:right w:val="single" w:color="auto" w:sz="4" w:space="0"/>
            </w:tcBorders>
            <w:shd w:val="clear" w:color="auto" w:fill="D9D9D9"/>
            <w:vAlign w:val="center"/>
          </w:tcPr>
          <w:p w14:paraId="625AFEDB">
            <w:pPr>
              <w:widowControl w:val="0"/>
              <w:wordWrap/>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备注</w:t>
            </w:r>
          </w:p>
        </w:tc>
      </w:tr>
      <w:tr w14:paraId="3630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392" w:type="pct"/>
            <w:tcBorders>
              <w:top w:val="single" w:color="auto" w:sz="4" w:space="0"/>
              <w:left w:val="single" w:color="auto" w:sz="4" w:space="0"/>
              <w:right w:val="single" w:color="auto" w:sz="4" w:space="0"/>
            </w:tcBorders>
            <w:shd w:val="clear" w:color="auto" w:fill="auto"/>
            <w:vAlign w:val="center"/>
          </w:tcPr>
          <w:p w14:paraId="68F91012">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756" w:type="pct"/>
            <w:tcBorders>
              <w:top w:val="single" w:color="auto" w:sz="4" w:space="0"/>
              <w:left w:val="single" w:color="auto" w:sz="4" w:space="0"/>
              <w:right w:val="single" w:color="auto" w:sz="4" w:space="0"/>
            </w:tcBorders>
            <w:shd w:val="clear" w:color="auto" w:fill="auto"/>
            <w:vAlign w:val="center"/>
          </w:tcPr>
          <w:p w14:paraId="34B9315E">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第三方软件测试服务</w:t>
            </w:r>
          </w:p>
        </w:tc>
        <w:tc>
          <w:tcPr>
            <w:tcW w:w="2799" w:type="pct"/>
            <w:tcBorders>
              <w:top w:val="single" w:color="auto" w:sz="4" w:space="0"/>
              <w:left w:val="single" w:color="auto" w:sz="4" w:space="0"/>
              <w:right w:val="single" w:color="auto" w:sz="4" w:space="0"/>
            </w:tcBorders>
            <w:shd w:val="clear" w:color="auto" w:fill="auto"/>
            <w:vAlign w:val="center"/>
          </w:tcPr>
          <w:p w14:paraId="14633FD9">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1、制订测评方案，并根据测评方案中规定的指标和评判标准对指定测评对象实施检测。</w:t>
            </w:r>
          </w:p>
          <w:p w14:paraId="2DC15D74">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2、对软件的所有功能模块进行全面测试，确保每个功能都能按照设计要求正常工作。包括但不限于：登录、注册、数据输入、数据处理、数据输出、报告生成等。</w:t>
            </w:r>
          </w:p>
          <w:p w14:paraId="703AD36E">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3、测试软件在不同负载下的性能表现，包括响应时间、吞吐量、并发用户数等。测试团队应提供性能测试报告，并给出性能优化建议。</w:t>
            </w:r>
          </w:p>
          <w:p w14:paraId="3EC5E287">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4、对本项目所涉及软件系统进行现场测试，出具缺陷报告，待开发单位整改后进行回归测试，最后整理测试结果，出具软件测试报告。</w:t>
            </w: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14:paraId="0F3D43DF">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1次</w:t>
            </w:r>
          </w:p>
        </w:tc>
        <w:tc>
          <w:tcPr>
            <w:tcW w:w="559" w:type="pct"/>
            <w:vMerge w:val="restart"/>
            <w:tcBorders>
              <w:top w:val="nil"/>
              <w:left w:val="single" w:color="auto" w:sz="4" w:space="0"/>
              <w:bottom w:val="single" w:color="auto" w:sz="4" w:space="0"/>
              <w:right w:val="single" w:color="auto" w:sz="4" w:space="0"/>
            </w:tcBorders>
            <w:shd w:val="clear" w:color="auto" w:fill="auto"/>
            <w:vAlign w:val="center"/>
          </w:tcPr>
          <w:p w14:paraId="43486E31">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项目整体未验收通过前，需针对项目整改内容进行再次测评。</w:t>
            </w:r>
          </w:p>
        </w:tc>
      </w:tr>
      <w:tr w14:paraId="1812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5AB777B0">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756" w:type="pct"/>
            <w:tcBorders>
              <w:top w:val="single" w:color="auto" w:sz="4" w:space="0"/>
              <w:left w:val="single" w:color="auto" w:sz="4" w:space="0"/>
              <w:right w:val="single" w:color="auto" w:sz="4" w:space="0"/>
            </w:tcBorders>
            <w:shd w:val="clear" w:color="auto" w:fill="auto"/>
            <w:vAlign w:val="center"/>
          </w:tcPr>
          <w:p w14:paraId="16EAAC73">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代码审计服务</w:t>
            </w:r>
          </w:p>
        </w:tc>
        <w:tc>
          <w:tcPr>
            <w:tcW w:w="2799" w:type="pct"/>
            <w:tcBorders>
              <w:top w:val="single" w:color="auto" w:sz="4" w:space="0"/>
              <w:left w:val="single" w:color="auto" w:sz="4" w:space="0"/>
              <w:right w:val="single" w:color="auto" w:sz="4" w:space="0"/>
            </w:tcBorders>
            <w:shd w:val="clear" w:color="auto" w:fill="auto"/>
            <w:vAlign w:val="center"/>
          </w:tcPr>
          <w:p w14:paraId="560E5EAB">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1、采用自动静态分析技术扫描某个应用程序的源代码，通过甄别和定位可能存在的薄弱环节数量，以验证该应用程序存在的风险；</w:t>
            </w:r>
          </w:p>
          <w:p w14:paraId="66F1EB61">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2、对于无法提供源代码的系统，通过在应用程序的字节码中动态插桩检测“探针”，获取应用程序各种运行时的上下文信息，在应用程序运行的同时，实时分析程序的安全弱点；</w:t>
            </w:r>
          </w:p>
          <w:p w14:paraId="22B9B17D">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3、针对审计结果，进行人工验证，剔除误报，客观和全面地发现软件系统自身的安全隐患，出具代码审计报告；</w:t>
            </w:r>
          </w:p>
          <w:p w14:paraId="7773109F">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4、在代码风险整改后提供一次审计复核服务。</w:t>
            </w:r>
          </w:p>
        </w:tc>
        <w:tc>
          <w:tcPr>
            <w:tcW w:w="493" w:type="pct"/>
            <w:tcBorders>
              <w:top w:val="single" w:color="auto" w:sz="4" w:space="0"/>
              <w:left w:val="single" w:color="auto" w:sz="4" w:space="0"/>
              <w:right w:val="single" w:color="auto" w:sz="4" w:space="0"/>
            </w:tcBorders>
            <w:shd w:val="clear" w:color="auto" w:fill="auto"/>
            <w:vAlign w:val="center"/>
          </w:tcPr>
          <w:p w14:paraId="3D64A830">
            <w:pPr>
              <w:widowControl w:val="0"/>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1次</w:t>
            </w:r>
          </w:p>
        </w:tc>
        <w:tc>
          <w:tcPr>
            <w:tcW w:w="559" w:type="pct"/>
            <w:vMerge w:val="continue"/>
            <w:tcBorders>
              <w:top w:val="nil"/>
              <w:left w:val="single" w:color="auto" w:sz="4" w:space="0"/>
              <w:bottom w:val="single" w:color="auto" w:sz="4" w:space="0"/>
              <w:right w:val="single" w:color="auto" w:sz="4" w:space="0"/>
            </w:tcBorders>
            <w:shd w:val="clear" w:color="auto" w:fill="auto"/>
            <w:vAlign w:val="center"/>
          </w:tcPr>
          <w:p w14:paraId="1127E358">
            <w:pPr>
              <w:widowControl w:val="0"/>
              <w:wordWrap/>
              <w:overflowPunct/>
              <w:topLinePunct w:val="0"/>
              <w:bidi w:val="0"/>
              <w:spacing w:line="360" w:lineRule="auto"/>
              <w:rPr>
                <w:rFonts w:hint="eastAsia" w:ascii="宋体" w:hAnsi="宋体" w:eastAsia="宋体" w:cs="宋体"/>
                <w:sz w:val="24"/>
                <w:szCs w:val="24"/>
              </w:rPr>
            </w:pPr>
          </w:p>
        </w:tc>
      </w:tr>
    </w:tbl>
    <w:p w14:paraId="628883F9">
      <w:pPr>
        <w:pStyle w:val="3"/>
        <w:widowControl w:val="0"/>
        <w:wordWrap/>
        <w:overflowPunct/>
        <w:topLinePunct w:val="0"/>
        <w:bidi w:val="0"/>
        <w:ind w:left="0" w:leftChars="0" w:right="218" w:rightChars="104" w:firstLine="643" w:firstLineChars="200"/>
      </w:pPr>
      <w:r>
        <w:rPr>
          <w:rFonts w:hint="eastAsia"/>
        </w:rPr>
        <w:t>二、软件测试</w:t>
      </w:r>
    </w:p>
    <w:p w14:paraId="5487AFA1">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一</w:t>
      </w:r>
      <w:r>
        <w:rPr>
          <w:rFonts w:hint="eastAsia"/>
          <w:lang w:eastAsia="zh-CN"/>
        </w:rPr>
        <w:t>）</w:t>
      </w:r>
      <w:r>
        <w:rPr>
          <w:rFonts w:hint="eastAsia"/>
        </w:rPr>
        <w:t>测试目标</w:t>
      </w:r>
    </w:p>
    <w:p w14:paraId="61A98775">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为保障本项目应用系统平台如期上线，需要对项目应用系统进行系统功能测试、系统性能测试、可靠性测试等，同时通过测试过程了解信息系统的交付情况，达成如下总体测试目标：</w:t>
      </w:r>
    </w:p>
    <w:p w14:paraId="485728BA">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判定各项目的建设方案、招标方案、需求规格说明书等是否实现；</w:t>
      </w:r>
    </w:p>
    <w:p w14:paraId="19217831">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判定各项目的建设是否满足国家、海南省各项政策法规及标准要求。</w:t>
      </w:r>
    </w:p>
    <w:p w14:paraId="1D8BBCB8">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二</w:t>
      </w:r>
      <w:r>
        <w:rPr>
          <w:rFonts w:hint="eastAsia"/>
          <w:lang w:eastAsia="zh-CN"/>
        </w:rPr>
        <w:t>）</w:t>
      </w:r>
      <w:r>
        <w:rPr>
          <w:rFonts w:hint="eastAsia"/>
        </w:rPr>
        <w:t>测试内容和范围</w:t>
      </w:r>
    </w:p>
    <w:p w14:paraId="67BB8A84">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本次测试服务需要根据国家有关规范、标准及政务信息系统建设要求对项目中的应用系统进行第三方软件测试。以下是项目和业务系统清单：</w:t>
      </w:r>
    </w:p>
    <w:tbl>
      <w:tblPr>
        <w:tblStyle w:val="11"/>
        <w:tblW w:w="0" w:type="auto"/>
        <w:jc w:val="center"/>
        <w:tblLayout w:type="autofit"/>
        <w:tblCellMar>
          <w:top w:w="0" w:type="dxa"/>
          <w:left w:w="108" w:type="dxa"/>
          <w:bottom w:w="0" w:type="dxa"/>
          <w:right w:w="108" w:type="dxa"/>
        </w:tblCellMar>
      </w:tblPr>
      <w:tblGrid>
        <w:gridCol w:w="916"/>
        <w:gridCol w:w="2336"/>
        <w:gridCol w:w="2268"/>
      </w:tblGrid>
      <w:tr w14:paraId="53CFE6E1">
        <w:tblPrEx>
          <w:tblCellMar>
            <w:top w:w="0" w:type="dxa"/>
            <w:left w:w="108" w:type="dxa"/>
            <w:bottom w:w="0" w:type="dxa"/>
            <w:right w:w="108" w:type="dxa"/>
          </w:tblCellMar>
        </w:tblPrEx>
        <w:trPr>
          <w:trHeight w:val="27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A18D4CB">
            <w:pPr>
              <w:widowControl w:val="0"/>
              <w:wordWrap/>
              <w:overflowPunct/>
              <w:topLinePunct w:val="0"/>
              <w:bidi w:val="0"/>
              <w:spacing w:line="574" w:lineRule="atLeast"/>
              <w:ind w:right="218" w:rightChars="104"/>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336" w:type="dxa"/>
            <w:tcBorders>
              <w:top w:val="single" w:color="auto" w:sz="4" w:space="0"/>
              <w:left w:val="nil"/>
              <w:bottom w:val="single" w:color="auto" w:sz="4" w:space="0"/>
              <w:right w:val="single" w:color="auto" w:sz="4" w:space="0"/>
            </w:tcBorders>
            <w:shd w:val="clear" w:color="auto" w:fill="auto"/>
            <w:noWrap/>
            <w:vAlign w:val="bottom"/>
          </w:tcPr>
          <w:p w14:paraId="4C4D3810">
            <w:pPr>
              <w:widowControl w:val="0"/>
              <w:wordWrap/>
              <w:overflowPunct/>
              <w:topLinePunct w:val="0"/>
              <w:bidi w:val="0"/>
              <w:spacing w:line="574" w:lineRule="atLeast"/>
              <w:ind w:right="218" w:rightChars="104"/>
              <w:jc w:val="center"/>
              <w:rPr>
                <w:rFonts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2268" w:type="dxa"/>
            <w:tcBorders>
              <w:top w:val="single" w:color="auto" w:sz="4" w:space="0"/>
              <w:left w:val="nil"/>
              <w:bottom w:val="single" w:color="auto" w:sz="4" w:space="0"/>
              <w:right w:val="single" w:color="auto" w:sz="4" w:space="0"/>
            </w:tcBorders>
            <w:shd w:val="clear" w:color="auto" w:fill="auto"/>
            <w:noWrap/>
            <w:vAlign w:val="bottom"/>
          </w:tcPr>
          <w:p w14:paraId="5D6950E1">
            <w:pPr>
              <w:widowControl w:val="0"/>
              <w:wordWrap/>
              <w:overflowPunct/>
              <w:topLinePunct w:val="0"/>
              <w:bidi w:val="0"/>
              <w:spacing w:line="574" w:lineRule="atLeast"/>
              <w:ind w:right="218" w:rightChars="104"/>
              <w:jc w:val="center"/>
              <w:rPr>
                <w:rFonts w:ascii="宋体" w:hAnsi="宋体" w:eastAsia="宋体" w:cs="宋体"/>
                <w:b/>
                <w:bCs/>
                <w:color w:val="auto"/>
                <w:sz w:val="24"/>
                <w:szCs w:val="24"/>
              </w:rPr>
            </w:pPr>
            <w:r>
              <w:rPr>
                <w:rFonts w:hint="eastAsia" w:ascii="宋体" w:hAnsi="宋体" w:eastAsia="宋体" w:cs="宋体"/>
                <w:b/>
                <w:bCs/>
                <w:color w:val="auto"/>
                <w:sz w:val="24"/>
                <w:szCs w:val="24"/>
              </w:rPr>
              <w:t>业务系统</w:t>
            </w:r>
          </w:p>
        </w:tc>
      </w:tr>
      <w:tr w14:paraId="22D89394">
        <w:tblPrEx>
          <w:tblCellMar>
            <w:top w:w="0" w:type="dxa"/>
            <w:left w:w="108" w:type="dxa"/>
            <w:bottom w:w="0" w:type="dxa"/>
            <w:right w:w="108" w:type="dxa"/>
          </w:tblCellMar>
        </w:tblPrEx>
        <w:trPr>
          <w:trHeight w:val="55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6A54845">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1</w:t>
            </w:r>
          </w:p>
        </w:tc>
        <w:tc>
          <w:tcPr>
            <w:tcW w:w="2336" w:type="dxa"/>
            <w:tcBorders>
              <w:top w:val="nil"/>
              <w:left w:val="nil"/>
              <w:bottom w:val="single" w:color="auto" w:sz="4" w:space="0"/>
              <w:right w:val="single" w:color="auto" w:sz="4" w:space="0"/>
            </w:tcBorders>
            <w:shd w:val="clear" w:color="auto" w:fill="auto"/>
            <w:vAlign w:val="center"/>
          </w:tcPr>
          <w:p w14:paraId="3F42B94E">
            <w:pPr>
              <w:widowControl w:val="0"/>
              <w:wordWrap/>
              <w:overflowPunct/>
              <w:topLinePunct w:val="0"/>
              <w:bidi w:val="0"/>
              <w:spacing w:line="574" w:lineRule="atLeast"/>
              <w:ind w:right="218" w:rightChars="104"/>
              <w:rPr>
                <w:rFonts w:ascii="宋体" w:hAnsi="宋体" w:eastAsia="宋体" w:cs="宋体"/>
                <w:color w:val="auto"/>
                <w:sz w:val="24"/>
                <w:szCs w:val="24"/>
              </w:rPr>
            </w:pPr>
            <w:r>
              <w:rPr>
                <w:rFonts w:hint="eastAsia" w:ascii="宋体" w:hAnsi="宋体" w:eastAsia="宋体" w:cs="宋体"/>
                <w:color w:val="auto"/>
                <w:sz w:val="24"/>
                <w:szCs w:val="24"/>
              </w:rPr>
              <w:t>“12345”网上服务平台项目</w:t>
            </w:r>
          </w:p>
        </w:tc>
        <w:tc>
          <w:tcPr>
            <w:tcW w:w="2268" w:type="dxa"/>
            <w:tcBorders>
              <w:top w:val="nil"/>
              <w:left w:val="nil"/>
              <w:bottom w:val="single" w:color="auto" w:sz="4" w:space="0"/>
              <w:right w:val="single" w:color="auto" w:sz="4" w:space="0"/>
            </w:tcBorders>
            <w:shd w:val="clear" w:color="auto" w:fill="auto"/>
            <w:vAlign w:val="center"/>
          </w:tcPr>
          <w:p w14:paraId="6F6FCFF5">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“12345”网上服务平台</w:t>
            </w:r>
          </w:p>
        </w:tc>
      </w:tr>
    </w:tbl>
    <w:p w14:paraId="5FD7D005">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rPr>
      </w:pPr>
      <w:r>
        <w:rPr>
          <w:rFonts w:hint="eastAsia" w:ascii="宋体" w:hAnsi="宋体" w:eastAsia="宋体" w:cs="宋体"/>
          <w:color w:val="auto"/>
          <w:sz w:val="24"/>
          <w:szCs w:val="24"/>
        </w:rPr>
        <w:t>根据《GB/T 8567 计算机软件文档编制规范》、GB/T 25000.51-2016《系统与软件工程 系统与软件质量要求和评价(SQuaRE)第51部分:就绪可用软件产品(RUSP)的质量要求和测试细则》《GB/T 29831-2013</w:t>
      </w:r>
      <w:r>
        <w:rPr>
          <w:rFonts w:hint="eastAsia" w:ascii="宋体" w:hAnsi="宋体" w:eastAsia="宋体" w:cs="宋体"/>
          <w:color w:val="auto"/>
          <w:sz w:val="24"/>
          <w:szCs w:val="24"/>
        </w:rPr>
        <w:tab/>
      </w:r>
      <w:r>
        <w:rPr>
          <w:rFonts w:hint="eastAsia" w:ascii="宋体" w:hAnsi="宋体" w:eastAsia="宋体" w:cs="宋体"/>
          <w:color w:val="auto"/>
          <w:sz w:val="24"/>
          <w:szCs w:val="24"/>
        </w:rPr>
        <w:t>系统与软件功能性》、《GB/T 29832-2013系统与软件可靠性》、《GB/T 29833-2013系统与软件可移植性》、《GB/T 29834-2013系统与软件维护性》、《GB/T 29835-2013系统与软件效率》、《GB/T 29836-2013系统与软件易用性》等规范标准的要求，对被测系统开展第三方软件测试，协助做好整改工作，为项目验收提供依据。</w:t>
      </w:r>
    </w:p>
    <w:p w14:paraId="7DC28671">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三</w:t>
      </w:r>
      <w:r>
        <w:rPr>
          <w:rFonts w:hint="eastAsia"/>
          <w:lang w:eastAsia="zh-CN"/>
        </w:rPr>
        <w:t>）</w:t>
      </w:r>
      <w:r>
        <w:rPr>
          <w:rFonts w:hint="eastAsia"/>
        </w:rPr>
        <w:fldChar w:fldCharType="begin"/>
      </w:r>
      <w:r>
        <w:rPr>
          <w:rFonts w:hint="eastAsia"/>
        </w:rPr>
        <w:instrText xml:space="preserve"> DOCVARIABLE  技术要求开始  \* MERGEFORMAT </w:instrText>
      </w:r>
      <w:r>
        <w:rPr>
          <w:rFonts w:hint="eastAsia"/>
        </w:rPr>
        <w:fldChar w:fldCharType="end"/>
      </w:r>
      <w:r>
        <w:rPr>
          <w:rFonts w:hint="eastAsia"/>
        </w:rPr>
        <w:fldChar w:fldCharType="begin"/>
      </w:r>
      <w:r>
        <w:rPr>
          <w:rFonts w:hint="eastAsia"/>
        </w:rPr>
        <w:instrText xml:space="preserve"> DOCVARIABLE  技术要求开始  \* MERGEFORMAT </w:instrText>
      </w:r>
      <w:r>
        <w:rPr>
          <w:rFonts w:hint="eastAsia"/>
        </w:rPr>
        <w:fldChar w:fldCharType="end"/>
      </w:r>
      <w:r>
        <w:rPr>
          <w:rFonts w:hint="eastAsia"/>
        </w:rPr>
        <w:t>测试服务遵循的原则</w:t>
      </w:r>
    </w:p>
    <w:p w14:paraId="51A06606">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测试单位应遵循如下服务准则，并完成项目的测试任务：</w:t>
      </w:r>
    </w:p>
    <w:p w14:paraId="7F13110A">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科学、客观、公正、高效原则：坚持科学、客观、公正、高效的基本原则，完成系统的软件系统验收测试工作；</w:t>
      </w:r>
    </w:p>
    <w:p w14:paraId="268E66A0">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标准化原则：按照国家和行业相关的法律、法规、规范、标准和制度开展测试工作，履行测试合同规定的职责和义务；</w:t>
      </w:r>
    </w:p>
    <w:p w14:paraId="51EBB8FF">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制度化原则：服务过程中，严格按照规范化作风要求所有测试人员，做到纪律严明，按章办事，严守规则，提供高质量的测试技术服务；</w:t>
      </w:r>
    </w:p>
    <w:p w14:paraId="0F64A554">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遵守国家的法律和政府的有关条例、规定和方法等；</w:t>
      </w:r>
    </w:p>
    <w:p w14:paraId="77C1F39D">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认真履行工程建设测试合同所承诺的义务和约定承担的责任；</w:t>
      </w:r>
    </w:p>
    <w:p w14:paraId="3696E41E">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坚持科学的态度和实事求是的原则。</w:t>
      </w:r>
    </w:p>
    <w:p w14:paraId="09D21FDB">
      <w:pPr>
        <w:pStyle w:val="8"/>
        <w:widowControl w:val="0"/>
        <w:wordWrap/>
        <w:overflowPunct/>
        <w:topLinePunct w:val="0"/>
        <w:bidi w:val="0"/>
        <w:ind w:left="0" w:leftChars="0" w:right="218" w:rightChars="104" w:firstLine="482" w:firstLineChars="200"/>
      </w:pPr>
      <w:bookmarkStart w:id="2" w:name="_Toc68190178"/>
      <w:bookmarkStart w:id="3" w:name="_Toc68765009"/>
      <w:bookmarkStart w:id="4" w:name="_Toc3963"/>
      <w:bookmarkStart w:id="5" w:name="_Toc12109"/>
      <w:r>
        <w:rPr>
          <w:rFonts w:hint="eastAsia"/>
          <w:lang w:eastAsia="zh-CN"/>
        </w:rPr>
        <w:t>（</w:t>
      </w:r>
      <w:r>
        <w:rPr>
          <w:rFonts w:hint="eastAsia"/>
          <w:lang w:val="en-US" w:eastAsia="zh-CN"/>
        </w:rPr>
        <w:t>四</w:t>
      </w:r>
      <w:r>
        <w:rPr>
          <w:rFonts w:hint="eastAsia"/>
          <w:lang w:eastAsia="zh-CN"/>
        </w:rPr>
        <w:t>）</w:t>
      </w:r>
      <w:r>
        <w:rPr>
          <w:rFonts w:hint="eastAsia"/>
        </w:rPr>
        <w:fldChar w:fldCharType="begin"/>
      </w:r>
      <w:r>
        <w:rPr>
          <w:rFonts w:hint="eastAsia"/>
        </w:rPr>
        <w:instrText xml:space="preserve"> DOCVARIABLE  技术要求开始  \* MERGEFORMAT </w:instrText>
      </w:r>
      <w:r>
        <w:rPr>
          <w:rFonts w:hint="eastAsia"/>
        </w:rPr>
        <w:fldChar w:fldCharType="end"/>
      </w:r>
      <w:r>
        <w:rPr>
          <w:rFonts w:hint="eastAsia"/>
        </w:rPr>
        <w:t>测试技术</w:t>
      </w:r>
      <w:bookmarkEnd w:id="2"/>
      <w:bookmarkEnd w:id="3"/>
      <w:bookmarkEnd w:id="4"/>
      <w:bookmarkEnd w:id="5"/>
      <w:r>
        <w:rPr>
          <w:rFonts w:hint="eastAsia"/>
        </w:rPr>
        <w:t>内容</w:t>
      </w:r>
    </w:p>
    <w:p w14:paraId="04DDE8E6">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国家对信息化项目建设、验收的相关标准和行业相关标准，根据项目可研初设等材料明确软测服务内容，依据用户提供的文档，列出测试对象的测试特性，分别对每一个被测试特性及其组合进行详细测试设计说明，提交总体测试方案，并根据测试方案中规定的指标和评判标准对指定测试对象实施检测，最后提交详细的项目测试记录及项目测试报告。</w:t>
      </w:r>
    </w:p>
    <w:p w14:paraId="5FA2938C">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软件系统验收测试技术内容：功能性测试、性能测试、易用性测试、用户文档测试等多方面进行测评。具体要求见下表：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17"/>
        <w:gridCol w:w="1701"/>
        <w:gridCol w:w="3413"/>
        <w:gridCol w:w="3413"/>
      </w:tblGrid>
      <w:tr w14:paraId="198B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1" w:hRule="atLeast"/>
          <w:tblHeader/>
          <w:jc w:val="center"/>
        </w:trPr>
        <w:tc>
          <w:tcPr>
            <w:tcW w:w="717" w:type="dxa"/>
            <w:shd w:val="clear" w:color="auto" w:fill="D9D9D9"/>
            <w:vAlign w:val="center"/>
          </w:tcPr>
          <w:p w14:paraId="353BD8D0">
            <w:pPr>
              <w:widowControl w:val="0"/>
              <w:wordWrap/>
              <w:overflowPunct/>
              <w:topLinePunct w:val="0"/>
              <w:bidi w:val="0"/>
              <w:spacing w:line="574" w:lineRule="atLeast"/>
              <w:ind w:right="218" w:rightChars="104"/>
              <w:jc w:val="both"/>
              <w:rPr>
                <w:rFonts w:ascii="宋体" w:hAnsi="宋体" w:eastAsia="宋体" w:cs="宋体"/>
                <w:b/>
                <w:bCs/>
                <w:color w:val="auto"/>
                <w:sz w:val="24"/>
                <w:szCs w:val="24"/>
              </w:rPr>
            </w:pPr>
            <w:bookmarkStart w:id="6" w:name="_Toc30333"/>
            <w:bookmarkStart w:id="7" w:name="_Toc30902"/>
            <w:bookmarkStart w:id="8" w:name="_Toc68190179"/>
            <w:bookmarkStart w:id="9" w:name="_Toc68084925"/>
            <w:bookmarkStart w:id="10" w:name="_Toc68084550"/>
            <w:bookmarkStart w:id="11" w:name="_Toc68765010"/>
            <w:bookmarkStart w:id="12" w:name="_Toc68084860"/>
            <w:r>
              <w:rPr>
                <w:rFonts w:hint="eastAsia" w:ascii="宋体" w:hAnsi="宋体" w:eastAsia="宋体" w:cs="宋体"/>
                <w:b/>
                <w:bCs/>
                <w:color w:val="auto"/>
                <w:sz w:val="24"/>
                <w:szCs w:val="24"/>
              </w:rPr>
              <w:t>序号</w:t>
            </w:r>
          </w:p>
        </w:tc>
        <w:tc>
          <w:tcPr>
            <w:tcW w:w="1701" w:type="dxa"/>
            <w:shd w:val="clear" w:color="auto" w:fill="D9D9D9"/>
            <w:vAlign w:val="center"/>
          </w:tcPr>
          <w:p w14:paraId="3B1F6F4B">
            <w:pPr>
              <w:widowControl w:val="0"/>
              <w:wordWrap/>
              <w:overflowPunct/>
              <w:topLinePunct w:val="0"/>
              <w:bidi w:val="0"/>
              <w:spacing w:line="574" w:lineRule="atLeast"/>
              <w:ind w:right="218" w:rightChars="104"/>
              <w:jc w:val="both"/>
              <w:rPr>
                <w:rFonts w:ascii="宋体" w:hAnsi="宋体" w:eastAsia="宋体" w:cs="宋体"/>
                <w:b/>
                <w:bCs/>
                <w:color w:val="auto"/>
                <w:sz w:val="24"/>
                <w:szCs w:val="24"/>
              </w:rPr>
            </w:pPr>
            <w:r>
              <w:rPr>
                <w:rFonts w:hint="eastAsia" w:ascii="宋体" w:hAnsi="宋体" w:eastAsia="宋体" w:cs="宋体"/>
                <w:b/>
                <w:bCs/>
                <w:color w:val="auto"/>
                <w:sz w:val="24"/>
                <w:szCs w:val="24"/>
              </w:rPr>
              <w:t>检测内容</w:t>
            </w:r>
          </w:p>
        </w:tc>
        <w:tc>
          <w:tcPr>
            <w:tcW w:w="3413" w:type="dxa"/>
            <w:shd w:val="clear" w:color="auto" w:fill="D9D9D9"/>
            <w:vAlign w:val="center"/>
          </w:tcPr>
          <w:p w14:paraId="3937CBC5">
            <w:pPr>
              <w:widowControl w:val="0"/>
              <w:wordWrap/>
              <w:overflowPunct/>
              <w:topLinePunct w:val="0"/>
              <w:bidi w:val="0"/>
              <w:spacing w:line="574" w:lineRule="atLeast"/>
              <w:ind w:right="218" w:rightChars="104" w:firstLine="964" w:firstLineChars="400"/>
              <w:jc w:val="both"/>
              <w:rPr>
                <w:rFonts w:ascii="宋体" w:hAnsi="宋体" w:eastAsia="宋体" w:cs="宋体"/>
                <w:b/>
                <w:bCs/>
                <w:color w:val="auto"/>
                <w:sz w:val="24"/>
                <w:szCs w:val="24"/>
              </w:rPr>
            </w:pPr>
            <w:r>
              <w:rPr>
                <w:rFonts w:hint="eastAsia" w:ascii="宋体" w:hAnsi="宋体" w:eastAsia="宋体" w:cs="宋体"/>
                <w:b/>
                <w:bCs/>
                <w:color w:val="auto"/>
                <w:sz w:val="24"/>
                <w:szCs w:val="24"/>
              </w:rPr>
              <w:t>检测内容要求</w:t>
            </w:r>
          </w:p>
        </w:tc>
        <w:tc>
          <w:tcPr>
            <w:tcW w:w="3413" w:type="dxa"/>
            <w:shd w:val="clear" w:color="auto" w:fill="D9D9D9"/>
            <w:vAlign w:val="center"/>
          </w:tcPr>
          <w:p w14:paraId="1A4CD53D">
            <w:pPr>
              <w:widowControl w:val="0"/>
              <w:wordWrap/>
              <w:overflowPunct/>
              <w:topLinePunct w:val="0"/>
              <w:bidi w:val="0"/>
              <w:spacing w:line="574" w:lineRule="atLeast"/>
              <w:ind w:left="0" w:leftChars="0" w:right="218" w:rightChars="104" w:firstLine="964" w:firstLineChars="400"/>
              <w:jc w:val="both"/>
              <w:rPr>
                <w:rFonts w:ascii="宋体" w:hAnsi="宋体" w:eastAsia="宋体" w:cs="宋体"/>
                <w:b/>
                <w:bCs/>
                <w:color w:val="auto"/>
                <w:sz w:val="24"/>
                <w:szCs w:val="24"/>
              </w:rPr>
            </w:pPr>
            <w:r>
              <w:rPr>
                <w:rFonts w:hint="eastAsia" w:ascii="宋体" w:hAnsi="宋体" w:eastAsia="宋体" w:cs="宋体"/>
                <w:b/>
                <w:bCs/>
                <w:color w:val="auto"/>
                <w:sz w:val="24"/>
                <w:szCs w:val="24"/>
              </w:rPr>
              <w:t>符合标准</w:t>
            </w:r>
          </w:p>
        </w:tc>
      </w:tr>
      <w:tr w14:paraId="0FD8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0" w:hRule="atLeast"/>
          <w:jc w:val="center"/>
        </w:trPr>
        <w:tc>
          <w:tcPr>
            <w:tcW w:w="717" w:type="dxa"/>
            <w:vAlign w:val="center"/>
          </w:tcPr>
          <w:p w14:paraId="4DF0438F">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1</w:t>
            </w:r>
          </w:p>
        </w:tc>
        <w:tc>
          <w:tcPr>
            <w:tcW w:w="1701" w:type="dxa"/>
            <w:vAlign w:val="center"/>
          </w:tcPr>
          <w:p w14:paraId="1625148D">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功能性测试</w:t>
            </w:r>
          </w:p>
        </w:tc>
        <w:tc>
          <w:tcPr>
            <w:tcW w:w="3413" w:type="dxa"/>
            <w:vAlign w:val="center"/>
          </w:tcPr>
          <w:p w14:paraId="3839DF92">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应分析测试对象各功能模块的功能需求，依据项目的《可行性研究报告》、《初步设计方案》、《需求规格说明书》、《概要设计》及其他相关文档的要求验证功能模块是否实现了全部需求和设计，要求投标人测评覆盖所有功能点，确保各项功能是可正确执行的，测试覆盖率应达到 100%。（2）应依据《需求规格说明书》和《详细设计文档》，分析系统模块各功能点测评的优先级别。用户经常使用、关系到系统核心功能、优先级别较高的功能点应予以重点关注，尤其在回归测试时应优先执行。</w:t>
            </w:r>
          </w:p>
          <w:p w14:paraId="3D857469">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应分析系统业务需求，对业务流程进行数据流向测评，确保关键业务流程正确执行；投标人的测评工作必须既包括正常输入和正常业务流程测评，也包括对非法数据输入和异常处理的测评，同时要求测评内容覆盖整个业务周期。</w:t>
            </w:r>
          </w:p>
          <w:p w14:paraId="32CC960A">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（4）应分析各系统模块的数据处理需求，对系统业务数据进行严格的正确性测评（包括数据是否超出正常的值范围、报表数据准确性等），确保系统即时数据和历史数据准确无误。</w:t>
            </w:r>
          </w:p>
          <w:p w14:paraId="6D37227E">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（5）应对系统模块的业务交互进行测试。投标人在进行功能、业务流程等测试的同时，需要对各系统之间的交互情况进行测试，并确认各系统之间的业务数据交互的正确性。</w:t>
            </w:r>
          </w:p>
        </w:tc>
        <w:tc>
          <w:tcPr>
            <w:tcW w:w="3413" w:type="dxa"/>
            <w:vAlign w:val="center"/>
          </w:tcPr>
          <w:p w14:paraId="59E63AD1">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功能性测试的目的是测评测试对象的主要服务模块是否逐项满足了业务需求，确保业务需求的功能实现。</w:t>
            </w:r>
          </w:p>
        </w:tc>
      </w:tr>
      <w:tr w14:paraId="5883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0" w:hRule="atLeast"/>
          <w:jc w:val="center"/>
        </w:trPr>
        <w:tc>
          <w:tcPr>
            <w:tcW w:w="717" w:type="dxa"/>
            <w:vAlign w:val="center"/>
          </w:tcPr>
          <w:p w14:paraId="1A9EDC8D">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2</w:t>
            </w:r>
          </w:p>
        </w:tc>
        <w:tc>
          <w:tcPr>
            <w:tcW w:w="1701" w:type="dxa"/>
            <w:vAlign w:val="center"/>
          </w:tcPr>
          <w:p w14:paraId="1C35BBB7">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性能测试</w:t>
            </w:r>
          </w:p>
        </w:tc>
        <w:tc>
          <w:tcPr>
            <w:tcW w:w="3413" w:type="dxa"/>
            <w:vAlign w:val="center"/>
          </w:tcPr>
          <w:p w14:paraId="4F7050A8">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人应依据《可行性研究报告》、《初步设计方案》、《需求规格说明书》、《概要设计》及其他相关文档对性能指标的描述，考查各业务模块关键业务在正常工作量、预期的峰值工作量下的效率情况，主要考虑系统容量特性、时间特性及资源利用状况等效率指标是否符合用户需求，并据此对系统的性能做出全面的评价。</w:t>
            </w:r>
          </w:p>
        </w:tc>
        <w:tc>
          <w:tcPr>
            <w:tcW w:w="3413" w:type="dxa"/>
            <w:vAlign w:val="center"/>
          </w:tcPr>
          <w:p w14:paraId="462077C6">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系统的性能应满足系统的负载要求和性能需求，性能需求可包括：可承受的并发量、响应时间、吞吐量。</w:t>
            </w:r>
          </w:p>
        </w:tc>
      </w:tr>
      <w:tr w14:paraId="23B2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0" w:hRule="atLeast"/>
          <w:jc w:val="center"/>
        </w:trPr>
        <w:tc>
          <w:tcPr>
            <w:tcW w:w="717" w:type="dxa"/>
            <w:vAlign w:val="center"/>
          </w:tcPr>
          <w:p w14:paraId="1DA8B7C8">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3</w:t>
            </w:r>
          </w:p>
        </w:tc>
        <w:tc>
          <w:tcPr>
            <w:tcW w:w="1701" w:type="dxa"/>
            <w:vAlign w:val="center"/>
          </w:tcPr>
          <w:p w14:paraId="5B095BAD">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易用性测试</w:t>
            </w:r>
          </w:p>
        </w:tc>
        <w:tc>
          <w:tcPr>
            <w:tcW w:w="3413" w:type="dxa"/>
            <w:vAlign w:val="center"/>
          </w:tcPr>
          <w:p w14:paraId="61A008C2">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人应依据《可行性研究报告》、《初步设计方案》、《需求规格说明书》、《概要设计》及其他相关文档对易用性指标的描述，依据用户视觉感受和使用习惯，测试功能模块人机交互友好易用，是否符合用户的操作习惯、容易上手操作。</w:t>
            </w:r>
          </w:p>
        </w:tc>
        <w:tc>
          <w:tcPr>
            <w:tcW w:w="3413" w:type="dxa"/>
            <w:vAlign w:val="center"/>
          </w:tcPr>
          <w:p w14:paraId="226F6FFB">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系统的操作命令界面为标准图形交互界面，风格统一，层次简洁，操作命令的命名无二义性。</w:t>
            </w:r>
          </w:p>
        </w:tc>
      </w:tr>
      <w:tr w14:paraId="5C7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0" w:hRule="atLeast"/>
          <w:jc w:val="center"/>
        </w:trPr>
        <w:tc>
          <w:tcPr>
            <w:tcW w:w="717" w:type="dxa"/>
            <w:vAlign w:val="center"/>
          </w:tcPr>
          <w:p w14:paraId="594D540C">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4</w:t>
            </w:r>
          </w:p>
        </w:tc>
        <w:tc>
          <w:tcPr>
            <w:tcW w:w="1701" w:type="dxa"/>
            <w:vAlign w:val="center"/>
          </w:tcPr>
          <w:p w14:paraId="76FDA35D">
            <w:pPr>
              <w:widowControl w:val="0"/>
              <w:wordWrap/>
              <w:overflowPunct/>
              <w:topLinePunct w:val="0"/>
              <w:bidi w:val="0"/>
              <w:spacing w:line="574" w:lineRule="atLeast"/>
              <w:ind w:right="218" w:rightChars="104"/>
              <w:jc w:val="both"/>
              <w:rPr>
                <w:rFonts w:ascii="宋体" w:hAnsi="宋体" w:eastAsia="宋体" w:cs="宋体"/>
                <w:color w:val="auto"/>
                <w:sz w:val="24"/>
                <w:szCs w:val="24"/>
              </w:rPr>
            </w:pPr>
            <w:r>
              <w:rPr>
                <w:rFonts w:hint="eastAsia" w:ascii="宋体" w:hAnsi="宋体" w:eastAsia="宋体" w:cs="宋体"/>
                <w:color w:val="auto"/>
                <w:sz w:val="24"/>
                <w:szCs w:val="24"/>
              </w:rPr>
              <w:t>用户文档测试</w:t>
            </w:r>
          </w:p>
        </w:tc>
        <w:tc>
          <w:tcPr>
            <w:tcW w:w="3413" w:type="dxa"/>
            <w:vAlign w:val="center"/>
          </w:tcPr>
          <w:p w14:paraId="058E7150">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p>
        </w:tc>
        <w:tc>
          <w:tcPr>
            <w:tcW w:w="3413" w:type="dxa"/>
            <w:vAlign w:val="center"/>
          </w:tcPr>
          <w:p w14:paraId="0ACF08D8">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满足用户文档应包括安装、维护、功能说明、操作说明方面的信息，并符合完整性、正确性、一致性、易理解性、易浏览性的要求。</w:t>
            </w:r>
          </w:p>
        </w:tc>
      </w:tr>
      <w:tr w14:paraId="045E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0" w:hRule="atLeast"/>
          <w:jc w:val="center"/>
        </w:trPr>
        <w:tc>
          <w:tcPr>
            <w:tcW w:w="717" w:type="dxa"/>
            <w:vAlign w:val="center"/>
          </w:tcPr>
          <w:p w14:paraId="341E87BA">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bookmarkStart w:id="13" w:name="_Toc9460"/>
            <w:bookmarkStart w:id="14" w:name="_Toc68084926"/>
            <w:bookmarkStart w:id="15" w:name="_Toc6034"/>
            <w:bookmarkStart w:id="16" w:name="_Toc68190181"/>
            <w:bookmarkStart w:id="17" w:name="_Toc68084551"/>
            <w:bookmarkStart w:id="18" w:name="_Toc68765012"/>
            <w:bookmarkStart w:id="19" w:name="_Toc68084861"/>
          </w:p>
        </w:tc>
        <w:tc>
          <w:tcPr>
            <w:tcW w:w="1701" w:type="dxa"/>
            <w:vAlign w:val="center"/>
          </w:tcPr>
          <w:p w14:paraId="6228F791">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p>
        </w:tc>
        <w:tc>
          <w:tcPr>
            <w:tcW w:w="3413" w:type="dxa"/>
            <w:vAlign w:val="center"/>
          </w:tcPr>
          <w:p w14:paraId="3FF72136">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p>
        </w:tc>
        <w:tc>
          <w:tcPr>
            <w:tcW w:w="3413" w:type="dxa"/>
            <w:vAlign w:val="center"/>
          </w:tcPr>
          <w:p w14:paraId="7A65239B">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p>
        </w:tc>
      </w:tr>
      <w:bookmarkEnd w:id="6"/>
      <w:bookmarkEnd w:id="7"/>
      <w:bookmarkEnd w:id="8"/>
      <w:bookmarkEnd w:id="9"/>
      <w:bookmarkEnd w:id="10"/>
      <w:bookmarkEnd w:id="11"/>
      <w:bookmarkEnd w:id="12"/>
    </w:tbl>
    <w:p w14:paraId="60E0B68B">
      <w:pPr>
        <w:pStyle w:val="8"/>
        <w:widowControl w:val="0"/>
        <w:wordWrap/>
        <w:overflowPunct/>
        <w:topLinePunct w:val="0"/>
        <w:bidi w:val="0"/>
        <w:ind w:left="0" w:leftChars="0" w:right="218" w:rightChars="104" w:firstLine="482" w:firstLineChars="200"/>
      </w:pPr>
      <w:r>
        <w:rPr>
          <w:rFonts w:hint="eastAsia"/>
          <w:lang w:val="en-US" w:eastAsia="zh-CN"/>
        </w:rPr>
        <w:t>1、</w:t>
      </w:r>
      <w:r>
        <w:rPr>
          <w:rFonts w:hint="eastAsia"/>
        </w:rPr>
        <w:t>功能测试：</w:t>
      </w:r>
    </w:p>
    <w:p w14:paraId="025FD227">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本项测试主要针对功能适合性、功能准确性、互操作性、保密安全性等四个方面进行测试。</w:t>
      </w:r>
    </w:p>
    <w:p w14:paraId="5F45E4AE">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eastAsia="zh-CN" w:bidi="ar"/>
        </w:rPr>
        <w:t>（</w:t>
      </w:r>
      <w:r>
        <w:rPr>
          <w:rFonts w:hint="eastAsia" w:ascii="宋体" w:hAnsi="宋体" w:eastAsia="宋体" w:cs="宋体"/>
          <w:b/>
          <w:bCs/>
          <w:color w:val="auto"/>
          <w:kern w:val="2"/>
          <w:sz w:val="24"/>
          <w:szCs w:val="24"/>
          <w:lang w:val="en-US" w:eastAsia="zh-CN" w:bidi="ar"/>
        </w:rPr>
        <w:t>1</w:t>
      </w:r>
      <w:r>
        <w:rPr>
          <w:rFonts w:hint="eastAsia" w:ascii="宋体" w:hAnsi="宋体" w:eastAsia="宋体" w:cs="宋体"/>
          <w:b/>
          <w:bCs/>
          <w:color w:val="auto"/>
          <w:kern w:val="2"/>
          <w:sz w:val="24"/>
          <w:szCs w:val="24"/>
          <w:lang w:eastAsia="zh-CN" w:bidi="ar"/>
        </w:rPr>
        <w:t>）</w:t>
      </w:r>
      <w:r>
        <w:rPr>
          <w:rFonts w:hint="eastAsia" w:ascii="宋体" w:hAnsi="宋体" w:eastAsia="宋体" w:cs="宋体"/>
          <w:b/>
          <w:bCs/>
          <w:color w:val="auto"/>
          <w:kern w:val="2"/>
          <w:sz w:val="24"/>
          <w:szCs w:val="24"/>
          <w:lang w:bidi="ar"/>
        </w:rPr>
        <w:t>适合性</w:t>
      </w:r>
    </w:p>
    <w:p w14:paraId="707FE429">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测试内容：</w:t>
      </w:r>
    </w:p>
    <w:p w14:paraId="0C269208">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1）基本功能测试：覆盖建设内容的所有功能。根据具体功能设计测试用例，测试执行到系统功能点的最底层。</w:t>
      </w:r>
    </w:p>
    <w:p w14:paraId="1C454B5A">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2）整体业务流程测试：测试内容为系统管理等业务流程，分别进行正常执行、非正常执行操作，验证业务流程能否正确控制，具体业务流程在项目设计时结合需求说明和操作手册等文档给出详细的正常流程和所测试的非正常流程的执行步骤。</w:t>
      </w:r>
    </w:p>
    <w:p w14:paraId="26C422ED">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3）数据接口测试：结合需求说明书和用户手册，测试系统与内外部系统、设备、文件等的数据接口，验证软件中的数据接口是否正常实现。</w:t>
      </w:r>
    </w:p>
    <w:p w14:paraId="1579381E">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A、数据共享接口：针对测试系统与内外部系统进行的数据共享，验证系统中的数据共享接口是否正常实现，具体需参考需求说明书和操作手册给出的详细描述。</w:t>
      </w:r>
    </w:p>
    <w:p w14:paraId="0F33F59E">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B、文件接口：导入、导出不同格式文件的数据，如统计报表和数据采集导出Excel功能等，执行符合要求和不符合要求两种测试，验证文件导入或导出结果是否正确、完整，对不符合要求的文件的正确处理能力。</w:t>
      </w:r>
    </w:p>
    <w:p w14:paraId="59B33548">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测试方法：</w:t>
      </w:r>
    </w:p>
    <w:p w14:paraId="523BD1E1">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采用等价类划分法、边界值划分法、场景法和经验法黑盒测试技术，对软件功能实现的完整性进行测试，测试各功能实现的情况，逐项验证各功能是否按照需求规格说明书和用户手册中规定的执行、实际的业务流程操作与用户手册描述的规程是否一致、软件中的数据接口是否正常实现、所执行任务的实际结果与预期的结果是否吻合。</w:t>
      </w:r>
    </w:p>
    <w:p w14:paraId="5641DAD0">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b w:val="0"/>
          <w:bCs/>
          <w:color w:val="auto"/>
          <w:kern w:val="2"/>
          <w:sz w:val="24"/>
          <w:szCs w:val="24"/>
          <w:lang w:bidi="ar"/>
        </w:rPr>
        <w:t>测试工具：</w:t>
      </w:r>
      <w:r>
        <w:rPr>
          <w:rFonts w:hint="eastAsia" w:ascii="宋体" w:hAnsi="宋体" w:eastAsia="宋体" w:cs="宋体"/>
          <w:color w:val="auto"/>
          <w:kern w:val="2"/>
          <w:sz w:val="24"/>
          <w:szCs w:val="24"/>
          <w:lang w:bidi="ar"/>
        </w:rPr>
        <w:t>手工测试。</w:t>
      </w:r>
    </w:p>
    <w:p w14:paraId="29BAF2E9">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p>
    <w:p w14:paraId="1E48DF21">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（2）</w:t>
      </w:r>
      <w:r>
        <w:rPr>
          <w:rFonts w:hint="eastAsia" w:ascii="宋体" w:hAnsi="宋体" w:eastAsia="宋体" w:cs="宋体"/>
          <w:b/>
          <w:bCs/>
          <w:color w:val="auto"/>
          <w:kern w:val="2"/>
          <w:sz w:val="24"/>
          <w:szCs w:val="24"/>
          <w:lang w:bidi="ar"/>
        </w:rPr>
        <w:t>准确性</w:t>
      </w:r>
    </w:p>
    <w:p w14:paraId="54140678">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测试内容：</w:t>
      </w:r>
    </w:p>
    <w:p w14:paraId="1D0A954D">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结合数据管理、统计分析等模块的功能测试，确认数据转换（导入、导出）、更新、调用、共享、查询、统计、计算的准确性。</w:t>
      </w:r>
    </w:p>
    <w:p w14:paraId="67B21E8C">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测试方法：</w:t>
      </w:r>
    </w:p>
    <w:p w14:paraId="05F6A137">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r>
        <w:rPr>
          <w:rFonts w:hint="eastAsia" w:ascii="宋体" w:hAnsi="宋体" w:eastAsia="宋体" w:cs="宋体"/>
          <w:b w:val="0"/>
          <w:bCs/>
          <w:color w:val="auto"/>
          <w:kern w:val="2"/>
          <w:sz w:val="24"/>
          <w:szCs w:val="24"/>
          <w:lang w:bidi="ar"/>
        </w:rPr>
        <w:t>采用等价类划</w:t>
      </w:r>
      <w:r>
        <w:rPr>
          <w:rFonts w:hint="eastAsia" w:ascii="宋体" w:hAnsi="宋体" w:eastAsia="宋体" w:cs="宋体"/>
          <w:color w:val="auto"/>
          <w:kern w:val="2"/>
          <w:sz w:val="24"/>
          <w:szCs w:val="24"/>
          <w:lang w:bidi="ar"/>
        </w:rPr>
        <w:t>分法、边界值划分法、场景法和状态分析法等黑盒测试技术，结合功能适合性，手工对系统重要业务录入信息的展示、更新、共享和调用过程的数据准确性进行测试，确认系统在数据调用、流转过程中达到预期的准确度要求，确认系统</w:t>
      </w:r>
      <w:r>
        <w:rPr>
          <w:rFonts w:hint="eastAsia" w:ascii="宋体" w:hAnsi="宋体" w:eastAsia="宋体" w:cs="宋体"/>
          <w:b w:val="0"/>
          <w:bCs w:val="0"/>
          <w:color w:val="auto"/>
          <w:kern w:val="2"/>
          <w:sz w:val="24"/>
          <w:szCs w:val="24"/>
          <w:lang w:bidi="ar"/>
        </w:rPr>
        <w:t>分析统计结果正确无误。</w:t>
      </w:r>
    </w:p>
    <w:p w14:paraId="76B41E15">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b w:val="0"/>
          <w:bCs w:val="0"/>
          <w:color w:val="auto"/>
          <w:kern w:val="2"/>
          <w:sz w:val="24"/>
          <w:szCs w:val="24"/>
          <w:lang w:bidi="ar"/>
        </w:rPr>
        <w:t>测试工具：</w:t>
      </w:r>
      <w:r>
        <w:rPr>
          <w:rFonts w:hint="eastAsia" w:ascii="宋体" w:hAnsi="宋体" w:eastAsia="宋体" w:cs="宋体"/>
          <w:color w:val="auto"/>
          <w:kern w:val="2"/>
          <w:sz w:val="24"/>
          <w:szCs w:val="24"/>
          <w:lang w:bidi="ar"/>
        </w:rPr>
        <w:t>手工测试。</w:t>
      </w:r>
    </w:p>
    <w:p w14:paraId="398943F7">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p>
    <w:p w14:paraId="4CC16CC6">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（3）</w:t>
      </w:r>
      <w:r>
        <w:rPr>
          <w:rFonts w:hint="eastAsia" w:ascii="宋体" w:hAnsi="宋体" w:eastAsia="宋体" w:cs="宋体"/>
          <w:b/>
          <w:bCs/>
          <w:color w:val="auto"/>
          <w:kern w:val="2"/>
          <w:sz w:val="24"/>
          <w:szCs w:val="24"/>
          <w:lang w:bidi="ar"/>
        </w:rPr>
        <w:t>互操作性</w:t>
      </w:r>
    </w:p>
    <w:p w14:paraId="7680CEDD">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测试内容：</w:t>
      </w:r>
    </w:p>
    <w:p w14:paraId="713299B1">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系统与其它业务应用系统、设备、文件以及系统内部的数据传送功能，包括数据文件导入、导出、下载功能，数据交换、共享功能，数据打印功能，业务流程数据传送、接口间数据传送等，验证数据传送结果是否正确，具体需参考需求说明书和操作手册给出的详细描述。</w:t>
      </w:r>
    </w:p>
    <w:p w14:paraId="08EDC42E">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测试方法：</w:t>
      </w:r>
    </w:p>
    <w:p w14:paraId="20E15C4F">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采用等价类划分法、场景法和经验法黑盒测试技术，结合功能适合性和准确性，手工对内外部系统之间的接口进行测试，以及被测系统与数据文件、服务器、第三方软件间的接口进行测试，验证系统与一个或更多的规定系统或设备、文件等进行交互的能力。</w:t>
      </w:r>
    </w:p>
    <w:p w14:paraId="5D368ED3">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bidi="ar"/>
        </w:rPr>
        <w:t>测试工具：</w:t>
      </w:r>
      <w:r>
        <w:rPr>
          <w:rFonts w:hint="eastAsia" w:ascii="宋体" w:hAnsi="宋体" w:eastAsia="宋体" w:cs="宋体"/>
          <w:color w:val="auto"/>
          <w:kern w:val="2"/>
          <w:sz w:val="24"/>
          <w:szCs w:val="24"/>
          <w:lang w:bidi="ar"/>
        </w:rPr>
        <w:t>手工测试。</w:t>
      </w:r>
    </w:p>
    <w:p w14:paraId="31710750">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p>
    <w:p w14:paraId="7FD579E0">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lang w:bidi="ar"/>
        </w:rPr>
      </w:pPr>
      <w:r>
        <w:rPr>
          <w:rFonts w:hint="eastAsia" w:ascii="宋体" w:hAnsi="宋体" w:eastAsia="宋体" w:cs="宋体"/>
          <w:b/>
          <w:bCs/>
          <w:color w:val="auto"/>
          <w:kern w:val="2"/>
          <w:sz w:val="24"/>
          <w:szCs w:val="24"/>
          <w:lang w:val="en-US" w:eastAsia="zh-CN" w:bidi="ar"/>
        </w:rPr>
        <w:t>（4）</w:t>
      </w:r>
      <w:r>
        <w:rPr>
          <w:rFonts w:hint="eastAsia" w:ascii="宋体" w:hAnsi="宋体" w:eastAsia="宋体" w:cs="宋体"/>
          <w:b/>
          <w:bCs/>
          <w:color w:val="auto"/>
          <w:kern w:val="2"/>
          <w:sz w:val="24"/>
          <w:szCs w:val="24"/>
          <w:lang w:bidi="ar"/>
        </w:rPr>
        <w:t>安全保密性</w:t>
      </w:r>
    </w:p>
    <w:p w14:paraId="7759143A">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bidi="ar"/>
        </w:rPr>
        <w:t>测试内容：</w:t>
      </w:r>
    </w:p>
    <w:p w14:paraId="49581B91">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b w:val="0"/>
          <w:bCs/>
          <w:color w:val="auto"/>
          <w:kern w:val="2"/>
          <w:sz w:val="24"/>
          <w:szCs w:val="24"/>
          <w:lang w:bidi="ar"/>
        </w:rPr>
        <w:t>本项测试包括数据</w:t>
      </w:r>
      <w:r>
        <w:rPr>
          <w:rFonts w:hint="eastAsia" w:ascii="宋体" w:hAnsi="宋体" w:eastAsia="宋体" w:cs="宋体"/>
          <w:color w:val="auto"/>
          <w:kern w:val="2"/>
          <w:sz w:val="24"/>
          <w:szCs w:val="24"/>
          <w:lang w:bidi="ar"/>
        </w:rPr>
        <w:t>安全保密测试和系统安全测试。其中数据安全保密性测试数据传输功能、数据存储功能、数据备份与恢复功能等，分析数据内容与需求的符合性。系统安全性测试系统登录功能、用户管理和权限控制功能、数据访问控制功能、系统日志功能、HTTP连接安全性控制能力、系统抵御攻击能力等。</w:t>
      </w:r>
    </w:p>
    <w:p w14:paraId="4141F38E">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r>
        <w:rPr>
          <w:rFonts w:hint="eastAsia" w:ascii="宋体" w:hAnsi="宋体" w:eastAsia="宋体" w:cs="宋体"/>
          <w:color w:val="auto"/>
          <w:kern w:val="2"/>
          <w:sz w:val="24"/>
          <w:szCs w:val="24"/>
          <w:lang w:bidi="ar"/>
        </w:rPr>
        <w:t>重点内容测试如下：检测系统的所有用户是否进行分级管理，是否设置不同的角</w:t>
      </w:r>
      <w:r>
        <w:rPr>
          <w:rFonts w:hint="eastAsia" w:ascii="宋体" w:hAnsi="宋体" w:eastAsia="宋体" w:cs="宋体"/>
          <w:b w:val="0"/>
          <w:bCs w:val="0"/>
          <w:color w:val="auto"/>
          <w:kern w:val="2"/>
          <w:sz w:val="24"/>
          <w:szCs w:val="24"/>
          <w:lang w:bidi="ar"/>
        </w:rPr>
        <w:t>色，每个角色分配不同的操作权限和数据权限、访问控制是否到页面级等。</w:t>
      </w:r>
    </w:p>
    <w:p w14:paraId="7802970D">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bidi="ar"/>
        </w:rPr>
        <w:t>测试方法：</w:t>
      </w:r>
    </w:p>
    <w:p w14:paraId="567EFFB2">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bidi="ar"/>
        </w:rPr>
        <w:t>采用等价类划分法和基于实际应用测试法等黑盒测试技术，结合功能性测试中的用户和权限管理，使用未授权的用户权限，进行相应权限的操作，或模拟非法登录操作以检验系统的安全保密性；结合可靠性的易恢复性测试，对数据进行备份与恢复，并对数据安全进行评价。</w:t>
      </w:r>
    </w:p>
    <w:p w14:paraId="18553FC4">
      <w:pPr>
        <w:widowControl w:val="0"/>
        <w:wordWrap/>
        <w:overflowPunct/>
        <w:topLinePunct w:val="0"/>
        <w:bidi w:val="0"/>
        <w:spacing w:line="574" w:lineRule="atLeast"/>
        <w:ind w:left="0" w:leftChars="0" w:right="218" w:rightChars="104" w:firstLine="480" w:firstLineChars="200"/>
        <w:jc w:val="both"/>
        <w:rPr>
          <w:rFonts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bidi="ar"/>
        </w:rPr>
        <w:t>测试工具：</w:t>
      </w:r>
    </w:p>
    <w:p w14:paraId="47AC45E6">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手工测试。</w:t>
      </w:r>
    </w:p>
    <w:p w14:paraId="725061ED">
      <w:pPr>
        <w:pStyle w:val="8"/>
        <w:widowControl w:val="0"/>
        <w:wordWrap/>
        <w:overflowPunct/>
        <w:topLinePunct w:val="0"/>
        <w:bidi w:val="0"/>
        <w:ind w:left="0" w:leftChars="0" w:right="218" w:rightChars="104" w:firstLine="482" w:firstLineChars="200"/>
      </w:pPr>
      <w:r>
        <w:rPr>
          <w:rFonts w:hint="eastAsia"/>
          <w:lang w:val="en-US" w:eastAsia="zh-CN"/>
        </w:rPr>
        <w:t>2、</w:t>
      </w:r>
      <w:r>
        <w:rPr>
          <w:rFonts w:hint="eastAsia"/>
        </w:rPr>
        <w:t>性能测试</w:t>
      </w:r>
    </w:p>
    <w:p w14:paraId="12043E25">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测试各业务系统的性能是否符合预期的要求，从而保证各系统快速稳定的运行。通过仿真模拟大量用户在一段时间内集中进行业务操作，以检验业务系统运营服务能力和运行支撑系统的资源利用情况，及时发现系统是否存在性能瓶颈，并采取相应解决措施，同时对整体服务情况进行预测和评估。</w:t>
      </w:r>
    </w:p>
    <w:p w14:paraId="004C0F74">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性能测试必须包括负载和压力测试。通过负载测试，可以了解正常工作状态下，系统的工作情况和数据的交互过程；通过压力测试，可以了解系统在较大的负荷下的工作状态，为将来系统的工作情况做出预测，并找出系统中的性能瓶颈或性能弱点。本次性能测试主要从以下3个方面进行：</w:t>
      </w:r>
    </w:p>
    <w:p w14:paraId="1D406521">
      <w:pPr>
        <w:widowControl w:val="0"/>
        <w:wordWrap/>
        <w:overflowPunct/>
        <w:topLinePunct w:val="0"/>
        <w:bidi w:val="0"/>
        <w:spacing w:line="574" w:lineRule="atLeast"/>
        <w:ind w:left="0" w:leftChars="0" w:right="218" w:rightChars="104" w:firstLine="482" w:firstLineChars="200"/>
        <w:jc w:val="both"/>
        <w:outlineLvl w:val="7"/>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eastAsia="zh-CN" w:bidi="ar"/>
        </w:rPr>
        <w:t>（</w:t>
      </w:r>
      <w:r>
        <w:rPr>
          <w:rFonts w:hint="eastAsia" w:ascii="宋体" w:hAnsi="宋体" w:eastAsia="宋体" w:cs="宋体"/>
          <w:b/>
          <w:bCs/>
          <w:color w:val="auto"/>
          <w:kern w:val="2"/>
          <w:sz w:val="24"/>
          <w:szCs w:val="24"/>
          <w:lang w:bidi="ar"/>
        </w:rPr>
        <w:t>1）负载测试</w:t>
      </w:r>
    </w:p>
    <w:p w14:paraId="35BF2D55">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负载测试是一种主要为了测试软件系统是否达到需求文档设计的目标，譬如软件在一定时期内，最大支持多少并发用户数，软件请求出错率等，测试的主要是软件系统的性能。按照项目说明中的要求，本系统需要同时满足800人的在线用户请求，并且在并发80时，常规操作请求的平均响应时间不大于3秒，图形操作请求的平均响应时间不大于5秒。通过负载测试，可以了解正常工作状态下，系统的工作情况和数据的交互过程。</w:t>
      </w:r>
    </w:p>
    <w:p w14:paraId="5EA0477B">
      <w:pPr>
        <w:widowControl w:val="0"/>
        <w:wordWrap/>
        <w:overflowPunct/>
        <w:topLinePunct w:val="0"/>
        <w:bidi w:val="0"/>
        <w:spacing w:line="574" w:lineRule="atLeast"/>
        <w:ind w:left="0" w:leftChars="0" w:right="218" w:rightChars="104" w:firstLine="482" w:firstLineChars="200"/>
        <w:jc w:val="both"/>
        <w:outlineLvl w:val="7"/>
        <w:rPr>
          <w:rFonts w:ascii="宋体" w:hAnsi="宋体" w:eastAsia="宋体" w:cs="宋体"/>
          <w:b/>
          <w:bCs/>
          <w:color w:val="auto"/>
          <w:kern w:val="2"/>
          <w:sz w:val="24"/>
          <w:szCs w:val="24"/>
          <w:lang w:bidi="ar"/>
        </w:rPr>
      </w:pPr>
      <w:r>
        <w:rPr>
          <w:rFonts w:hint="eastAsia" w:ascii="宋体" w:hAnsi="宋体" w:eastAsia="宋体" w:cs="宋体"/>
          <w:b/>
          <w:bCs/>
          <w:color w:val="auto"/>
          <w:kern w:val="2"/>
          <w:sz w:val="24"/>
          <w:szCs w:val="24"/>
          <w:lang w:bidi="ar"/>
        </w:rPr>
        <w:t>（2）压力测试</w:t>
      </w:r>
    </w:p>
    <w:p w14:paraId="5038D586">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压力测试主要是为了测试硬件系统是否达到需求文档设计的性能目标，譬如在一定时期内，系统的CPU利用率，内存使用率，磁盘I/O吞吐率，网络吞吐量等。通过压力测试，可以了解系统在较大的负荷下的工作状态，为将来系统的工作情况做出预测，并找出系统中的性能瓶颈或性能弱点。</w:t>
      </w:r>
    </w:p>
    <w:p w14:paraId="3E480EC4">
      <w:pPr>
        <w:widowControl w:val="0"/>
        <w:wordWrap/>
        <w:overflowPunct/>
        <w:topLinePunct w:val="0"/>
        <w:bidi w:val="0"/>
        <w:spacing w:line="574" w:lineRule="atLeast"/>
        <w:ind w:left="0" w:leftChars="0" w:right="218" w:rightChars="104" w:firstLine="482" w:firstLineChars="200"/>
        <w:jc w:val="both"/>
        <w:outlineLvl w:val="7"/>
        <w:rPr>
          <w:rFonts w:ascii="宋体" w:hAnsi="宋体" w:eastAsia="宋体" w:cs="宋体"/>
          <w:b/>
          <w:bCs/>
          <w:color w:val="auto"/>
          <w:kern w:val="2"/>
          <w:sz w:val="24"/>
          <w:szCs w:val="24"/>
          <w:lang w:bidi="ar"/>
        </w:rPr>
      </w:pPr>
      <w:r>
        <w:rPr>
          <w:rFonts w:hint="eastAsia" w:ascii="宋体" w:hAnsi="宋体" w:eastAsia="宋体" w:cs="宋体"/>
          <w:b/>
          <w:bCs/>
          <w:color w:val="auto"/>
          <w:kern w:val="2"/>
          <w:sz w:val="24"/>
          <w:szCs w:val="24"/>
          <w:lang w:bidi="ar"/>
        </w:rPr>
        <w:t>（3）可靠性测试</w:t>
      </w:r>
    </w:p>
    <w:p w14:paraId="0DC0EAC0">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可靠性测试是指给系统加载一定业务压力的情况下，使系统运行一段时间，以此检测系统是否稳定。可靠性测试的目的是验证是否支持长期稳定的运行，关注点是稳定，不需要给系统太大的压力，只要系统能够长期处于一个稳定的状态就可以。</w:t>
      </w:r>
    </w:p>
    <w:p w14:paraId="4DBEC9C1">
      <w:pPr>
        <w:pStyle w:val="8"/>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五</w:t>
      </w:r>
      <w:r>
        <w:rPr>
          <w:rFonts w:hint="eastAsia"/>
          <w:lang w:eastAsia="zh-CN"/>
        </w:rPr>
        <w:t>）、</w:t>
      </w:r>
      <w:r>
        <w:rPr>
          <w:rFonts w:hint="eastAsia"/>
        </w:rPr>
        <w:t>测试流程</w:t>
      </w:r>
    </w:p>
    <w:p w14:paraId="2E0ACFA6">
      <w:pPr>
        <w:pStyle w:val="6"/>
        <w:widowControl w:val="0"/>
        <w:numPr>
          <w:ilvl w:val="3"/>
          <w:numId w:val="0"/>
        </w:numPr>
        <w:wordWrap/>
        <w:overflowPunct/>
        <w:topLinePunct w:val="0"/>
        <w:bidi w:val="0"/>
        <w:spacing w:before="0" w:after="0" w:line="574" w:lineRule="atLeast"/>
        <w:ind w:left="0" w:leftChars="0" w:right="218" w:rightChars="104" w:firstLine="482"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功能测试流程</w:t>
      </w:r>
    </w:p>
    <w:p w14:paraId="09849EF6">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drawing>
          <wp:inline distT="0" distB="0" distL="114300" distR="114300">
            <wp:extent cx="5067300" cy="4352925"/>
            <wp:effectExtent l="0" t="0" r="0" b="952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5067300" cy="4352925"/>
                    </a:xfrm>
                    <a:prstGeom prst="rect">
                      <a:avLst/>
                    </a:prstGeom>
                    <a:noFill/>
                    <a:ln w="9525">
                      <a:noFill/>
                    </a:ln>
                  </pic:spPr>
                </pic:pic>
              </a:graphicData>
            </a:graphic>
          </wp:inline>
        </w:drawing>
      </w:r>
      <w:r>
        <w:rPr>
          <w:rFonts w:hint="eastAsia" w:ascii="宋体" w:hAnsi="宋体" w:eastAsia="宋体" w:cs="宋体"/>
          <w:color w:val="auto"/>
          <w:kern w:val="2"/>
          <w:sz w:val="24"/>
          <w:szCs w:val="24"/>
          <w:lang w:bidi="ar"/>
        </w:rPr>
        <w:t xml:space="preserve"> </w:t>
      </w:r>
    </w:p>
    <w:p w14:paraId="7C189FAB">
      <w:pPr>
        <w:pStyle w:val="6"/>
        <w:widowControl w:val="0"/>
        <w:numPr>
          <w:ilvl w:val="3"/>
          <w:numId w:val="0"/>
        </w:numPr>
        <w:wordWrap/>
        <w:overflowPunct/>
        <w:topLinePunct w:val="0"/>
        <w:bidi w:val="0"/>
        <w:spacing w:before="0" w:after="0" w:line="574" w:lineRule="atLeast"/>
        <w:ind w:left="0" w:leftChars="0" w:right="218" w:rightChars="104" w:firstLine="482"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性能测试流程</w:t>
      </w:r>
    </w:p>
    <w:p w14:paraId="6918A167">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drawing>
          <wp:inline distT="0" distB="0" distL="114300" distR="114300">
            <wp:extent cx="5286375" cy="4743450"/>
            <wp:effectExtent l="0" t="0" r="9525" b="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5"/>
                    <a:stretch>
                      <a:fillRect/>
                    </a:stretch>
                  </pic:blipFill>
                  <pic:spPr>
                    <a:xfrm>
                      <a:off x="0" y="0"/>
                      <a:ext cx="5286375" cy="4743450"/>
                    </a:xfrm>
                    <a:prstGeom prst="rect">
                      <a:avLst/>
                    </a:prstGeom>
                    <a:noFill/>
                    <a:ln w="9525">
                      <a:noFill/>
                    </a:ln>
                  </pic:spPr>
                </pic:pic>
              </a:graphicData>
            </a:graphic>
          </wp:inline>
        </w:drawing>
      </w:r>
      <w:r>
        <w:rPr>
          <w:rFonts w:hint="eastAsia" w:ascii="宋体" w:hAnsi="宋体" w:eastAsia="宋体" w:cs="宋体"/>
          <w:color w:val="auto"/>
          <w:kern w:val="2"/>
          <w:sz w:val="24"/>
          <w:szCs w:val="24"/>
          <w:lang w:bidi="ar"/>
        </w:rPr>
        <w:t xml:space="preserve"> </w:t>
      </w:r>
    </w:p>
    <w:p w14:paraId="197C64DF">
      <w:pPr>
        <w:pStyle w:val="8"/>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六</w:t>
      </w:r>
      <w:r>
        <w:rPr>
          <w:rFonts w:hint="eastAsia"/>
          <w:lang w:eastAsia="zh-CN"/>
        </w:rPr>
        <w:t>）</w:t>
      </w:r>
      <w:r>
        <w:rPr>
          <w:rFonts w:hint="eastAsia"/>
        </w:rPr>
        <w:t>交付成果及</w:t>
      </w:r>
      <w:r>
        <w:rPr>
          <w:rFonts w:hint="eastAsia"/>
        </w:rPr>
        <w:fldChar w:fldCharType="begin"/>
      </w:r>
      <w:r>
        <w:rPr>
          <w:rFonts w:hint="eastAsia"/>
        </w:rPr>
        <w:instrText xml:space="preserve"> DOCVARIABLE  技术要求开始  \* MERGEFORMAT </w:instrText>
      </w:r>
      <w:r>
        <w:rPr>
          <w:rFonts w:hint="eastAsia"/>
        </w:rPr>
        <w:fldChar w:fldCharType="end"/>
      </w:r>
      <w:r>
        <w:rPr>
          <w:rFonts w:hint="eastAsia"/>
        </w:rPr>
        <w:t>验收要求</w:t>
      </w:r>
      <w:bookmarkEnd w:id="13"/>
      <w:bookmarkEnd w:id="14"/>
      <w:bookmarkEnd w:id="15"/>
      <w:bookmarkEnd w:id="16"/>
      <w:bookmarkEnd w:id="17"/>
      <w:bookmarkEnd w:id="18"/>
      <w:bookmarkEnd w:id="19"/>
    </w:p>
    <w:p w14:paraId="08E3E500">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按期完成第三方软件测试服务，根据不同项目系统交付独立的第三方软件测试报告，包括以下内容：</w:t>
      </w:r>
    </w:p>
    <w:p w14:paraId="2BCEDEFE">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测试计划；</w:t>
      </w:r>
    </w:p>
    <w:p w14:paraId="7B323174">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测试用例（参照各项目的可研、初设等文件来明确功能点）；</w:t>
      </w:r>
    </w:p>
    <w:p w14:paraId="28D4ECDA">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测试问题清单及整改建议；</w:t>
      </w:r>
    </w:p>
    <w:p w14:paraId="3A9B2188">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回归测试报告；</w:t>
      </w:r>
    </w:p>
    <w:p w14:paraId="0802B5D5">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应用系统交付管控解决方案。</w:t>
      </w:r>
    </w:p>
    <w:p w14:paraId="2E5B709F">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交付的第三方软件测试报告（包括原件扫描电子件）符合下列4点要求：</w:t>
      </w:r>
    </w:p>
    <w:p w14:paraId="4D633CB6">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标准化：项目验收最关键的指标，应确保第三方软件测试过程符合最新的国家标准规范；</w:t>
      </w:r>
    </w:p>
    <w:p w14:paraId="11C36353">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系统稳定性：在测试过程中应确保软硬件环境的稳定性、运行正常；</w:t>
      </w:r>
    </w:p>
    <w:p w14:paraId="01F97394">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系统文档：验收文档是否齐全、规范、准确、详细；</w:t>
      </w:r>
    </w:p>
    <w:p w14:paraId="3CC40325">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系统可操作性：交付成果清晰、通俗易懂。</w:t>
      </w:r>
    </w:p>
    <w:p w14:paraId="3DEFF819">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bookmarkStart w:id="20" w:name="_Toc494273811"/>
      <w:bookmarkStart w:id="21" w:name="_Toc492672465"/>
      <w:r>
        <w:rPr>
          <w:rFonts w:hint="eastAsia" w:ascii="宋体" w:hAnsi="宋体" w:eastAsia="宋体" w:cs="宋体"/>
          <w:color w:val="auto"/>
          <w:sz w:val="24"/>
          <w:szCs w:val="24"/>
        </w:rPr>
        <w:t>测试服务验收要求</w:t>
      </w:r>
      <w:bookmarkEnd w:id="20"/>
      <w:bookmarkEnd w:id="21"/>
      <w:r>
        <w:rPr>
          <w:rFonts w:hint="eastAsia" w:ascii="宋体" w:hAnsi="宋体" w:eastAsia="宋体" w:cs="宋体"/>
          <w:color w:val="auto"/>
          <w:sz w:val="24"/>
          <w:szCs w:val="24"/>
        </w:rPr>
        <w:t>：测试单位应根据整体工作计划和安排完成软件测试的验收工作，测试验收报告和测试结果应组织专家评审，达到合格意见验收标准。</w:t>
      </w:r>
    </w:p>
    <w:p w14:paraId="6E785C15">
      <w:pPr>
        <w:pStyle w:val="8"/>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七</w:t>
      </w:r>
      <w:r>
        <w:rPr>
          <w:rFonts w:hint="eastAsia"/>
          <w:lang w:eastAsia="zh-CN"/>
        </w:rPr>
        <w:t>）</w:t>
      </w:r>
      <w:r>
        <w:rPr>
          <w:rFonts w:hint="eastAsia"/>
        </w:rPr>
        <w:t>实施过程风险管理</w:t>
      </w:r>
    </w:p>
    <w:p w14:paraId="7BFFD1EE">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Cs w:val="24"/>
          <w:lang w:bidi="ar"/>
        </w:rPr>
      </w:pPr>
      <w:r>
        <w:rPr>
          <w:rFonts w:hint="eastAsia" w:ascii="宋体" w:hAnsi="宋体" w:eastAsia="宋体" w:cs="宋体"/>
          <w:color w:val="auto"/>
          <w:sz w:val="24"/>
          <w:szCs w:val="24"/>
        </w:rPr>
        <w:t>测试实施过程中，被测系统可能面临业务中断、数据丢失等安全风险，投标方应就可能存在的风险进行充分识别并采取必要的规避或防范措施。</w:t>
      </w:r>
    </w:p>
    <w:p w14:paraId="25A1BB56">
      <w:pPr>
        <w:pStyle w:val="3"/>
        <w:widowControl w:val="0"/>
        <w:wordWrap/>
        <w:overflowPunct/>
        <w:topLinePunct w:val="0"/>
        <w:bidi w:val="0"/>
        <w:ind w:left="0" w:leftChars="0" w:right="218" w:rightChars="104" w:firstLine="643" w:firstLineChars="200"/>
      </w:pPr>
      <w:r>
        <w:rPr>
          <w:rFonts w:hint="eastAsia"/>
        </w:rPr>
        <w:t>三、代码审计服务</w:t>
      </w:r>
    </w:p>
    <w:p w14:paraId="73F97E38">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一</w:t>
      </w:r>
      <w:r>
        <w:rPr>
          <w:rFonts w:hint="eastAsia"/>
          <w:lang w:eastAsia="zh-CN"/>
        </w:rPr>
        <w:t>）</w:t>
      </w:r>
      <w:r>
        <w:rPr>
          <w:rFonts w:hint="eastAsia"/>
        </w:rPr>
        <w:t>服务内容</w:t>
      </w:r>
    </w:p>
    <w:p w14:paraId="40D5DDD1">
      <w:pPr>
        <w:pStyle w:val="10"/>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Cs w:val="24"/>
        </w:rPr>
      </w:pPr>
      <w:r>
        <w:rPr>
          <w:rFonts w:hint="eastAsia" w:ascii="宋体" w:hAnsi="宋体" w:eastAsia="宋体" w:cs="宋体"/>
          <w:color w:val="auto"/>
          <w:szCs w:val="24"/>
          <w:lang w:bidi="ar"/>
        </w:rPr>
        <w:t>本期对“12345”网上服务平台开展代码审计服务，具体内容如下：</w:t>
      </w:r>
    </w:p>
    <w:p w14:paraId="7B723C33">
      <w:pPr>
        <w:pStyle w:val="10"/>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color w:val="auto"/>
          <w:szCs w:val="24"/>
        </w:rPr>
      </w:pPr>
      <w:r>
        <w:rPr>
          <w:rFonts w:hint="eastAsia" w:ascii="宋体" w:hAnsi="宋体" w:eastAsia="宋体" w:cs="宋体"/>
          <w:b/>
          <w:bCs/>
          <w:color w:val="auto"/>
          <w:szCs w:val="24"/>
          <w:lang w:val="en-US" w:eastAsia="zh-CN" w:bidi="ar"/>
        </w:rPr>
        <w:t>1、</w:t>
      </w:r>
      <w:r>
        <w:rPr>
          <w:rFonts w:hint="eastAsia" w:ascii="宋体" w:hAnsi="宋体" w:eastAsia="宋体" w:cs="宋体"/>
          <w:b/>
          <w:bCs/>
          <w:color w:val="auto"/>
          <w:szCs w:val="24"/>
          <w:lang w:bidi="ar"/>
        </w:rPr>
        <w:t>审计环境部署：</w:t>
      </w:r>
      <w:r>
        <w:rPr>
          <w:rFonts w:hint="eastAsia" w:ascii="宋体" w:hAnsi="宋体" w:eastAsia="宋体" w:cs="宋体"/>
          <w:color w:val="auto"/>
          <w:szCs w:val="24"/>
          <w:lang w:bidi="ar"/>
        </w:rPr>
        <w:t>静态代码审计只需部署分析环境，无须部署代码运行环境，同时需要提供源代码，可进行现场审计，亦可实施异地审计。动态代码审计需提供与生产环境类似的功能齐全的应用运行环境（缺失的功能将无法被审计），以现场审计为主，远程协助为辅。</w:t>
      </w:r>
    </w:p>
    <w:p w14:paraId="791FAEE7">
      <w:pPr>
        <w:pStyle w:val="10"/>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color w:val="auto"/>
          <w:szCs w:val="24"/>
        </w:rPr>
      </w:pPr>
      <w:r>
        <w:rPr>
          <w:rFonts w:hint="eastAsia" w:ascii="宋体" w:hAnsi="宋体" w:eastAsia="宋体" w:cs="宋体"/>
          <w:b/>
          <w:bCs/>
          <w:color w:val="auto"/>
          <w:szCs w:val="24"/>
          <w:lang w:val="en-US" w:eastAsia="zh-CN" w:bidi="ar"/>
        </w:rPr>
        <w:t>2、</w:t>
      </w:r>
      <w:r>
        <w:rPr>
          <w:rFonts w:hint="eastAsia" w:ascii="宋体" w:hAnsi="宋体" w:eastAsia="宋体" w:cs="宋体"/>
          <w:b/>
          <w:bCs/>
          <w:color w:val="auto"/>
          <w:szCs w:val="24"/>
          <w:lang w:bidi="ar"/>
        </w:rPr>
        <w:t>静态代码审计：</w:t>
      </w:r>
      <w:r>
        <w:rPr>
          <w:rFonts w:hint="eastAsia" w:ascii="宋体" w:hAnsi="宋体" w:eastAsia="宋体" w:cs="宋体"/>
          <w:color w:val="auto"/>
          <w:szCs w:val="24"/>
          <w:lang w:bidi="ar"/>
        </w:rPr>
        <w:t>采用自动静态分析技术扫描某个应用程序的源代码，通过甄别和定位可能存在的薄弱环节数量，以验证该应用程序存在的风险。</w:t>
      </w:r>
    </w:p>
    <w:p w14:paraId="3BAB04FA">
      <w:pPr>
        <w:pStyle w:val="10"/>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color w:val="auto"/>
          <w:szCs w:val="24"/>
        </w:rPr>
      </w:pPr>
      <w:r>
        <w:rPr>
          <w:rFonts w:hint="eastAsia" w:ascii="宋体" w:hAnsi="宋体" w:eastAsia="宋体" w:cs="宋体"/>
          <w:b/>
          <w:bCs/>
          <w:color w:val="auto"/>
          <w:szCs w:val="24"/>
          <w:lang w:val="en-US" w:eastAsia="zh-CN" w:bidi="ar"/>
        </w:rPr>
        <w:t>3、</w:t>
      </w:r>
      <w:r>
        <w:rPr>
          <w:rFonts w:hint="eastAsia" w:ascii="宋体" w:hAnsi="宋体" w:eastAsia="宋体" w:cs="宋体"/>
          <w:b/>
          <w:bCs/>
          <w:color w:val="auto"/>
          <w:szCs w:val="24"/>
          <w:lang w:bidi="ar"/>
        </w:rPr>
        <w:t>动态代码审计：</w:t>
      </w:r>
      <w:r>
        <w:rPr>
          <w:rFonts w:hint="eastAsia" w:ascii="宋体" w:hAnsi="宋体" w:eastAsia="宋体" w:cs="宋体"/>
          <w:color w:val="auto"/>
          <w:szCs w:val="24"/>
          <w:lang w:bidi="ar"/>
        </w:rPr>
        <w:t>对于无法提供源代码的系统，通过在应用程序的字节码中动态插桩检测“探针”，获取应用程序各种运行时的上下文信息，在应用程序运行的同时，实时分析程序的安全弱点。</w:t>
      </w:r>
    </w:p>
    <w:p w14:paraId="324226D0">
      <w:pPr>
        <w:pStyle w:val="10"/>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color w:val="auto"/>
          <w:szCs w:val="24"/>
        </w:rPr>
      </w:pPr>
      <w:r>
        <w:rPr>
          <w:rFonts w:hint="eastAsia" w:ascii="宋体" w:hAnsi="宋体" w:eastAsia="宋体" w:cs="宋体"/>
          <w:b/>
          <w:bCs/>
          <w:color w:val="auto"/>
          <w:szCs w:val="24"/>
          <w:lang w:val="en-US" w:eastAsia="zh-CN" w:bidi="ar"/>
        </w:rPr>
        <w:t>4、</w:t>
      </w:r>
      <w:r>
        <w:rPr>
          <w:rFonts w:hint="eastAsia" w:ascii="宋体" w:hAnsi="宋体" w:eastAsia="宋体" w:cs="宋体"/>
          <w:b/>
          <w:bCs/>
          <w:color w:val="auto"/>
          <w:szCs w:val="24"/>
          <w:lang w:bidi="ar"/>
        </w:rPr>
        <w:t>人工验证：</w:t>
      </w:r>
      <w:r>
        <w:rPr>
          <w:rFonts w:hint="eastAsia" w:ascii="宋体" w:hAnsi="宋体" w:eastAsia="宋体" w:cs="宋体"/>
          <w:color w:val="auto"/>
          <w:szCs w:val="24"/>
          <w:lang w:bidi="ar"/>
        </w:rPr>
        <w:t>针对审计结果，进行人工验证，剔除误报，客观和全面地发现软件系统自身的安全隐患。</w:t>
      </w:r>
    </w:p>
    <w:p w14:paraId="4B86B23F">
      <w:pPr>
        <w:pStyle w:val="10"/>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szCs w:val="24"/>
        </w:rPr>
      </w:pPr>
      <w:r>
        <w:rPr>
          <w:rFonts w:hint="eastAsia" w:ascii="宋体" w:hAnsi="宋体" w:eastAsia="宋体" w:cs="宋体"/>
          <w:color w:val="auto"/>
          <w:szCs w:val="24"/>
          <w:lang w:bidi="ar"/>
        </w:rPr>
        <w:t xml:space="preserve">具体代码审计服务说明如下表所示： </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828"/>
        <w:gridCol w:w="3676"/>
        <w:gridCol w:w="1514"/>
        <w:gridCol w:w="914"/>
        <w:gridCol w:w="915"/>
      </w:tblGrid>
      <w:tr w14:paraId="3DF33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33BAFB27">
            <w:pPr>
              <w:widowControl w:val="0"/>
              <w:wordWrap/>
              <w:overflowPunct/>
              <w:topLinePunct w:val="0"/>
              <w:bidi w:val="0"/>
              <w:spacing w:line="574" w:lineRule="atLeast"/>
              <w:ind w:right="218" w:rightChars="104"/>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序号</w:t>
            </w:r>
          </w:p>
        </w:tc>
        <w:tc>
          <w:tcPr>
            <w:tcW w:w="627"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69456742">
            <w:pPr>
              <w:widowControl w:val="0"/>
              <w:wordWrap/>
              <w:overflowPunct/>
              <w:topLinePunct w:val="0"/>
              <w:bidi w:val="0"/>
              <w:spacing w:line="574" w:lineRule="atLeast"/>
              <w:ind w:right="218" w:rightChars="104"/>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服务内容</w:t>
            </w:r>
          </w:p>
        </w:tc>
        <w:tc>
          <w:tcPr>
            <w:tcW w:w="2297"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B7B3753">
            <w:pPr>
              <w:widowControl w:val="0"/>
              <w:wordWrap/>
              <w:overflowPunct/>
              <w:topLinePunct w:val="0"/>
              <w:bidi w:val="0"/>
              <w:spacing w:line="574" w:lineRule="atLeast"/>
              <w:ind w:right="218" w:rightChars="104" w:firstLine="241" w:firstLineChars="100"/>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服务说明</w:t>
            </w:r>
          </w:p>
        </w:tc>
        <w:tc>
          <w:tcPr>
            <w:tcW w:w="652"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97574D6">
            <w:pPr>
              <w:widowControl w:val="0"/>
              <w:wordWrap/>
              <w:overflowPunct/>
              <w:topLinePunct w:val="0"/>
              <w:bidi w:val="0"/>
              <w:spacing w:line="574" w:lineRule="atLeast"/>
              <w:ind w:right="218" w:rightChars="104"/>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服务对象</w:t>
            </w:r>
          </w:p>
        </w:tc>
        <w:tc>
          <w:tcPr>
            <w:tcW w:w="558"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3C5C8D4">
            <w:pPr>
              <w:widowControl w:val="0"/>
              <w:wordWrap/>
              <w:overflowPunct/>
              <w:topLinePunct w:val="0"/>
              <w:bidi w:val="0"/>
              <w:spacing w:line="574" w:lineRule="atLeast"/>
              <w:ind w:right="218" w:rightChars="104"/>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服务频率</w:t>
            </w:r>
          </w:p>
        </w:tc>
        <w:tc>
          <w:tcPr>
            <w:tcW w:w="492"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7EABF6F4">
            <w:pPr>
              <w:widowControl w:val="0"/>
              <w:wordWrap/>
              <w:overflowPunct/>
              <w:topLinePunct w:val="0"/>
              <w:bidi w:val="0"/>
              <w:spacing w:line="574" w:lineRule="atLeast"/>
              <w:ind w:right="218" w:rightChars="104"/>
              <w:jc w:val="both"/>
              <w:rPr>
                <w:rFonts w:ascii="宋体" w:hAnsi="宋体" w:eastAsia="宋体" w:cs="宋体"/>
                <w:b/>
                <w:color w:val="auto"/>
                <w:kern w:val="2"/>
                <w:sz w:val="24"/>
                <w:szCs w:val="24"/>
              </w:rPr>
            </w:pPr>
            <w:r>
              <w:rPr>
                <w:rFonts w:hint="eastAsia" w:ascii="宋体" w:hAnsi="宋体" w:eastAsia="宋体" w:cs="宋体"/>
                <w:b/>
                <w:color w:val="auto"/>
                <w:kern w:val="2"/>
                <w:sz w:val="24"/>
                <w:szCs w:val="24"/>
                <w:lang w:bidi="ar"/>
              </w:rPr>
              <w:t>服务类型</w:t>
            </w:r>
          </w:p>
        </w:tc>
      </w:tr>
      <w:tr w14:paraId="29B1A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9B01B">
            <w:pPr>
              <w:widowControl w:val="0"/>
              <w:wordWrap/>
              <w:overflowPunct/>
              <w:topLinePunct w:val="0"/>
              <w:bidi w:val="0"/>
              <w:spacing w:line="574" w:lineRule="atLeast"/>
              <w:ind w:right="218" w:rightChars="104"/>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21D4">
            <w:pPr>
              <w:widowControl w:val="0"/>
              <w:wordWrap/>
              <w:overflowPunct/>
              <w:topLinePunct w:val="0"/>
              <w:bidi w:val="0"/>
              <w:spacing w:line="574" w:lineRule="atLeast"/>
              <w:ind w:right="218" w:rightChars="104"/>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代码审计服务</w:t>
            </w:r>
          </w:p>
        </w:tc>
        <w:tc>
          <w:tcPr>
            <w:tcW w:w="2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9C17">
            <w:pPr>
              <w:pStyle w:val="13"/>
              <w:widowControl w:val="0"/>
              <w:numPr>
                <w:ilvl w:val="0"/>
                <w:numId w:val="4"/>
              </w:numPr>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采用自动静态分析技术扫描某个应用程序的源代码，通过甄别和定位可能存在的薄弱环节数量，以验证该应用程序存在的风险；</w:t>
            </w:r>
          </w:p>
          <w:p w14:paraId="21E7CD5B">
            <w:pPr>
              <w:pStyle w:val="13"/>
              <w:widowControl w:val="0"/>
              <w:numPr>
                <w:ilvl w:val="0"/>
                <w:numId w:val="4"/>
              </w:numPr>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对于无法提供源代码的系统，通过在应用程序的字节码中动态插桩检测“探针”，获取应用程序各种运行时的上下文信息，在应用程序运行的同时，实时分析程序的安全弱点；</w:t>
            </w:r>
          </w:p>
          <w:p w14:paraId="0D53669C">
            <w:pPr>
              <w:pStyle w:val="13"/>
              <w:widowControl w:val="0"/>
              <w:numPr>
                <w:ilvl w:val="0"/>
                <w:numId w:val="4"/>
              </w:numPr>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协针对审计结果，进行人工验证，剔除误报，客观和全面地发现软件系统自身的安全隐患，出具代码审计报告；</w:t>
            </w:r>
          </w:p>
          <w:p w14:paraId="7D659954">
            <w:pPr>
              <w:pStyle w:val="13"/>
              <w:widowControl w:val="0"/>
              <w:numPr>
                <w:ilvl w:val="0"/>
                <w:numId w:val="4"/>
              </w:numPr>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在代码风险整改后提供一次审计复核服务。</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6167">
            <w:pPr>
              <w:widowControl w:val="0"/>
              <w:wordWrap/>
              <w:overflowPunct/>
              <w:topLinePunct w:val="0"/>
              <w:bidi w:val="0"/>
              <w:spacing w:line="574" w:lineRule="atLeast"/>
              <w:ind w:right="218" w:rightChars="104"/>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“12345”网上服务平台</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FE156">
            <w:pPr>
              <w:widowControl w:val="0"/>
              <w:wordWrap/>
              <w:overflowPunct/>
              <w:topLinePunct w:val="0"/>
              <w:bidi w:val="0"/>
              <w:spacing w:line="574" w:lineRule="atLeast"/>
              <w:ind w:right="218" w:rightChars="104"/>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单个服务对象单次服务（含一次高危风险整改复核）</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FF37">
            <w:pPr>
              <w:widowControl w:val="0"/>
              <w:wordWrap/>
              <w:overflowPunct/>
              <w:topLinePunct w:val="0"/>
              <w:bidi w:val="0"/>
              <w:spacing w:line="574" w:lineRule="atLeast"/>
              <w:ind w:right="218" w:rightChars="104"/>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现场服务、远程服务</w:t>
            </w:r>
          </w:p>
        </w:tc>
      </w:tr>
    </w:tbl>
    <w:p w14:paraId="4FE959D9">
      <w:pPr>
        <w:widowControl w:val="0"/>
        <w:wordWrap/>
        <w:overflowPunct/>
        <w:topLinePunct w:val="0"/>
        <w:bidi w:val="0"/>
        <w:spacing w:line="574" w:lineRule="atLeast"/>
        <w:ind w:left="0" w:leftChars="0" w:right="218" w:rightChars="104" w:firstLine="420" w:firstLineChars="200"/>
        <w:rPr>
          <w:rFonts w:ascii="宋体" w:hAnsi="宋体" w:eastAsia="宋体" w:cs="宋体"/>
          <w:color w:val="auto"/>
        </w:rPr>
      </w:pPr>
    </w:p>
    <w:p w14:paraId="6E3F02F8">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代码审计的总体目标是需根据《海南省政务信息化项目建设管理实施细则（暂行）》要求，对本项目的建设开展1轮代码审计服务。通过静态分析程序源代码，找出代码中存在的安全性问题；而模糊测试则需要将测试代码执行起来，然后通过构造各种类型的数据来判断代码对数据的处理是否正常，以发现代码中存在的安全性问题。</w:t>
      </w:r>
    </w:p>
    <w:p w14:paraId="0AD06571">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代码审计服务的目的在于充分挖掘和暴露系统的弱点，从而让管理人员了解其系统所面临的威胁。信息安全问题时刻都有新的变化，新的攻击方法层出不穷，攻击者攻击的方向越来越侧重于利用软件本身的安全漏洞，例如SQL注入漏洞、跨站脚本漏洞、CSRF漏洞等，这些漏洞主要由不良的软件架构和不安全的编码产生。</w:t>
      </w:r>
    </w:p>
    <w:p w14:paraId="6868735A">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开展源代码审计能够降低源代码出现的安全漏洞，构建安全的代码，提高源代码的可靠性，提高应用系统自身安全防护能力。源代码安全检测能够帮助开发人员提高源代码的质量，从底层保障应用系统本身的安全，从早期降低应用系统的开发成本。</w:t>
      </w:r>
    </w:p>
    <w:p w14:paraId="0BEF07D3">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代码审计服务主要对象包括并不限于对Windows和Linux等系统环境下的以下语言进行审核：java、C、C#、ASP、PHP、JSP、.NET全面测试。</w:t>
      </w:r>
    </w:p>
    <w:p w14:paraId="3414E5C6">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代码审计服务的主要内容包括但不限于：</w:t>
      </w:r>
    </w:p>
    <w:p w14:paraId="5B990C31">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OWASP WEB TOP 10漏洞</w:t>
      </w:r>
    </w:p>
    <w:p w14:paraId="1248C9A8">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Web应用程序的权限架构</w:t>
      </w:r>
    </w:p>
    <w:p w14:paraId="70865C3D">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Web应用通信安全</w:t>
      </w:r>
    </w:p>
    <w:p w14:paraId="05AD8B0C">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数据库的配置规范</w:t>
      </w:r>
    </w:p>
    <w:p w14:paraId="6668847E">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SQL语句的编写规范</w:t>
      </w:r>
    </w:p>
    <w:p w14:paraId="20BC42AD">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Web应用框架安全性</w:t>
      </w:r>
    </w:p>
    <w:p w14:paraId="49D53AC3">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代码审计参考依据：</w:t>
      </w:r>
    </w:p>
    <w:p w14:paraId="1D9CCAA5">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CVE（Common Vulnerabilities &amp; Exposures）公共漏洞字典表</w:t>
      </w:r>
    </w:p>
    <w:p w14:paraId="47D1378E">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OWASP OWASP_Testing_Guide_v3</w:t>
      </w:r>
    </w:p>
    <w:p w14:paraId="537799AE">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OWASP OWASP_Development_Guide_2005</w:t>
      </w:r>
    </w:p>
    <w:p w14:paraId="6EE1C62E">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OWASP OWASP_Top_10_2010_Chinese_V1.0</w:t>
      </w:r>
    </w:p>
    <w:p w14:paraId="3CA5D4C3">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OWASP Mobile Security Project</w:t>
      </w:r>
    </w:p>
    <w:p w14:paraId="079CB2DD">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信息安全技术 信息安全风险评估规范（GB/T 20984-2007）</w:t>
      </w:r>
    </w:p>
    <w:p w14:paraId="2DD9BB14">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信息技术 信息安全管理实用规则（GB/T 19716-2005）（ISO/IEC 17799:2000）</w:t>
      </w:r>
    </w:p>
    <w:p w14:paraId="5DC56DA2">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信息系统安全风险评估实施指南</w:t>
      </w:r>
    </w:p>
    <w:p w14:paraId="429D83E0">
      <w:pPr>
        <w:pStyle w:val="14"/>
        <w:widowControl w:val="0"/>
        <w:numPr>
          <w:ilvl w:val="0"/>
          <w:numId w:val="0"/>
        </w:numPr>
        <w:wordWrap/>
        <w:overflowPunct/>
        <w:topLinePunct w:val="0"/>
        <w:bidi w:val="0"/>
        <w:spacing w:line="574" w:lineRule="atLeast"/>
        <w:ind w:left="0" w:leftChars="0" w:right="218" w:rightChars="104" w:firstLine="480" w:firstLineChars="200"/>
        <w:rPr>
          <w:rFonts w:ascii="宋体" w:hAnsi="宋体" w:cs="宋体"/>
          <w:color w:val="auto"/>
          <w:sz w:val="32"/>
          <w:szCs w:val="32"/>
        </w:rPr>
      </w:pPr>
      <w:r>
        <w:rPr>
          <w:rFonts w:hint="eastAsia" w:ascii="宋体" w:hAnsi="宋体" w:cs="宋体"/>
          <w:color w:val="auto"/>
          <w:sz w:val="24"/>
          <w:szCs w:val="24"/>
        </w:rPr>
        <w:t>设备、软件厂商公布的漏洞库</w:t>
      </w:r>
    </w:p>
    <w:p w14:paraId="5A390E9C">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二</w:t>
      </w:r>
      <w:r>
        <w:rPr>
          <w:rFonts w:hint="eastAsia"/>
          <w:lang w:eastAsia="zh-CN"/>
        </w:rPr>
        <w:t>）</w:t>
      </w:r>
      <w:r>
        <w:rPr>
          <w:rFonts w:hint="eastAsia"/>
        </w:rPr>
        <w:t>服务流程</w:t>
      </w:r>
    </w:p>
    <w:p w14:paraId="02D94CF0">
      <w:pPr>
        <w:widowControl w:val="0"/>
        <w:wordWrap/>
        <w:overflowPunct/>
        <w:topLinePunct w:val="0"/>
        <w:bidi w:val="0"/>
        <w:spacing w:line="574" w:lineRule="atLeast"/>
        <w:ind w:left="0" w:leftChars="0" w:right="218" w:rightChars="104" w:firstLine="420" w:firstLineChars="200"/>
        <w:jc w:val="center"/>
        <w:rPr>
          <w:rFonts w:ascii="宋体" w:hAnsi="宋体" w:eastAsia="宋体" w:cs="宋体"/>
          <w:color w:val="auto"/>
          <w:szCs w:val="32"/>
        </w:rPr>
      </w:pPr>
      <w:r>
        <w:rPr>
          <w:rFonts w:hint="eastAsia" w:ascii="宋体" w:hAnsi="宋体" w:eastAsia="宋体" w:cs="宋体"/>
          <w:color w:val="auto"/>
          <w:szCs w:val="32"/>
        </w:rPr>
        <w:drawing>
          <wp:inline distT="0" distB="0" distL="114300" distR="114300">
            <wp:extent cx="5271770" cy="2597785"/>
            <wp:effectExtent l="0" t="0" r="5080" b="1206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5271770" cy="2597785"/>
                    </a:xfrm>
                    <a:prstGeom prst="rect">
                      <a:avLst/>
                    </a:prstGeom>
                    <a:noFill/>
                    <a:ln>
                      <a:noFill/>
                    </a:ln>
                  </pic:spPr>
                </pic:pic>
              </a:graphicData>
            </a:graphic>
          </wp:inline>
        </w:drawing>
      </w:r>
    </w:p>
    <w:p w14:paraId="65FCC1DA">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代码审计服务主要分为四个阶段，包括测试前期准备阶段、检测阶段实施、复测阶段实施以及成果汇报阶段：</w:t>
      </w:r>
    </w:p>
    <w:p w14:paraId="46BB0377">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（1）前期准备阶段</w:t>
      </w:r>
    </w:p>
    <w:p w14:paraId="487606CF">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在实施源代码安全检测工作前，负责项目实施的技术人员会和采购方对源代码安全检测服务相关的技术细节进行详细沟通。由此确认源代码安全检测的方案，方案内容主要包括确认的源代码安全检测范围、最终对象、检测要求的时间等内容，采购方签署源代码安全检测授权书。</w:t>
      </w:r>
    </w:p>
    <w:p w14:paraId="7ADC010A">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在测试实施之前，会做到让采购方对安全测试过程和风险的知晓，使随后的正式测试流程都在采购方的控制下。</w:t>
      </w:r>
    </w:p>
    <w:p w14:paraId="4323DA8B">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（2）检测实施阶段</w:t>
      </w:r>
    </w:p>
    <w:p w14:paraId="1ACF279B">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在检测实施过程中，测试人员首先进行环境部署，源代码调试，然后使用专业的代码安全检测工具扫描，完成初步的源代码安全检测测试执行工作。</w:t>
      </w:r>
    </w:p>
    <w:p w14:paraId="73F5A5D0">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然后由人工的方式进行确认和分析，对安全扫描的结果进行检测和验证，从而对源代码安全漏洞进行定级，测试人员需整理源代码安全检测服务的输出结果并编制源代码安全检测报告，最终提交采购方和对报告内容进行沟通。</w:t>
      </w:r>
    </w:p>
    <w:p w14:paraId="54EAE340">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（3）回归测试阶段</w:t>
      </w:r>
    </w:p>
    <w:p w14:paraId="3F565B33">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在经过初次源代码安全检测报告提交和沟通后，等待采购方针对源代码安全检测发现的问题整改或加固。经整改或加固后，测试人员进行回归测试，即二次复测。复测结束后提交给采购方复测报告和对复测结果进行沟通。</w:t>
      </w:r>
    </w:p>
    <w:p w14:paraId="71CC0787">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（4）成果汇报阶段</w:t>
      </w:r>
    </w:p>
    <w:p w14:paraId="1EE60087">
      <w:pPr>
        <w:pStyle w:val="14"/>
        <w:widowControl w:val="0"/>
        <w:wordWrap/>
        <w:overflowPunct/>
        <w:topLinePunct w:val="0"/>
        <w:bidi w:val="0"/>
        <w:spacing w:line="574" w:lineRule="atLeast"/>
        <w:ind w:left="0" w:leftChars="0" w:right="218" w:rightChars="104" w:firstLine="480" w:firstLineChars="200"/>
        <w:rPr>
          <w:rFonts w:ascii="宋体" w:hAnsi="宋体" w:cs="宋体"/>
          <w:color w:val="auto"/>
          <w:sz w:val="24"/>
          <w:szCs w:val="24"/>
        </w:rPr>
      </w:pPr>
      <w:r>
        <w:rPr>
          <w:rFonts w:hint="eastAsia" w:ascii="宋体" w:hAnsi="宋体" w:cs="宋体"/>
          <w:color w:val="auto"/>
          <w:sz w:val="24"/>
          <w:szCs w:val="24"/>
        </w:rPr>
        <w:t>根据初次源代码安全检测和二次复测结果，整理源代码安全检测服务输出成果，代码审计服务交付物资料包括不限于如下内容：</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5662"/>
        <w:gridCol w:w="1851"/>
      </w:tblGrid>
      <w:tr w14:paraId="0370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pct"/>
            <w:shd w:val="clear" w:color="auto" w:fill="D9E2F3"/>
            <w:vAlign w:val="center"/>
          </w:tcPr>
          <w:p w14:paraId="3577B66F">
            <w:pPr>
              <w:widowControl w:val="0"/>
              <w:wordWrap/>
              <w:overflowPunct/>
              <w:topLinePunct w:val="0"/>
              <w:bidi w:val="0"/>
              <w:spacing w:line="574" w:lineRule="atLeast"/>
              <w:ind w:right="218" w:rightChars="104"/>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322" w:type="pct"/>
            <w:shd w:val="clear" w:color="auto" w:fill="D9E2F3"/>
            <w:vAlign w:val="center"/>
          </w:tcPr>
          <w:p w14:paraId="207B5F4D">
            <w:pPr>
              <w:widowControl w:val="0"/>
              <w:wordWrap/>
              <w:overflowPunct/>
              <w:topLinePunct w:val="0"/>
              <w:bidi w:val="0"/>
              <w:spacing w:line="574" w:lineRule="atLeast"/>
              <w:ind w:left="0" w:leftChars="0" w:right="218" w:rightChars="104" w:firstLine="482" w:firstLineChars="200"/>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086" w:type="pct"/>
            <w:shd w:val="clear" w:color="auto" w:fill="D9E2F3"/>
            <w:vAlign w:val="center"/>
          </w:tcPr>
          <w:p w14:paraId="47F3AAB5">
            <w:pPr>
              <w:widowControl w:val="0"/>
              <w:wordWrap/>
              <w:overflowPunct/>
              <w:topLinePunct w:val="0"/>
              <w:bidi w:val="0"/>
              <w:spacing w:line="574" w:lineRule="atLeast"/>
              <w:ind w:left="0" w:leftChars="0" w:right="218" w:rightChars="104" w:firstLine="482" w:firstLineChars="200"/>
              <w:jc w:val="center"/>
              <w:rPr>
                <w:rFonts w:ascii="宋体" w:hAnsi="宋体" w:eastAsia="宋体" w:cs="宋体"/>
                <w:b/>
                <w:bCs/>
                <w:color w:val="auto"/>
                <w:sz w:val="24"/>
                <w:szCs w:val="24"/>
              </w:rPr>
            </w:pPr>
            <w:r>
              <w:rPr>
                <w:rFonts w:hint="eastAsia" w:ascii="宋体" w:hAnsi="宋体" w:eastAsia="宋体" w:cs="宋体"/>
                <w:b/>
                <w:bCs/>
                <w:color w:val="auto"/>
                <w:sz w:val="24"/>
                <w:szCs w:val="24"/>
              </w:rPr>
              <w:t>输出时间</w:t>
            </w:r>
          </w:p>
        </w:tc>
      </w:tr>
      <w:tr w14:paraId="2C60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pct"/>
            <w:vAlign w:val="center"/>
          </w:tcPr>
          <w:p w14:paraId="6B401D3B">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322" w:type="pct"/>
            <w:vAlign w:val="center"/>
          </w:tcPr>
          <w:p w14:paraId="0DB9FCAE">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《代码审计服务方案》</w:t>
            </w:r>
          </w:p>
        </w:tc>
        <w:tc>
          <w:tcPr>
            <w:tcW w:w="1086" w:type="pct"/>
            <w:vAlign w:val="center"/>
          </w:tcPr>
          <w:p w14:paraId="0027AD42">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启动阶段</w:t>
            </w:r>
          </w:p>
        </w:tc>
      </w:tr>
      <w:tr w14:paraId="32B1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pct"/>
            <w:vAlign w:val="center"/>
          </w:tcPr>
          <w:p w14:paraId="66F91795">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3322" w:type="pct"/>
            <w:vAlign w:val="center"/>
          </w:tcPr>
          <w:p w14:paraId="688D1BC5">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《源代码缺陷分析报告》</w:t>
            </w:r>
          </w:p>
        </w:tc>
        <w:tc>
          <w:tcPr>
            <w:tcW w:w="1086" w:type="pct"/>
            <w:vAlign w:val="center"/>
          </w:tcPr>
          <w:p w14:paraId="14670833">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执行阶段</w:t>
            </w:r>
          </w:p>
        </w:tc>
      </w:tr>
      <w:tr w14:paraId="6212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pct"/>
            <w:vAlign w:val="center"/>
          </w:tcPr>
          <w:p w14:paraId="24FBA17E">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3322" w:type="pct"/>
            <w:vAlign w:val="center"/>
          </w:tcPr>
          <w:p w14:paraId="78D756E9">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《源代码缺陷溯源分析报告》</w:t>
            </w:r>
          </w:p>
        </w:tc>
        <w:tc>
          <w:tcPr>
            <w:tcW w:w="1086" w:type="pct"/>
            <w:vAlign w:val="center"/>
          </w:tcPr>
          <w:p w14:paraId="1B5DC85E">
            <w:pPr>
              <w:widowControl w:val="0"/>
              <w:wordWrap/>
              <w:overflowPunct/>
              <w:topLinePunct w:val="0"/>
              <w:bidi w:val="0"/>
              <w:spacing w:line="574" w:lineRule="atLeast"/>
              <w:ind w:left="0" w:leftChars="0" w:right="218" w:rightChars="104"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执行阶段</w:t>
            </w:r>
          </w:p>
        </w:tc>
      </w:tr>
    </w:tbl>
    <w:p w14:paraId="5B39A6DF">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三</w:t>
      </w:r>
      <w:r>
        <w:rPr>
          <w:rFonts w:hint="eastAsia"/>
          <w:lang w:eastAsia="zh-CN"/>
        </w:rPr>
        <w:t>）</w:t>
      </w:r>
      <w:r>
        <w:rPr>
          <w:rFonts w:hint="eastAsia"/>
        </w:rPr>
        <w:t>交付成果</w:t>
      </w:r>
    </w:p>
    <w:p w14:paraId="03DD776F">
      <w:pPr>
        <w:widowControl w:val="0"/>
        <w:tabs>
          <w:tab w:val="left" w:pos="312"/>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《代码审计服务方案》《源代码缺陷分析报告》《源代码缺陷溯源分析报告》</w:t>
      </w:r>
    </w:p>
    <w:p w14:paraId="34033AD3">
      <w:pPr>
        <w:widowControl w:val="0"/>
        <w:tabs>
          <w:tab w:val="left" w:pos="312"/>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服务过程材料，包括但不限于调研表、技术测评记录、会议纪要等。</w:t>
      </w:r>
    </w:p>
    <w:p w14:paraId="19E72C33">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四</w:t>
      </w:r>
      <w:r>
        <w:rPr>
          <w:rFonts w:hint="eastAsia"/>
          <w:lang w:eastAsia="zh-CN"/>
        </w:rPr>
        <w:t>）</w:t>
      </w:r>
      <w:r>
        <w:rPr>
          <w:rFonts w:hint="eastAsia"/>
        </w:rPr>
        <w:fldChar w:fldCharType="begin"/>
      </w:r>
      <w:r>
        <w:rPr>
          <w:rFonts w:hint="eastAsia"/>
        </w:rPr>
        <w:instrText xml:space="preserve"> DOCVARIABLE  技术要求开始  \* MERGEFORMAT </w:instrText>
      </w:r>
      <w:r>
        <w:rPr>
          <w:rFonts w:hint="eastAsia"/>
        </w:rPr>
        <w:fldChar w:fldCharType="end"/>
      </w:r>
      <w:r>
        <w:rPr>
          <w:rFonts w:hint="eastAsia"/>
        </w:rPr>
        <w:t>验收要求</w:t>
      </w:r>
    </w:p>
    <w:p w14:paraId="39B43BD7">
      <w:pPr>
        <w:widowControl w:val="0"/>
        <w:wordWrap/>
        <w:overflowPunct/>
        <w:topLinePunct w:val="0"/>
        <w:bidi w:val="0"/>
        <w:spacing w:line="574" w:lineRule="atLeast"/>
        <w:ind w:left="0" w:leftChars="0" w:right="218" w:rightChars="104" w:firstLine="480" w:firstLineChars="200"/>
        <w:jc w:val="both"/>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服务单位应根据整体工作计划和安排完成软件测试、代码审计服务工作，交付代码审计报告和软件测试报告等文件，并通过海南省信息化主管部门对“12345”网上服务平台项目的竣工验收。</w:t>
      </w:r>
    </w:p>
    <w:p w14:paraId="1E669D5C">
      <w:pPr>
        <w:pStyle w:val="3"/>
        <w:widowControl w:val="0"/>
        <w:wordWrap/>
        <w:overflowPunct/>
        <w:topLinePunct w:val="0"/>
        <w:bidi w:val="0"/>
        <w:ind w:left="0" w:leftChars="0" w:right="218" w:rightChars="104" w:firstLine="643" w:firstLineChars="200"/>
      </w:pPr>
      <w:r>
        <w:rPr>
          <w:rFonts w:hint="eastAsia"/>
        </w:rPr>
        <w:t>四、项目实施要求</w:t>
      </w:r>
    </w:p>
    <w:p w14:paraId="76AA66BC">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一</w:t>
      </w:r>
      <w:r>
        <w:rPr>
          <w:rFonts w:hint="eastAsia"/>
          <w:lang w:eastAsia="zh-CN"/>
        </w:rPr>
        <w:t>）</w:t>
      </w:r>
      <w:r>
        <w:rPr>
          <w:rFonts w:hint="eastAsia"/>
        </w:rPr>
        <w:t>项目进度要求</w:t>
      </w:r>
    </w:p>
    <w:p w14:paraId="6DBFC291">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服务期：</w:t>
      </w:r>
      <w:r>
        <w:rPr>
          <w:rFonts w:hint="eastAsia" w:ascii="宋体" w:hAnsi="宋体" w:eastAsia="宋体" w:cs="宋体"/>
          <w:color w:val="auto"/>
          <w:sz w:val="24"/>
          <w:szCs w:val="24"/>
        </w:rPr>
        <w:t>本项目服务周期自签订合同之日起，至建设项目完成竣工验收，按照采购需求相关要求提供服务。</w:t>
      </w:r>
    </w:p>
    <w:p w14:paraId="4261E569">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服务地点：采购人指定地点。</w:t>
      </w:r>
    </w:p>
    <w:p w14:paraId="41A17621">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二</w:t>
      </w:r>
      <w:r>
        <w:rPr>
          <w:rFonts w:hint="eastAsia"/>
          <w:lang w:eastAsia="zh-CN"/>
        </w:rPr>
        <w:t>）</w:t>
      </w:r>
      <w:r>
        <w:rPr>
          <w:rFonts w:hint="eastAsia"/>
        </w:rPr>
        <w:t>项目实施组织管理要求</w:t>
      </w:r>
    </w:p>
    <w:p w14:paraId="67F6757E">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项目实施过程中，投标人应遵循国家标准、行业标准。在项目实施中中标方须做到:</w:t>
      </w:r>
    </w:p>
    <w:p w14:paraId="72CCAB44">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w:t>
      </w:r>
      <w:r>
        <w:rPr>
          <w:rFonts w:hint="eastAsia" w:ascii="宋体" w:hAnsi="宋体" w:eastAsia="宋体" w:cs="宋体"/>
          <w:color w:val="auto"/>
          <w:kern w:val="2"/>
          <w:sz w:val="24"/>
          <w:szCs w:val="24"/>
          <w:lang w:bidi="ar"/>
        </w:rPr>
        <w:t>按照公安部对测评机构管理的规定和要求，测评项目现场实施的人员必须是本机构的持证测评师，而且测评项目不允许分包或转包，中标方一旦出现上述违规情况采购人有权解除合同并追究其法律责任。</w:t>
      </w:r>
    </w:p>
    <w:p w14:paraId="5050C774">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w:t>
      </w:r>
      <w:r>
        <w:rPr>
          <w:rFonts w:hint="eastAsia" w:ascii="宋体" w:hAnsi="宋体" w:eastAsia="宋体" w:cs="宋体"/>
          <w:color w:val="auto"/>
          <w:kern w:val="2"/>
          <w:sz w:val="24"/>
          <w:szCs w:val="24"/>
          <w:lang w:bidi="ar"/>
        </w:rPr>
        <w:t>中标单位必须确保能建立一支具有一定服务能力的管理团队，组建1个测评实施小组，小组不少于3人。项目实施期间，小组驻场人员至少1人，并合理调配各岗位人员，保障服务工作相关岗位人员需要。</w:t>
      </w:r>
    </w:p>
    <w:p w14:paraId="45587BD9">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3</w:t>
      </w:r>
      <w:r>
        <w:rPr>
          <w:rFonts w:hint="eastAsia" w:ascii="宋体" w:hAnsi="宋体" w:eastAsia="宋体" w:cs="宋体"/>
          <w:color w:val="auto"/>
          <w:kern w:val="2"/>
          <w:sz w:val="24"/>
          <w:szCs w:val="24"/>
          <w:lang w:eastAsia="zh-CN" w:bidi="ar"/>
        </w:rPr>
        <w:t>、</w:t>
      </w:r>
      <w:r>
        <w:rPr>
          <w:rFonts w:hint="eastAsia" w:ascii="宋体" w:hAnsi="宋体" w:eastAsia="宋体" w:cs="宋体"/>
          <w:color w:val="auto"/>
          <w:kern w:val="2"/>
          <w:sz w:val="24"/>
          <w:szCs w:val="24"/>
          <w:lang w:bidi="ar"/>
        </w:rPr>
        <w:t>为避免在服务过程中出现不可控安全风险事件，中标方需建立应急响应机制，在海南省提供有不少于4名应急保障人员，当发生安全风险事件情况下，中标方的应急保障人员应在2小时内抵达现场提供技术支持。</w:t>
      </w:r>
    </w:p>
    <w:p w14:paraId="62AA1E0A">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三</w:t>
      </w:r>
      <w:r>
        <w:rPr>
          <w:rFonts w:hint="eastAsia"/>
          <w:lang w:eastAsia="zh-CN"/>
        </w:rPr>
        <w:t>）</w:t>
      </w:r>
      <w:r>
        <w:rPr>
          <w:rFonts w:hint="eastAsia"/>
        </w:rPr>
        <w:t>项目验收要求</w:t>
      </w:r>
    </w:p>
    <w:p w14:paraId="1F91DA41">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中标人必须提供给业主详细的项目验收方案。</w:t>
      </w:r>
    </w:p>
    <w:p w14:paraId="1D8B5651">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1、</w:t>
      </w:r>
      <w:r>
        <w:rPr>
          <w:rFonts w:hint="eastAsia" w:ascii="宋体" w:hAnsi="宋体" w:eastAsia="宋体" w:cs="宋体"/>
          <w:b/>
          <w:bCs/>
          <w:color w:val="auto"/>
          <w:kern w:val="2"/>
          <w:sz w:val="24"/>
          <w:szCs w:val="24"/>
          <w:lang w:bidi="ar"/>
        </w:rPr>
        <w:t>验收组织</w:t>
      </w:r>
    </w:p>
    <w:p w14:paraId="0BE9CCFE">
      <w:pPr>
        <w:widowControl w:val="0"/>
        <w:wordWrap/>
        <w:overflowPunct/>
        <w:topLinePunct w:val="0"/>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成立由业主、中标人以及其他有关人员组成的验收小组，负责对项目进行全面的验收。</w:t>
      </w:r>
    </w:p>
    <w:p w14:paraId="7D604C9B">
      <w:pPr>
        <w:widowControl w:val="0"/>
        <w:numPr>
          <w:ilvl w:val="0"/>
          <w:numId w:val="0"/>
        </w:numPr>
        <w:wordWrap/>
        <w:overflowPunct/>
        <w:topLinePunct w:val="0"/>
        <w:bidi w:val="0"/>
        <w:spacing w:line="574" w:lineRule="atLeast"/>
        <w:ind w:left="0" w:leftChars="0" w:right="218" w:rightChars="104" w:firstLine="482" w:firstLineChars="200"/>
        <w:jc w:val="both"/>
        <w:rPr>
          <w:rFonts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2、</w:t>
      </w:r>
      <w:r>
        <w:rPr>
          <w:rFonts w:hint="eastAsia" w:ascii="宋体" w:hAnsi="宋体" w:eastAsia="宋体" w:cs="宋体"/>
          <w:b/>
          <w:bCs/>
          <w:color w:val="auto"/>
          <w:kern w:val="2"/>
          <w:sz w:val="24"/>
          <w:szCs w:val="24"/>
          <w:lang w:bidi="ar"/>
        </w:rPr>
        <w:t>验收标准</w:t>
      </w:r>
    </w:p>
    <w:p w14:paraId="217F9503">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bidi="ar"/>
        </w:rPr>
        <w:t>标准化：项目验收最关键的指标，应确保服务过程符合国家标准规范；</w:t>
      </w:r>
    </w:p>
    <w:p w14:paraId="2EF9CC13">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bidi="ar"/>
        </w:rPr>
        <w:t>2）系统稳定性：在服务过程中应确保软硬件环境的稳定性、运行正常；</w:t>
      </w:r>
    </w:p>
    <w:p w14:paraId="292F654D">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bidi="ar"/>
        </w:rPr>
        <w:t>3）系统文档：验收文档是否齐全、规范、准确、详细；</w:t>
      </w:r>
    </w:p>
    <w:p w14:paraId="7853C3E9">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w:t>
      </w:r>
      <w:r>
        <w:rPr>
          <w:rFonts w:hint="eastAsia" w:ascii="宋体" w:hAnsi="宋体" w:eastAsia="宋体" w:cs="宋体"/>
          <w:color w:val="auto"/>
          <w:kern w:val="2"/>
          <w:sz w:val="24"/>
          <w:szCs w:val="24"/>
          <w:lang w:bidi="ar"/>
        </w:rPr>
        <w:t>系统可操作性：交付成果清晰、通俗易懂。</w:t>
      </w:r>
    </w:p>
    <w:p w14:paraId="238DBC03">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四</w:t>
      </w:r>
      <w:r>
        <w:rPr>
          <w:rFonts w:hint="eastAsia"/>
          <w:lang w:eastAsia="zh-CN"/>
        </w:rPr>
        <w:t>）</w:t>
      </w:r>
      <w:r>
        <w:rPr>
          <w:rFonts w:hint="eastAsia"/>
        </w:rPr>
        <w:t>质量保证要求</w:t>
      </w:r>
    </w:p>
    <w:p w14:paraId="08A9FA37">
      <w:pPr>
        <w:widowControl w:val="0"/>
        <w:wordWrap/>
        <w:overflowPunct/>
        <w:topLinePunct w:val="0"/>
        <w:autoSpaceDN/>
        <w:bidi w:val="0"/>
        <w:spacing w:line="574" w:lineRule="atLeast"/>
        <w:ind w:left="0" w:leftChars="0" w:right="218" w:rightChars="104"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bidi="ar"/>
        </w:rPr>
        <w:t>严守工作秘密。中标单位必须与采购人签署保密协议，参与项目人员签署《保密承诺书》，对知悉的事项及信息予以保密，所有资料、技术文档妥善保管，不得遗失、转借、复印，不得以任何形式向第三方透露；所有密码应用解决方案和采集汇总后的数据严禁通过互联网等公共信息网络、快递等进行传递，严禁在连接互联网计算机上存储、处理。</w:t>
      </w:r>
    </w:p>
    <w:p w14:paraId="289751FB">
      <w:pPr>
        <w:widowControl w:val="0"/>
        <w:wordWrap/>
        <w:overflowPunct/>
        <w:topLinePunct w:val="0"/>
        <w:autoSpaceDN/>
        <w:bidi w:val="0"/>
        <w:spacing w:line="574" w:lineRule="atLeast"/>
        <w:ind w:left="0" w:leftChars="0" w:right="218" w:rightChars="104" w:firstLine="480" w:firstLineChars="200"/>
        <w:jc w:val="both"/>
        <w:outlineLvl w:val="3"/>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w:t>
      </w:r>
      <w:r>
        <w:rPr>
          <w:rFonts w:hint="eastAsia" w:ascii="宋体" w:hAnsi="宋体" w:eastAsia="宋体" w:cs="宋体"/>
          <w:color w:val="auto"/>
          <w:kern w:val="2"/>
          <w:sz w:val="24"/>
          <w:szCs w:val="24"/>
          <w:lang w:bidi="ar"/>
        </w:rPr>
        <w:t>严格遵循操作规程，承担服务工作质量责任。</w:t>
      </w:r>
    </w:p>
    <w:p w14:paraId="4A8EE49B">
      <w:pPr>
        <w:pStyle w:val="3"/>
        <w:widowControl w:val="0"/>
        <w:wordWrap/>
        <w:overflowPunct/>
        <w:topLinePunct w:val="0"/>
        <w:bidi w:val="0"/>
        <w:ind w:left="0" w:leftChars="0" w:right="218" w:rightChars="104" w:firstLine="643" w:firstLineChars="200"/>
      </w:pPr>
      <w:r>
        <w:rPr>
          <w:rFonts w:hint="eastAsia"/>
        </w:rPr>
        <w:t>五、商务要求</w:t>
      </w:r>
    </w:p>
    <w:p w14:paraId="7D822569">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一</w:t>
      </w:r>
      <w:r>
        <w:rPr>
          <w:rFonts w:hint="eastAsia"/>
          <w:lang w:eastAsia="zh-CN"/>
        </w:rPr>
        <w:t>）</w:t>
      </w:r>
      <w:r>
        <w:rPr>
          <w:rFonts w:hint="eastAsia"/>
        </w:rPr>
        <w:t>采购标的所属行业</w:t>
      </w:r>
    </w:p>
    <w:p w14:paraId="3E18485C">
      <w:pPr>
        <w:widowControl w:val="0"/>
        <w:tabs>
          <w:tab w:val="left" w:pos="1280"/>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本次采购标的所属行业为软件和信息技术服务业。</w:t>
      </w:r>
    </w:p>
    <w:p w14:paraId="68693651">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二</w:t>
      </w:r>
      <w:r>
        <w:rPr>
          <w:rFonts w:hint="eastAsia"/>
          <w:lang w:eastAsia="zh-CN"/>
        </w:rPr>
        <w:t>）</w:t>
      </w:r>
      <w:r>
        <w:rPr>
          <w:rFonts w:hint="eastAsia"/>
        </w:rPr>
        <w:t>服务期限</w:t>
      </w:r>
    </w:p>
    <w:p w14:paraId="40E45D02">
      <w:pPr>
        <w:widowControl w:val="0"/>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本项目服务周期自签订合同之日起，至建设项目完成竣工验收，按照采购需求相关要求提供服务。</w:t>
      </w:r>
    </w:p>
    <w:p w14:paraId="3ED6919B">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三</w:t>
      </w:r>
      <w:r>
        <w:rPr>
          <w:rFonts w:hint="eastAsia"/>
          <w:lang w:eastAsia="zh-CN"/>
        </w:rPr>
        <w:t>）</w:t>
      </w:r>
      <w:r>
        <w:rPr>
          <w:rFonts w:hint="eastAsia"/>
        </w:rPr>
        <w:t>实施地点</w:t>
      </w:r>
    </w:p>
    <w:p w14:paraId="38BC7730">
      <w:pPr>
        <w:widowControl w:val="0"/>
        <w:tabs>
          <w:tab w:val="left" w:pos="1280"/>
        </w:tabs>
        <w:wordWrap/>
        <w:overflowPunct/>
        <w:topLinePunct w:val="0"/>
        <w:bidi w:val="0"/>
        <w:spacing w:line="574" w:lineRule="atLeast"/>
        <w:ind w:left="0" w:leftChars="0" w:right="218" w:rightChars="104" w:firstLine="480" w:firstLineChars="200"/>
        <w:rPr>
          <w:rFonts w:ascii="宋体" w:hAnsi="宋体" w:eastAsia="宋体" w:cs="宋体"/>
          <w:sz w:val="24"/>
          <w:szCs w:val="24"/>
        </w:rPr>
      </w:pPr>
      <w:r>
        <w:rPr>
          <w:rFonts w:hint="eastAsia" w:ascii="宋体" w:hAnsi="宋体" w:eastAsia="宋体" w:cs="宋体"/>
          <w:color w:val="auto"/>
          <w:sz w:val="24"/>
          <w:szCs w:val="24"/>
        </w:rPr>
        <w:t>采购人指定地点（海南省内）。</w:t>
      </w:r>
    </w:p>
    <w:p w14:paraId="54074BA0">
      <w:pPr>
        <w:pStyle w:val="4"/>
        <w:widowControl w:val="0"/>
        <w:wordWrap/>
        <w:overflowPunct/>
        <w:topLinePunct w:val="0"/>
        <w:bidi w:val="0"/>
        <w:ind w:left="0" w:leftChars="0" w:right="218" w:rightChars="104" w:firstLine="482" w:firstLineChars="200"/>
      </w:pPr>
      <w:r>
        <w:rPr>
          <w:rFonts w:hint="eastAsia"/>
          <w:lang w:eastAsia="zh-CN"/>
        </w:rPr>
        <w:t>（</w:t>
      </w:r>
      <w:r>
        <w:rPr>
          <w:rFonts w:hint="eastAsia"/>
          <w:lang w:val="en-US" w:eastAsia="zh-CN"/>
        </w:rPr>
        <w:t>四</w:t>
      </w:r>
      <w:r>
        <w:rPr>
          <w:rFonts w:hint="eastAsia"/>
          <w:lang w:eastAsia="zh-CN"/>
        </w:rPr>
        <w:t>）</w:t>
      </w:r>
      <w:r>
        <w:rPr>
          <w:rFonts w:hint="eastAsia"/>
        </w:rPr>
        <w:t>其它相关要求</w:t>
      </w:r>
    </w:p>
    <w:p w14:paraId="3A2F8F52">
      <w:pPr>
        <w:pStyle w:val="9"/>
        <w:widowControl w:val="0"/>
        <w:numPr>
          <w:ilvl w:val="3"/>
          <w:numId w:val="0"/>
        </w:numPr>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cs="宋体"/>
          <w:color w:val="auto"/>
          <w:sz w:val="24"/>
          <w:szCs w:val="24"/>
          <w:lang w:val="en-US" w:eastAsia="zh-CN"/>
        </w:rPr>
        <w:t>1、</w:t>
      </w:r>
      <w:r>
        <w:rPr>
          <w:rFonts w:hint="eastAsia" w:ascii="宋体" w:hAnsi="宋体" w:eastAsia="宋体" w:cs="宋体"/>
          <w:color w:val="auto"/>
          <w:sz w:val="24"/>
          <w:szCs w:val="24"/>
        </w:rPr>
        <w:t>项目组人员要求</w:t>
      </w:r>
    </w:p>
    <w:p w14:paraId="3AF91671">
      <w:pPr>
        <w:widowControl w:val="0"/>
        <w:tabs>
          <w:tab w:val="left" w:pos="312"/>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zh-CN" w:bidi="zh-CN"/>
        </w:rPr>
        <w:t>服务单位须根据项目特点和实际情况，提出项目团队配置方案，包括团队成员、组织架构和分组分工等，满足项目服务实施的需要。</w:t>
      </w:r>
    </w:p>
    <w:p w14:paraId="1C8A916C">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2）项目团队成员应不少于1名项目经理、3名项目团队人员。项目经理具有至少3年以上第三方软件测试服务项目管理经验；其中，本项目成员至少有2人具备软件测评中级测评师资格且至少1年以上的软件测评工作经验,1人</w:t>
      </w:r>
      <w:r>
        <w:rPr>
          <w:rFonts w:hint="eastAsia" w:eastAsia="宋体" w:cs="宋体"/>
          <w:color w:val="auto"/>
          <w:sz w:val="24"/>
          <w:szCs w:val="24"/>
          <w:lang w:val="zh-CN" w:bidi="zh-CN"/>
        </w:rPr>
        <w:t>具备信息安全相关资格证书</w:t>
      </w:r>
      <w:r>
        <w:rPr>
          <w:rFonts w:hint="eastAsia" w:eastAsia="宋体" w:cs="宋体"/>
          <w:color w:val="auto"/>
          <w:sz w:val="24"/>
          <w:szCs w:val="24"/>
          <w:lang w:bidi="zh-CN"/>
        </w:rPr>
        <w:t>且</w:t>
      </w:r>
      <w:r>
        <w:rPr>
          <w:rFonts w:hint="eastAsia" w:eastAsia="宋体" w:cs="宋体"/>
          <w:color w:val="auto"/>
          <w:sz w:val="24"/>
          <w:szCs w:val="24"/>
          <w:lang w:val="zh-CN" w:bidi="zh-CN"/>
        </w:rPr>
        <w:t>至少1年或以上的工作经验</w:t>
      </w:r>
      <w:r>
        <w:rPr>
          <w:rFonts w:hint="eastAsia" w:eastAsia="宋体" w:cs="宋体"/>
          <w:color w:val="auto"/>
          <w:sz w:val="24"/>
          <w:szCs w:val="24"/>
        </w:rPr>
        <w:t>。</w:t>
      </w:r>
    </w:p>
    <w:p w14:paraId="708FF5D5">
      <w:pPr>
        <w:widowControl w:val="0"/>
        <w:tabs>
          <w:tab w:val="left" w:pos="312"/>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lang w:val="zh-CN" w:bidi="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sz w:val="24"/>
          <w:szCs w:val="24"/>
          <w:lang w:bidi="zh-CN"/>
        </w:rPr>
        <w:t>3）</w:t>
      </w:r>
      <w:r>
        <w:rPr>
          <w:rFonts w:hint="eastAsia" w:ascii="宋体" w:hAnsi="宋体" w:eastAsia="宋体" w:cs="宋体"/>
          <w:color w:val="auto"/>
          <w:sz w:val="24"/>
          <w:szCs w:val="24"/>
          <w:lang w:val="zh-CN" w:bidi="zh-CN"/>
        </w:rPr>
        <w:t>服务单位根据要求阶段驻场开展代码审计服务，驻场直至阶段服务成果编写完成，驻场地点由建设单位指定，服务单位必须派驻至少</w:t>
      </w: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zh-CN" w:bidi="zh-CN"/>
        </w:rPr>
        <w:t>名代码审计专业工程师驻场服务</w:t>
      </w:r>
      <w:r>
        <w:rPr>
          <w:rFonts w:hint="eastAsia" w:ascii="宋体" w:hAnsi="宋体" w:eastAsia="宋体" w:cs="宋体"/>
          <w:b/>
          <w:color w:val="auto"/>
          <w:sz w:val="24"/>
          <w:szCs w:val="24"/>
          <w:lang w:val="zh-CN" w:bidi="zh-CN"/>
        </w:rPr>
        <w:t>（提供阶段驻场的承诺函）</w:t>
      </w:r>
      <w:r>
        <w:rPr>
          <w:rFonts w:hint="eastAsia" w:ascii="宋体" w:hAnsi="宋体" w:eastAsia="宋体" w:cs="宋体"/>
          <w:color w:val="auto"/>
          <w:sz w:val="24"/>
          <w:szCs w:val="24"/>
          <w:lang w:val="zh-CN" w:bidi="zh-CN"/>
        </w:rPr>
        <w:t>。</w:t>
      </w:r>
    </w:p>
    <w:p w14:paraId="56F2F8C7">
      <w:pPr>
        <w:widowControl w:val="0"/>
        <w:tabs>
          <w:tab w:val="left" w:pos="312"/>
        </w:tabs>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sz w:val="24"/>
          <w:szCs w:val="24"/>
          <w:lang w:bidi="zh-CN"/>
        </w:rPr>
        <w:t>4</w:t>
      </w:r>
      <w:r>
        <w:rPr>
          <w:rFonts w:hint="eastAsia" w:ascii="宋体" w:hAnsi="宋体" w:eastAsia="宋体" w:cs="宋体"/>
          <w:color w:val="auto"/>
          <w:sz w:val="24"/>
          <w:szCs w:val="24"/>
          <w:lang w:val="zh-CN" w:bidi="zh-CN"/>
        </w:rPr>
        <w:t>）服务单位须在响应文件中提供完整的实施团队名单及职责分工，所有人员必须属于服务单位在册员工</w:t>
      </w:r>
      <w:r>
        <w:rPr>
          <w:rFonts w:hint="eastAsia" w:ascii="宋体" w:hAnsi="宋体" w:eastAsia="宋体" w:cs="宋体"/>
          <w:b/>
          <w:color w:val="auto"/>
          <w:sz w:val="24"/>
          <w:szCs w:val="24"/>
          <w:lang w:val="zh-CN" w:bidi="zh-CN"/>
        </w:rPr>
        <w:t>（提供202</w:t>
      </w:r>
      <w:r>
        <w:rPr>
          <w:rFonts w:hint="eastAsia" w:ascii="宋体" w:hAnsi="宋体" w:eastAsia="宋体" w:cs="宋体"/>
          <w:b/>
          <w:color w:val="auto"/>
          <w:sz w:val="24"/>
          <w:szCs w:val="24"/>
          <w:lang w:bidi="zh-CN"/>
        </w:rPr>
        <w:t>4</w:t>
      </w:r>
      <w:r>
        <w:rPr>
          <w:rFonts w:hint="eastAsia" w:ascii="宋体" w:hAnsi="宋体" w:eastAsia="宋体" w:cs="宋体"/>
          <w:b/>
          <w:color w:val="auto"/>
          <w:sz w:val="24"/>
          <w:szCs w:val="24"/>
          <w:lang w:val="zh-CN" w:bidi="zh-CN"/>
        </w:rPr>
        <w:t>年以来任意3个月的投标人单位社保缴纳证明为认定依据）</w:t>
      </w:r>
      <w:r>
        <w:rPr>
          <w:rFonts w:hint="eastAsia" w:ascii="宋体" w:hAnsi="宋体" w:eastAsia="宋体" w:cs="宋体"/>
          <w:color w:val="auto"/>
          <w:sz w:val="24"/>
          <w:szCs w:val="24"/>
          <w:lang w:val="zh-CN" w:bidi="zh-CN"/>
        </w:rPr>
        <w:t>，并提供相应人员相关简历信息</w:t>
      </w:r>
      <w:r>
        <w:rPr>
          <w:rFonts w:hint="eastAsia" w:ascii="宋体" w:hAnsi="宋体" w:eastAsia="宋体" w:cs="宋体"/>
          <w:b/>
          <w:color w:val="auto"/>
          <w:sz w:val="24"/>
          <w:szCs w:val="24"/>
          <w:lang w:val="zh-CN" w:bidi="zh-CN"/>
        </w:rPr>
        <w:t>（</w:t>
      </w:r>
      <w:r>
        <w:rPr>
          <w:rFonts w:hint="eastAsia" w:ascii="宋体" w:hAnsi="宋体" w:eastAsia="宋体" w:cs="宋体"/>
          <w:b/>
          <w:color w:val="auto"/>
          <w:sz w:val="24"/>
          <w:szCs w:val="24"/>
        </w:rPr>
        <w:t>提供身份证、毕业证或学历证、资质证书（如有）和工作经验承诺函</w:t>
      </w:r>
      <w:r>
        <w:rPr>
          <w:rFonts w:hint="eastAsia" w:ascii="宋体" w:hAnsi="宋体" w:eastAsia="宋体" w:cs="宋体"/>
          <w:b/>
          <w:color w:val="auto"/>
          <w:sz w:val="24"/>
          <w:szCs w:val="24"/>
          <w:lang w:val="zh-CN" w:bidi="zh-CN"/>
        </w:rPr>
        <w:t>）</w:t>
      </w:r>
      <w:r>
        <w:rPr>
          <w:rFonts w:hint="eastAsia" w:ascii="宋体" w:hAnsi="宋体" w:eastAsia="宋体" w:cs="宋体"/>
          <w:color w:val="auto"/>
          <w:sz w:val="24"/>
          <w:szCs w:val="24"/>
          <w:lang w:val="zh-CN" w:bidi="zh-CN"/>
        </w:rPr>
        <w:t>，相关证明须加盖</w:t>
      </w:r>
      <w:r>
        <w:rPr>
          <w:rFonts w:hint="eastAsia" w:ascii="宋体" w:hAnsi="宋体" w:eastAsia="宋体" w:cs="宋体"/>
          <w:b/>
          <w:color w:val="auto"/>
          <w:sz w:val="24"/>
          <w:szCs w:val="24"/>
        </w:rPr>
        <w:t>投标人</w:t>
      </w:r>
      <w:r>
        <w:rPr>
          <w:rFonts w:hint="eastAsia" w:ascii="宋体" w:hAnsi="宋体" w:eastAsia="宋体" w:cs="宋体"/>
          <w:color w:val="auto"/>
          <w:sz w:val="24"/>
          <w:szCs w:val="24"/>
          <w:lang w:val="zh-CN" w:bidi="zh-CN"/>
        </w:rPr>
        <w:t>公章。</w:t>
      </w:r>
    </w:p>
    <w:p w14:paraId="7108EE14">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5）采购人下达开工通知书后投标人必须派驻相关资历人员驻场开展服务。如成交后提供的项目团队与投标提供的团队名单材料不符，将视为虚假应标。若采购单位认为项目经理或者技术人员能力与工作所要求的能力不相称而提出更换时，测试单位必须予以更换，人员更换不得影响测试成果交付时间；测试单位单方面更换项目经理或技术员（工程师）必须经采购单位书面同意，否则按违约处理直至合同中止。</w:t>
      </w:r>
    </w:p>
    <w:p w14:paraId="07A5B0D8">
      <w:pPr>
        <w:pStyle w:val="9"/>
        <w:widowControl w:val="0"/>
        <w:numPr>
          <w:ilvl w:val="3"/>
          <w:numId w:val="0"/>
        </w:numPr>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r>
        <w:rPr>
          <w:rFonts w:hint="eastAsia" w:cs="宋体"/>
          <w:color w:val="auto"/>
          <w:sz w:val="24"/>
          <w:szCs w:val="24"/>
          <w:lang w:val="en-US" w:eastAsia="zh-CN"/>
        </w:rPr>
        <w:t>2、</w:t>
      </w:r>
      <w:r>
        <w:rPr>
          <w:rFonts w:hint="eastAsia" w:ascii="宋体" w:hAnsi="宋体" w:eastAsia="宋体" w:cs="宋体"/>
          <w:color w:val="auto"/>
          <w:sz w:val="24"/>
          <w:szCs w:val="24"/>
        </w:rPr>
        <w:t>工作要求</w:t>
      </w:r>
    </w:p>
    <w:p w14:paraId="3B05B7A3">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1）提供详细的项目实施方案和计划进度说明书；</w:t>
      </w:r>
    </w:p>
    <w:p w14:paraId="709EAC31">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2）项目实施完成后提供可靠的后期技术服务工作；</w:t>
      </w:r>
    </w:p>
    <w:p w14:paraId="28527D5D">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3）严格按照双方确定的计划进度保质保量完成工作；</w:t>
      </w:r>
    </w:p>
    <w:p w14:paraId="780A5743">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4）规范项目实施过程中的文档管理；</w:t>
      </w:r>
    </w:p>
    <w:p w14:paraId="21C64EFE">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5）提供必要的增值服务：配合省信息化主管部门开展本项目电子政务工程项目绩效评价考核、跟踪监督及项目档案事后监督等工作。</w:t>
      </w:r>
    </w:p>
    <w:p w14:paraId="193EA94F">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6）在相关的项目终验，对于专家验收时提出的涉及应用系统整改意见的，要求测试单位须积极配合就整改后的应用系统进行再次测试或审计，并出具最终报告，确保项目质量。</w:t>
      </w:r>
    </w:p>
    <w:p w14:paraId="158CD91A">
      <w:pPr>
        <w:pStyle w:val="9"/>
        <w:widowControl w:val="0"/>
        <w:numPr>
          <w:ilvl w:val="3"/>
          <w:numId w:val="0"/>
        </w:numPr>
        <w:wordWrap/>
        <w:overflowPunct/>
        <w:topLinePunct w:val="0"/>
        <w:bidi w:val="0"/>
        <w:spacing w:line="574" w:lineRule="atLeast"/>
        <w:ind w:left="0" w:leftChars="0" w:right="218" w:rightChars="104" w:firstLine="480" w:firstLineChars="200"/>
        <w:rPr>
          <w:rFonts w:ascii="宋体" w:hAnsi="宋体" w:eastAsia="宋体" w:cs="宋体"/>
          <w:color w:val="auto"/>
          <w:sz w:val="24"/>
          <w:szCs w:val="24"/>
        </w:rPr>
      </w:pPr>
      <w:bookmarkStart w:id="22" w:name="_Toc28336"/>
      <w:bookmarkStart w:id="23" w:name="_Toc68765011"/>
      <w:bookmarkStart w:id="24" w:name="_Toc68190180"/>
      <w:bookmarkStart w:id="25" w:name="_Toc20549"/>
      <w:r>
        <w:rPr>
          <w:rFonts w:hint="eastAsia" w:cs="宋体"/>
          <w:color w:val="auto"/>
          <w:sz w:val="24"/>
          <w:szCs w:val="24"/>
          <w:lang w:val="en-US" w:eastAsia="zh-CN"/>
        </w:rPr>
        <w:t>3、</w:t>
      </w:r>
      <w:r>
        <w:rPr>
          <w:rFonts w:hint="eastAsia" w:ascii="宋体" w:hAnsi="宋体" w:eastAsia="宋体" w:cs="宋体"/>
          <w:color w:val="auto"/>
          <w:sz w:val="24"/>
          <w:szCs w:val="24"/>
        </w:rPr>
        <w:t>安全保密要求</w:t>
      </w:r>
      <w:bookmarkEnd w:id="22"/>
      <w:bookmarkEnd w:id="23"/>
      <w:bookmarkEnd w:id="24"/>
      <w:bookmarkEnd w:id="25"/>
    </w:p>
    <w:p w14:paraId="478D9A81">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eastAsia="宋体" w:cs="宋体"/>
          <w:color w:val="auto"/>
          <w:sz w:val="24"/>
          <w:szCs w:val="24"/>
        </w:rPr>
        <w:t>本服务要求实施过程中制定一整套第三方软件测试及代码审计服务安全保密制度，确定保密责任人，同时要求：</w:t>
      </w:r>
    </w:p>
    <w:p w14:paraId="05CA16FF">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1）按照国家、省、市的有关法规文件规定，要求测试单位履行保密责任，并与采购单位签订保密协议；</w:t>
      </w:r>
    </w:p>
    <w:p w14:paraId="7C3C00A7">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2）测试单位各级组织严格履行保密职责；</w:t>
      </w:r>
    </w:p>
    <w:p w14:paraId="4E15CE79">
      <w:pPr>
        <w:pStyle w:val="15"/>
        <w:widowControl w:val="0"/>
        <w:wordWrap/>
        <w:overflowPunct/>
        <w:topLinePunct w:val="0"/>
        <w:bidi w:val="0"/>
        <w:spacing w:beforeLines="0" w:after="0" w:line="574" w:lineRule="atLeast"/>
        <w:ind w:left="0" w:leftChars="0" w:right="218" w:rightChars="104" w:firstLine="480" w:firstLineChars="200"/>
        <w:rPr>
          <w:rFonts w:eastAsia="宋体" w:cs="宋体"/>
          <w:color w:val="auto"/>
          <w:sz w:val="24"/>
          <w:szCs w:val="24"/>
        </w:rPr>
      </w:pPr>
      <w:r>
        <w:rPr>
          <w:rFonts w:hint="eastAsia" w:ascii="宋体" w:hAnsi="宋体" w:eastAsia="宋体" w:cs="宋体"/>
          <w:color w:val="auto"/>
          <w:kern w:val="2"/>
          <w:sz w:val="24"/>
          <w:szCs w:val="24"/>
          <w:lang w:eastAsia="zh-CN"/>
        </w:rPr>
        <w:t>（</w:t>
      </w:r>
      <w:r>
        <w:rPr>
          <w:rFonts w:hint="eastAsia" w:eastAsia="宋体" w:cs="宋体"/>
          <w:color w:val="auto"/>
          <w:sz w:val="24"/>
          <w:szCs w:val="24"/>
        </w:rPr>
        <w:t>3）按照采购单位的内部保密规定开展第三方软件测试、代码审计服务工作。</w:t>
      </w:r>
    </w:p>
    <w:p w14:paraId="07A00194">
      <w:bookmarkStart w:id="26" w:name="_GoBack"/>
      <w:bookmarkEnd w:id="2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16E1E"/>
    <w:multiLevelType w:val="multilevel"/>
    <w:tmpl w:val="B7316E1E"/>
    <w:lvl w:ilvl="0" w:tentative="0">
      <w:start w:val="1"/>
      <w:numFmt w:val="decimal"/>
      <w:suff w:val="space"/>
      <w:lvlText w:val="%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eastAsia" w:ascii="宋体" w:hAnsi="宋体" w:eastAsia="宋体" w:cs="宋体"/>
      </w:rPr>
    </w:lvl>
    <w:lvl w:ilvl="2" w:tentative="0">
      <w:start w:val="1"/>
      <w:numFmt w:val="lowerRoman"/>
      <w:lvlText w:val="%3."/>
      <w:lvlJc w:val="right"/>
      <w:pPr>
        <w:ind w:left="1260" w:hanging="420"/>
      </w:pPr>
      <w:rPr>
        <w:rFonts w:hint="eastAsia" w:ascii="宋体" w:hAnsi="宋体" w:eastAsia="宋体" w:cs="宋体"/>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1">
    <w:nsid w:val="E90F397C"/>
    <w:multiLevelType w:val="multilevel"/>
    <w:tmpl w:val="E90F397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716150A"/>
    <w:multiLevelType w:val="multilevel"/>
    <w:tmpl w:val="1716150A"/>
    <w:lvl w:ilvl="0" w:tentative="0">
      <w:start w:val="1"/>
      <w:numFmt w:val="chineseCounting"/>
      <w:suff w:val="nothing"/>
      <w:lvlText w:val="%1、"/>
      <w:lvlJc w:val="left"/>
      <w:pPr>
        <w:ind w:left="0" w:firstLine="0"/>
      </w:pPr>
      <w:rPr>
        <w:rFonts w:hint="eastAsia"/>
        <w:sz w:val="32"/>
        <w:szCs w:val="32"/>
      </w:rPr>
    </w:lvl>
    <w:lvl w:ilvl="1" w:tentative="0">
      <w:start w:val="1"/>
      <w:numFmt w:val="chineseCounting"/>
      <w:suff w:val="nothing"/>
      <w:lvlText w:val="（%2）"/>
      <w:lvlJc w:val="left"/>
      <w:pPr>
        <w:ind w:left="0" w:firstLine="0"/>
      </w:pPr>
      <w:rPr>
        <w:rFonts w:hint="eastAsia"/>
        <w:sz w:val="32"/>
        <w:szCs w:val="32"/>
      </w:rPr>
    </w:lvl>
    <w:lvl w:ilvl="2" w:tentative="0">
      <w:start w:val="1"/>
      <w:numFmt w:val="decimal"/>
      <w:suff w:val="nothing"/>
      <w:lvlText w:val="%3．"/>
      <w:lvlJc w:val="left"/>
      <w:pPr>
        <w:ind w:left="0" w:firstLine="400"/>
      </w:pPr>
      <w:rPr>
        <w:rFonts w:hint="default" w:ascii="宋体" w:hAnsi="宋体" w:eastAsia="宋体" w:cs="宋体"/>
        <w:sz w:val="24"/>
        <w:szCs w:val="24"/>
      </w:rPr>
    </w:lvl>
    <w:lvl w:ilvl="3" w:tentative="0">
      <w:start w:val="1"/>
      <w:numFmt w:val="decimal"/>
      <w:suff w:val="nothing"/>
      <w:lvlText w:val="（%4）"/>
      <w:lvlJc w:val="left"/>
      <w:pPr>
        <w:ind w:left="0" w:firstLine="402"/>
      </w:pPr>
      <w:rPr>
        <w:rFonts w:hint="default"/>
        <w:sz w:val="24"/>
        <w:szCs w:val="24"/>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228"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7AD16FC0"/>
    <w:multiLevelType w:val="singleLevel"/>
    <w:tmpl w:val="7AD16FC0"/>
    <w:lvl w:ilvl="0" w:tentative="0">
      <w:start w:val="3"/>
      <w:numFmt w:val="chineseCounting"/>
      <w:suff w:val="space"/>
      <w:lvlText w:val="第%1章"/>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ZmNmZjQyNjg5ZWRjZWFlM2EzOWE5ZmI4NGNjMjUifQ=="/>
  </w:docVars>
  <w:rsids>
    <w:rsidRoot w:val="61F266AA"/>
    <w:rsid w:val="61F2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3"/>
    <w:next w:val="1"/>
    <w:qFormat/>
    <w:uiPriority w:val="0"/>
    <w:pPr>
      <w:tabs>
        <w:tab w:val="left" w:pos="440"/>
        <w:tab w:val="left" w:pos="560"/>
      </w:tabs>
      <w:outlineLvl w:val="0"/>
    </w:pPr>
    <w:rPr>
      <w:szCs w:val="40"/>
    </w:rPr>
  </w:style>
  <w:style w:type="paragraph" w:styleId="3">
    <w:name w:val="heading 2"/>
    <w:basedOn w:val="4"/>
    <w:next w:val="1"/>
    <w:qFormat/>
    <w:uiPriority w:val="0"/>
    <w:pPr>
      <w:tabs>
        <w:tab w:val="left" w:pos="440"/>
        <w:tab w:val="left" w:pos="560"/>
      </w:tabs>
      <w:outlineLvl w:val="1"/>
    </w:pPr>
    <w:rPr>
      <w:sz w:val="32"/>
      <w:szCs w:val="32"/>
    </w:rPr>
  </w:style>
  <w:style w:type="paragraph" w:styleId="4">
    <w:name w:val="heading 3"/>
    <w:basedOn w:val="5"/>
    <w:next w:val="7"/>
    <w:qFormat/>
    <w:uiPriority w:val="0"/>
    <w:pPr>
      <w:numPr>
        <w:ilvl w:val="5"/>
      </w:numPr>
      <w:tabs>
        <w:tab w:val="left" w:pos="440"/>
        <w:tab w:val="left" w:pos="560"/>
      </w:tabs>
      <w:ind w:firstLine="482" w:firstLineChars="200"/>
      <w:outlineLvl w:val="2"/>
    </w:pPr>
    <w:rPr>
      <w:color w:val="auto"/>
    </w:rPr>
  </w:style>
  <w:style w:type="paragraph" w:styleId="8">
    <w:name w:val="heading 4"/>
    <w:basedOn w:val="9"/>
    <w:next w:val="1"/>
    <w:qFormat/>
    <w:uiPriority w:val="9"/>
    <w:pPr>
      <w:tabs>
        <w:tab w:val="left" w:pos="440"/>
      </w:tabs>
      <w:ind w:firstLine="482"/>
      <w:outlineLvl w:val="3"/>
    </w:pPr>
    <w:rPr>
      <w:b/>
      <w:color w:val="auto"/>
    </w:rPr>
  </w:style>
  <w:style w:type="paragraph" w:styleId="5">
    <w:name w:val="heading 5"/>
    <w:basedOn w:val="6"/>
    <w:next w:val="1"/>
    <w:qFormat/>
    <w:uiPriority w:val="9"/>
    <w:pPr>
      <w:numPr>
        <w:numId w:val="0"/>
      </w:numPr>
      <w:spacing w:before="0" w:after="0" w:line="574" w:lineRule="atLeast"/>
      <w:ind w:firstLine="880" w:firstLineChars="200"/>
      <w:outlineLvl w:val="4"/>
    </w:pPr>
    <w:rPr>
      <w:rFonts w:ascii="宋体" w:hAnsi="宋体" w:eastAsia="宋体" w:cs="宋体"/>
      <w:color w:val="auto"/>
      <w:sz w:val="24"/>
      <w:szCs w:val="24"/>
    </w:rPr>
  </w:style>
  <w:style w:type="paragraph" w:styleId="9">
    <w:name w:val="heading 6"/>
    <w:basedOn w:val="1"/>
    <w:next w:val="1"/>
    <w:unhideWhenUsed/>
    <w:qFormat/>
    <w:uiPriority w:val="0"/>
    <w:pPr>
      <w:keepNext/>
      <w:keepLines/>
      <w:tabs>
        <w:tab w:val="left" w:pos="440"/>
      </w:tabs>
      <w:spacing w:line="574" w:lineRule="atLeast"/>
      <w:ind w:firstLine="880" w:firstLineChars="200"/>
      <w:outlineLvl w:val="5"/>
    </w:pPr>
    <w:rPr>
      <w:rFonts w:ascii="宋体" w:hAnsi="宋体" w:eastAsia="宋体" w:cs="宋体"/>
      <w:bCs/>
      <w:sz w:val="24"/>
      <w:szCs w:val="24"/>
    </w:rPr>
  </w:style>
  <w:style w:type="paragraph" w:styleId="6">
    <w:name w:val="heading 7"/>
    <w:basedOn w:val="1"/>
    <w:next w:val="1"/>
    <w:unhideWhenUsed/>
    <w:qFormat/>
    <w:uiPriority w:val="0"/>
    <w:pPr>
      <w:keepNext/>
      <w:keepLines/>
      <w:numPr>
        <w:ilvl w:val="6"/>
        <w:numId w:val="1"/>
      </w:numPr>
      <w:spacing w:before="120" w:after="120"/>
      <w:outlineLvl w:val="6"/>
    </w:pPr>
    <w:rPr>
      <w:b/>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7">
    <w:name w:val="正文2"/>
    <w:next w:val="1"/>
    <w:qFormat/>
    <w:uiPriority w:val="0"/>
    <w:pPr>
      <w:widowControl w:val="0"/>
      <w:spacing w:line="360" w:lineRule="auto"/>
      <w:ind w:firstLine="200" w:firstLineChars="200"/>
      <w:jc w:val="both"/>
    </w:pPr>
    <w:rPr>
      <w:rFonts w:ascii="Calibri" w:hAnsi="Calibri" w:eastAsia="仿宋" w:cs="Arial"/>
      <w:kern w:val="2"/>
      <w:sz w:val="24"/>
      <w:szCs w:val="24"/>
      <w:lang w:val="en-US" w:eastAsia="zh-CN" w:bidi="ar-SA"/>
    </w:rPr>
  </w:style>
  <w:style w:type="paragraph" w:styleId="10">
    <w:name w:val="Normal (Web)"/>
    <w:basedOn w:val="1"/>
    <w:qFormat/>
    <w:uiPriority w:val="0"/>
    <w:rPr>
      <w:sz w:val="24"/>
    </w:rPr>
  </w:style>
  <w:style w:type="paragraph" w:customStyle="1" w:styleId="13">
    <w:name w:val="列出段落1"/>
    <w:basedOn w:val="1"/>
    <w:qFormat/>
    <w:uiPriority w:val="0"/>
    <w:pPr>
      <w:widowControl w:val="0"/>
      <w:spacing w:line="360" w:lineRule="auto"/>
      <w:ind w:firstLine="420" w:firstLineChars="200"/>
      <w:jc w:val="both"/>
    </w:pPr>
    <w:rPr>
      <w:rFonts w:ascii="Calibri" w:hAnsi="Calibri" w:eastAsia="仿宋" w:cs="Times New Roman"/>
      <w:kern w:val="2"/>
      <w:sz w:val="28"/>
      <w:szCs w:val="28"/>
    </w:rPr>
  </w:style>
  <w:style w:type="paragraph" w:customStyle="1" w:styleId="14">
    <w:name w:val="my正文"/>
    <w:basedOn w:val="1"/>
    <w:qFormat/>
    <w:uiPriority w:val="0"/>
    <w:pPr>
      <w:ind w:firstLine="200" w:firstLineChars="200"/>
    </w:pPr>
    <w:rPr>
      <w:rFonts w:ascii="Times New Roman" w:hAnsi="Times New Roman" w:eastAsia="宋体"/>
    </w:rPr>
  </w:style>
  <w:style w:type="paragraph" w:customStyle="1" w:styleId="15">
    <w:name w:val="！正文缩进2字符Alt+S"/>
    <w:basedOn w:val="1"/>
    <w:qFormat/>
    <w:uiPriority w:val="0"/>
    <w:pPr>
      <w:spacing w:beforeLines="50" w:after="40" w:line="360" w:lineRule="auto"/>
      <w:ind w:firstLine="510" w:firstLineChars="200"/>
      <w:contextualSpacing/>
    </w:pPr>
    <w:rPr>
      <w:rFonts w:ascii="宋体" w:hAnsi="宋体"/>
      <w:bCs/>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2024-11-15T10:26:00Z</dcterms:created>
  <dc:creator>招标中心</dc:creator>
  <cp:lastModifiedBy>招标中心</cp:lastModifiedBy>
  <dcterms:modified xsi:type="dcterms:W3CDTF">2024-11-15T10:26:31Z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46B4BBD579034360B8D2FE716744A617_11</vt:lpwstr>
  </property>
</Properties>
</file>