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3E472">
      <w:pPr>
        <w:keepNext/>
        <w:keepLines/>
        <w:numPr>
          <w:ilvl w:val="0"/>
          <w:numId w:val="1"/>
        </w:numPr>
        <w:spacing w:before="326" w:beforeLines="100" w:line="360" w:lineRule="auto"/>
        <w:ind w:firstLine="562" w:firstLineChars="200"/>
        <w:jc w:val="center"/>
        <w:outlineLvl w:val="0"/>
        <w:rPr>
          <w:rFonts w:ascii="宋体" w:hAnsi="宋体" w:eastAsia="宋体" w:cs="宋体"/>
          <w:b/>
          <w:bCs/>
          <w:sz w:val="28"/>
          <w:szCs w:val="28"/>
        </w:rPr>
      </w:pPr>
      <w:bookmarkStart w:id="0" w:name="_Toc16654"/>
      <w:bookmarkStart w:id="1" w:name="_Toc9140"/>
      <w:r>
        <w:rPr>
          <w:rFonts w:hint="eastAsia" w:ascii="宋体" w:hAnsi="宋体" w:eastAsia="宋体" w:cs="宋体"/>
          <w:b/>
          <w:bCs/>
          <w:sz w:val="28"/>
          <w:szCs w:val="28"/>
        </w:rPr>
        <w:t>采购需求</w:t>
      </w:r>
      <w:bookmarkEnd w:id="0"/>
      <w:bookmarkEnd w:id="1"/>
    </w:p>
    <w:p w14:paraId="07C46A54">
      <w:pPr>
        <w:pStyle w:val="2"/>
        <w:rPr>
          <w:rFonts w:ascii="宋体" w:hAnsi="宋体" w:cs="宋体"/>
          <w:sz w:val="24"/>
          <w:szCs w:val="24"/>
        </w:rPr>
      </w:pPr>
      <w:bookmarkStart w:id="2" w:name="_Toc20608"/>
      <w:bookmarkStart w:id="3" w:name="_Toc103263082"/>
      <w:r>
        <w:rPr>
          <w:rFonts w:hint="eastAsia" w:ascii="宋体" w:hAnsi="宋体" w:cs="宋体"/>
          <w:sz w:val="24"/>
          <w:szCs w:val="24"/>
        </w:rPr>
        <w:t>1、投标人须知前附表</w:t>
      </w:r>
      <w:bookmarkEnd w:id="2"/>
      <w:bookmarkEnd w:id="3"/>
    </w:p>
    <w:tbl>
      <w:tblPr>
        <w:tblStyle w:val="9"/>
        <w:tblW w:w="9511"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1"/>
        <w:gridCol w:w="2545"/>
        <w:gridCol w:w="6295"/>
      </w:tblGrid>
      <w:tr w14:paraId="09967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671" w:type="dxa"/>
            <w:vAlign w:val="center"/>
          </w:tcPr>
          <w:p w14:paraId="42C90C17">
            <w:pPr>
              <w:jc w:val="center"/>
              <w:rPr>
                <w:rFonts w:ascii="宋体" w:hAnsi="宋体" w:eastAsia="宋体" w:cs="宋体"/>
                <w:sz w:val="24"/>
                <w:szCs w:val="24"/>
              </w:rPr>
            </w:pPr>
            <w:r>
              <w:rPr>
                <w:rFonts w:hint="eastAsia" w:ascii="宋体" w:hAnsi="宋体" w:eastAsia="宋体" w:cs="宋体"/>
                <w:sz w:val="24"/>
                <w:szCs w:val="24"/>
              </w:rPr>
              <w:t>序号</w:t>
            </w:r>
          </w:p>
        </w:tc>
        <w:tc>
          <w:tcPr>
            <w:tcW w:w="2545" w:type="dxa"/>
            <w:vAlign w:val="center"/>
          </w:tcPr>
          <w:p w14:paraId="60BE8470">
            <w:pPr>
              <w:jc w:val="center"/>
              <w:rPr>
                <w:rFonts w:ascii="宋体" w:hAnsi="宋体" w:eastAsia="宋体" w:cs="宋体"/>
                <w:sz w:val="24"/>
                <w:szCs w:val="24"/>
              </w:rPr>
            </w:pPr>
            <w:r>
              <w:rPr>
                <w:rFonts w:hint="eastAsia" w:ascii="宋体" w:hAnsi="宋体" w:eastAsia="宋体" w:cs="宋体"/>
                <w:sz w:val="24"/>
                <w:szCs w:val="24"/>
              </w:rPr>
              <w:t>条款名称</w:t>
            </w:r>
          </w:p>
        </w:tc>
        <w:tc>
          <w:tcPr>
            <w:tcW w:w="6295" w:type="dxa"/>
            <w:vAlign w:val="center"/>
          </w:tcPr>
          <w:p w14:paraId="5AFA20EC">
            <w:pPr>
              <w:jc w:val="center"/>
              <w:rPr>
                <w:rFonts w:ascii="宋体" w:hAnsi="宋体" w:eastAsia="宋体" w:cs="宋体"/>
                <w:sz w:val="24"/>
                <w:szCs w:val="24"/>
              </w:rPr>
            </w:pPr>
            <w:r>
              <w:rPr>
                <w:rFonts w:hint="eastAsia" w:ascii="宋体" w:hAnsi="宋体" w:eastAsia="宋体" w:cs="宋体"/>
                <w:sz w:val="24"/>
                <w:szCs w:val="24"/>
              </w:rPr>
              <w:t>说明和要求</w:t>
            </w:r>
          </w:p>
        </w:tc>
      </w:tr>
      <w:tr w14:paraId="62A64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 w:hRule="atLeast"/>
        </w:trPr>
        <w:tc>
          <w:tcPr>
            <w:tcW w:w="671" w:type="dxa"/>
            <w:vAlign w:val="center"/>
          </w:tcPr>
          <w:p w14:paraId="7F4BE9F1">
            <w:pPr>
              <w:jc w:val="center"/>
              <w:rPr>
                <w:rFonts w:ascii="宋体" w:hAnsi="宋体" w:eastAsia="宋体" w:cs="宋体"/>
                <w:sz w:val="24"/>
                <w:szCs w:val="24"/>
              </w:rPr>
            </w:pPr>
            <w:r>
              <w:rPr>
                <w:rFonts w:hint="eastAsia" w:ascii="宋体" w:hAnsi="宋体" w:eastAsia="宋体" w:cs="宋体"/>
                <w:sz w:val="24"/>
                <w:szCs w:val="24"/>
              </w:rPr>
              <w:t>1</w:t>
            </w:r>
          </w:p>
        </w:tc>
        <w:tc>
          <w:tcPr>
            <w:tcW w:w="2545" w:type="dxa"/>
            <w:vAlign w:val="center"/>
          </w:tcPr>
          <w:p w14:paraId="7518CDAD">
            <w:pPr>
              <w:rPr>
                <w:rFonts w:ascii="宋体" w:hAnsi="宋体" w:eastAsia="宋体" w:cs="宋体"/>
                <w:sz w:val="24"/>
                <w:szCs w:val="24"/>
              </w:rPr>
            </w:pPr>
            <w:r>
              <w:rPr>
                <w:rFonts w:hint="eastAsia" w:ascii="宋体" w:hAnsi="宋体" w:eastAsia="宋体" w:cs="宋体"/>
                <w:sz w:val="24"/>
                <w:szCs w:val="24"/>
              </w:rPr>
              <w:t>项目预算</w:t>
            </w:r>
          </w:p>
        </w:tc>
        <w:tc>
          <w:tcPr>
            <w:tcW w:w="6295" w:type="dxa"/>
          </w:tcPr>
          <w:p w14:paraId="7570BDE4">
            <w:pPr>
              <w:rPr>
                <w:rFonts w:ascii="宋体" w:hAnsi="宋体" w:eastAsia="宋体" w:cs="宋体"/>
                <w:sz w:val="24"/>
                <w:szCs w:val="24"/>
              </w:rPr>
            </w:pPr>
            <w:r>
              <w:rPr>
                <w:rFonts w:hint="eastAsia" w:asciiTheme="minorEastAsia" w:hAnsiTheme="minorEastAsia" w:eastAsiaTheme="minorEastAsia" w:cstheme="minorEastAsia"/>
                <w:sz w:val="24"/>
                <w:szCs w:val="24"/>
                <w:lang w:val="en-US" w:eastAsia="zh-CN"/>
              </w:rPr>
              <w:t>项目总预算金额1217.02万元，本次招标金额16万元。</w:t>
            </w:r>
            <w:r>
              <w:rPr>
                <w:rFonts w:hint="eastAsia" w:ascii="宋体" w:hAnsi="宋体" w:eastAsia="宋体" w:cs="宋体"/>
                <w:sz w:val="24"/>
                <w:szCs w:val="24"/>
              </w:rPr>
              <w:t>投标人总报价不能超过采购预算，超过视为无效投标。</w:t>
            </w:r>
          </w:p>
        </w:tc>
      </w:tr>
      <w:tr w14:paraId="18EED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atLeast"/>
        </w:trPr>
        <w:tc>
          <w:tcPr>
            <w:tcW w:w="671" w:type="dxa"/>
            <w:vAlign w:val="center"/>
          </w:tcPr>
          <w:p w14:paraId="1A0E1931">
            <w:pPr>
              <w:jc w:val="center"/>
              <w:rPr>
                <w:rFonts w:ascii="宋体" w:hAnsi="宋体" w:eastAsia="宋体" w:cs="宋体"/>
                <w:sz w:val="24"/>
                <w:szCs w:val="24"/>
              </w:rPr>
            </w:pPr>
            <w:r>
              <w:rPr>
                <w:rFonts w:hint="eastAsia" w:ascii="宋体" w:hAnsi="宋体" w:eastAsia="宋体" w:cs="宋体"/>
                <w:sz w:val="24"/>
                <w:szCs w:val="24"/>
              </w:rPr>
              <w:t>2</w:t>
            </w:r>
          </w:p>
        </w:tc>
        <w:tc>
          <w:tcPr>
            <w:tcW w:w="2545" w:type="dxa"/>
            <w:vAlign w:val="center"/>
          </w:tcPr>
          <w:p w14:paraId="4722D6F1">
            <w:pPr>
              <w:rPr>
                <w:rFonts w:ascii="宋体" w:hAnsi="宋体" w:eastAsia="宋体" w:cs="宋体"/>
                <w:sz w:val="24"/>
                <w:szCs w:val="24"/>
              </w:rPr>
            </w:pPr>
            <w:r>
              <w:rPr>
                <w:rFonts w:hint="eastAsia" w:ascii="宋体" w:hAnsi="宋体" w:eastAsia="宋体" w:cs="宋体"/>
                <w:sz w:val="24"/>
                <w:szCs w:val="24"/>
              </w:rPr>
              <w:t>是否接受进口产品投标</w:t>
            </w:r>
          </w:p>
        </w:tc>
        <w:tc>
          <w:tcPr>
            <w:tcW w:w="6295" w:type="dxa"/>
            <w:vAlign w:val="center"/>
          </w:tcPr>
          <w:p w14:paraId="645A4025">
            <w:pPr>
              <w:rPr>
                <w:rFonts w:ascii="宋体" w:hAnsi="宋体" w:eastAsia="宋体" w:cs="宋体"/>
                <w:sz w:val="24"/>
                <w:szCs w:val="24"/>
              </w:rPr>
            </w:pPr>
            <w:r>
              <w:rPr>
                <w:rFonts w:hint="eastAsia" w:ascii="宋体" w:hAnsi="宋体" w:eastAsia="宋体" w:cs="宋体"/>
                <w:sz w:val="24"/>
                <w:szCs w:val="24"/>
              </w:rPr>
              <w:t>接受（）不接受（√）   备注：           。</w:t>
            </w:r>
          </w:p>
        </w:tc>
      </w:tr>
      <w:tr w14:paraId="34E61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42BC5BF9">
            <w:pPr>
              <w:jc w:val="center"/>
              <w:rPr>
                <w:rFonts w:ascii="宋体" w:hAnsi="宋体" w:eastAsia="宋体" w:cs="宋体"/>
                <w:sz w:val="24"/>
                <w:szCs w:val="24"/>
              </w:rPr>
            </w:pPr>
            <w:r>
              <w:rPr>
                <w:rFonts w:hint="eastAsia" w:ascii="宋体" w:hAnsi="宋体" w:eastAsia="宋体" w:cs="宋体"/>
                <w:sz w:val="24"/>
                <w:szCs w:val="24"/>
              </w:rPr>
              <w:t>3</w:t>
            </w:r>
          </w:p>
        </w:tc>
        <w:tc>
          <w:tcPr>
            <w:tcW w:w="2545" w:type="dxa"/>
            <w:vAlign w:val="center"/>
          </w:tcPr>
          <w:p w14:paraId="13F8E21A">
            <w:pPr>
              <w:rPr>
                <w:rFonts w:ascii="宋体" w:hAnsi="宋体" w:eastAsia="宋体" w:cs="宋体"/>
                <w:sz w:val="24"/>
                <w:szCs w:val="24"/>
              </w:rPr>
            </w:pPr>
            <w:r>
              <w:rPr>
                <w:rFonts w:hint="eastAsia" w:ascii="宋体" w:hAnsi="宋体" w:eastAsia="宋体" w:cs="宋体"/>
                <w:sz w:val="24"/>
                <w:szCs w:val="24"/>
              </w:rPr>
              <w:t>标前踏勘现场或/和标前答疑会</w:t>
            </w:r>
          </w:p>
        </w:tc>
        <w:tc>
          <w:tcPr>
            <w:tcW w:w="6295" w:type="dxa"/>
            <w:vAlign w:val="center"/>
          </w:tcPr>
          <w:p w14:paraId="7F97FF2F">
            <w:pPr>
              <w:rPr>
                <w:rFonts w:ascii="宋体" w:hAnsi="宋体" w:eastAsia="宋体" w:cs="宋体"/>
                <w:sz w:val="24"/>
                <w:szCs w:val="24"/>
              </w:rPr>
            </w:pPr>
            <w:r>
              <w:rPr>
                <w:rFonts w:hint="eastAsia" w:ascii="宋体" w:hAnsi="宋体" w:eastAsia="宋体" w:cs="宋体"/>
                <w:sz w:val="24"/>
                <w:szCs w:val="24"/>
              </w:rPr>
              <w:t>组织（）不组织（√）</w:t>
            </w:r>
          </w:p>
        </w:tc>
      </w:tr>
      <w:tr w14:paraId="1DF122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1" w:hRule="atLeast"/>
        </w:trPr>
        <w:tc>
          <w:tcPr>
            <w:tcW w:w="671" w:type="dxa"/>
            <w:vAlign w:val="center"/>
          </w:tcPr>
          <w:p w14:paraId="2EFDFFD1">
            <w:pPr>
              <w:jc w:val="center"/>
              <w:rPr>
                <w:rFonts w:ascii="宋体" w:hAnsi="宋体" w:eastAsia="宋体" w:cs="宋体"/>
                <w:sz w:val="24"/>
                <w:szCs w:val="24"/>
              </w:rPr>
            </w:pPr>
            <w:r>
              <w:rPr>
                <w:rFonts w:hint="eastAsia" w:ascii="宋体" w:hAnsi="宋体" w:eastAsia="宋体" w:cs="宋体"/>
                <w:sz w:val="24"/>
                <w:szCs w:val="24"/>
              </w:rPr>
              <w:t>4</w:t>
            </w:r>
          </w:p>
        </w:tc>
        <w:tc>
          <w:tcPr>
            <w:tcW w:w="2545" w:type="dxa"/>
            <w:vAlign w:val="center"/>
          </w:tcPr>
          <w:p w14:paraId="6E96EA10">
            <w:pPr>
              <w:rPr>
                <w:rFonts w:ascii="宋体" w:hAnsi="宋体" w:eastAsia="宋体" w:cs="宋体"/>
                <w:sz w:val="24"/>
                <w:szCs w:val="24"/>
              </w:rPr>
            </w:pPr>
            <w:r>
              <w:rPr>
                <w:rFonts w:hint="eastAsia" w:ascii="宋体" w:hAnsi="宋体" w:eastAsia="宋体" w:cs="宋体"/>
                <w:sz w:val="24"/>
                <w:szCs w:val="24"/>
              </w:rPr>
              <w:t>述标和/或产（样）品演（展）示</w:t>
            </w:r>
          </w:p>
        </w:tc>
        <w:tc>
          <w:tcPr>
            <w:tcW w:w="6295" w:type="dxa"/>
            <w:vAlign w:val="center"/>
          </w:tcPr>
          <w:p w14:paraId="4016B8F3">
            <w:pPr>
              <w:rPr>
                <w:rFonts w:ascii="宋体" w:hAnsi="宋体" w:eastAsia="宋体" w:cs="宋体"/>
                <w:sz w:val="24"/>
                <w:szCs w:val="24"/>
              </w:rPr>
            </w:pPr>
            <w:r>
              <w:rPr>
                <w:rFonts w:hint="eastAsia" w:ascii="宋体" w:hAnsi="宋体" w:eastAsia="宋体" w:cs="宋体"/>
                <w:sz w:val="24"/>
                <w:szCs w:val="24"/>
              </w:rPr>
              <w:t>有（）无（√）</w:t>
            </w:r>
          </w:p>
        </w:tc>
      </w:tr>
      <w:tr w14:paraId="67D7A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671" w:type="dxa"/>
            <w:vAlign w:val="center"/>
          </w:tcPr>
          <w:p w14:paraId="2E5FC473">
            <w:pPr>
              <w:jc w:val="center"/>
              <w:rPr>
                <w:rFonts w:ascii="宋体" w:hAnsi="宋体" w:eastAsia="宋体" w:cs="宋体"/>
                <w:sz w:val="24"/>
                <w:szCs w:val="24"/>
              </w:rPr>
            </w:pPr>
            <w:r>
              <w:rPr>
                <w:rFonts w:hint="eastAsia" w:ascii="宋体" w:hAnsi="宋体" w:eastAsia="宋体" w:cs="宋体"/>
                <w:sz w:val="24"/>
                <w:szCs w:val="24"/>
              </w:rPr>
              <w:t>5</w:t>
            </w:r>
          </w:p>
        </w:tc>
        <w:tc>
          <w:tcPr>
            <w:tcW w:w="2545" w:type="dxa"/>
            <w:vAlign w:val="center"/>
          </w:tcPr>
          <w:p w14:paraId="2D3D3BC3">
            <w:pPr>
              <w:rPr>
                <w:rFonts w:ascii="宋体" w:hAnsi="宋体" w:eastAsia="宋体" w:cs="宋体"/>
                <w:sz w:val="24"/>
                <w:szCs w:val="24"/>
              </w:rPr>
            </w:pPr>
            <w:r>
              <w:rPr>
                <w:rFonts w:hint="eastAsia" w:ascii="宋体" w:hAnsi="宋体" w:eastAsia="宋体" w:cs="宋体"/>
                <w:sz w:val="24"/>
                <w:szCs w:val="24"/>
              </w:rPr>
              <w:t>投标有效期</w:t>
            </w:r>
          </w:p>
        </w:tc>
        <w:tc>
          <w:tcPr>
            <w:tcW w:w="6295" w:type="dxa"/>
            <w:vAlign w:val="center"/>
          </w:tcPr>
          <w:p w14:paraId="3EDD5098">
            <w:pPr>
              <w:rPr>
                <w:rFonts w:ascii="宋体" w:hAnsi="宋体" w:eastAsia="宋体" w:cs="宋体"/>
                <w:sz w:val="24"/>
                <w:szCs w:val="24"/>
              </w:rPr>
            </w:pPr>
            <w:r>
              <w:rPr>
                <w:rFonts w:hint="eastAsia" w:ascii="宋体" w:hAnsi="宋体" w:eastAsia="宋体" w:cs="宋体"/>
                <w:sz w:val="24"/>
                <w:szCs w:val="24"/>
              </w:rPr>
              <w:t>从提交投标文件的截止之日起算的90天内有效。</w:t>
            </w:r>
          </w:p>
        </w:tc>
      </w:tr>
      <w:tr w14:paraId="35BFE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671" w:type="dxa"/>
            <w:vAlign w:val="center"/>
          </w:tcPr>
          <w:p w14:paraId="3BCD60F0">
            <w:pPr>
              <w:jc w:val="center"/>
              <w:rPr>
                <w:rFonts w:ascii="宋体" w:hAnsi="宋体" w:eastAsia="宋体" w:cs="宋体"/>
                <w:sz w:val="24"/>
                <w:szCs w:val="24"/>
              </w:rPr>
            </w:pPr>
            <w:r>
              <w:rPr>
                <w:rFonts w:hint="eastAsia" w:ascii="宋体" w:hAnsi="宋体" w:eastAsia="宋体" w:cs="宋体"/>
                <w:sz w:val="24"/>
                <w:szCs w:val="24"/>
              </w:rPr>
              <w:t>6</w:t>
            </w:r>
          </w:p>
        </w:tc>
        <w:tc>
          <w:tcPr>
            <w:tcW w:w="2545" w:type="dxa"/>
            <w:vAlign w:val="center"/>
          </w:tcPr>
          <w:p w14:paraId="0F04F649">
            <w:pPr>
              <w:rPr>
                <w:rFonts w:ascii="宋体" w:hAnsi="宋体" w:eastAsia="宋体" w:cs="宋体"/>
                <w:sz w:val="24"/>
                <w:szCs w:val="24"/>
              </w:rPr>
            </w:pPr>
            <w:r>
              <w:rPr>
                <w:rFonts w:hint="eastAsia" w:ascii="宋体" w:hAnsi="宋体" w:eastAsia="宋体" w:cs="宋体"/>
                <w:sz w:val="24"/>
                <w:szCs w:val="24"/>
              </w:rPr>
              <w:t>投标要求</w:t>
            </w:r>
          </w:p>
        </w:tc>
        <w:tc>
          <w:tcPr>
            <w:tcW w:w="6295" w:type="dxa"/>
            <w:vAlign w:val="center"/>
          </w:tcPr>
          <w:p w14:paraId="0AF9071A">
            <w:pPr>
              <w:rPr>
                <w:rFonts w:ascii="宋体" w:hAnsi="宋体" w:eastAsia="宋体" w:cs="宋体"/>
                <w:sz w:val="24"/>
                <w:szCs w:val="24"/>
              </w:rPr>
            </w:pPr>
            <w:r>
              <w:rPr>
                <w:rFonts w:hint="eastAsia" w:ascii="宋体" w:hAnsi="宋体" w:eastAsia="宋体" w:cs="宋体"/>
                <w:sz w:val="24"/>
                <w:szCs w:val="24"/>
              </w:rPr>
              <w:t>开标必须携带加密投标文件的CA数字证书、U盘和光盘内需拷贝投标文件和转换为PDF格式的盖章彩色扫描件。（或者是投标工具导出的PDF格式）</w:t>
            </w:r>
          </w:p>
        </w:tc>
      </w:tr>
      <w:tr w14:paraId="4B14F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671" w:type="dxa"/>
            <w:vAlign w:val="center"/>
          </w:tcPr>
          <w:p w14:paraId="54FA34DF">
            <w:pPr>
              <w:jc w:val="center"/>
              <w:rPr>
                <w:rFonts w:ascii="宋体" w:hAnsi="宋体" w:eastAsia="宋体" w:cs="宋体"/>
                <w:sz w:val="24"/>
                <w:szCs w:val="24"/>
              </w:rPr>
            </w:pPr>
            <w:r>
              <w:rPr>
                <w:rFonts w:hint="eastAsia" w:ascii="宋体" w:hAnsi="宋体" w:eastAsia="宋体" w:cs="宋体"/>
                <w:sz w:val="24"/>
                <w:szCs w:val="24"/>
              </w:rPr>
              <w:t>7</w:t>
            </w:r>
          </w:p>
        </w:tc>
        <w:tc>
          <w:tcPr>
            <w:tcW w:w="2545" w:type="dxa"/>
            <w:vAlign w:val="center"/>
          </w:tcPr>
          <w:p w14:paraId="38D5D4AA">
            <w:pPr>
              <w:rPr>
                <w:rFonts w:ascii="宋体" w:hAnsi="宋体" w:eastAsia="宋体" w:cs="宋体"/>
                <w:sz w:val="24"/>
                <w:szCs w:val="24"/>
              </w:rPr>
            </w:pPr>
            <w:r>
              <w:rPr>
                <w:rFonts w:hint="eastAsia" w:ascii="宋体" w:hAnsi="宋体" w:eastAsia="宋体" w:cs="宋体"/>
                <w:sz w:val="24"/>
                <w:szCs w:val="24"/>
              </w:rPr>
              <w:t>评标方法</w:t>
            </w:r>
          </w:p>
        </w:tc>
        <w:tc>
          <w:tcPr>
            <w:tcW w:w="6295" w:type="dxa"/>
            <w:vAlign w:val="center"/>
          </w:tcPr>
          <w:p w14:paraId="53475C65">
            <w:pPr>
              <w:rPr>
                <w:rFonts w:ascii="宋体" w:hAnsi="宋体" w:eastAsia="宋体" w:cs="宋体"/>
                <w:sz w:val="24"/>
                <w:szCs w:val="24"/>
              </w:rPr>
            </w:pPr>
            <w:r>
              <w:rPr>
                <w:rFonts w:hint="eastAsia" w:ascii="宋体" w:hAnsi="宋体" w:eastAsia="宋体" w:cs="宋体"/>
                <w:sz w:val="24"/>
                <w:szCs w:val="24"/>
              </w:rPr>
              <w:t>最低评标价法（）综合评分法（√）</w:t>
            </w:r>
          </w:p>
        </w:tc>
      </w:tr>
      <w:tr w14:paraId="3A739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rPr>
        <w:tc>
          <w:tcPr>
            <w:tcW w:w="671" w:type="dxa"/>
            <w:vAlign w:val="center"/>
          </w:tcPr>
          <w:p w14:paraId="172B30CB">
            <w:pPr>
              <w:jc w:val="center"/>
              <w:rPr>
                <w:rFonts w:ascii="宋体" w:hAnsi="宋体" w:eastAsia="宋体" w:cs="宋体"/>
                <w:sz w:val="24"/>
                <w:szCs w:val="24"/>
              </w:rPr>
            </w:pPr>
            <w:r>
              <w:rPr>
                <w:rFonts w:hint="eastAsia" w:ascii="宋体" w:hAnsi="宋体" w:eastAsia="宋体" w:cs="宋体"/>
                <w:sz w:val="24"/>
                <w:szCs w:val="24"/>
              </w:rPr>
              <w:t>8</w:t>
            </w:r>
          </w:p>
        </w:tc>
        <w:tc>
          <w:tcPr>
            <w:tcW w:w="2545" w:type="dxa"/>
            <w:vAlign w:val="center"/>
          </w:tcPr>
          <w:p w14:paraId="5C6F0DA2">
            <w:pPr>
              <w:rPr>
                <w:rFonts w:ascii="宋体" w:hAnsi="宋体" w:eastAsia="宋体" w:cs="宋体"/>
                <w:sz w:val="24"/>
                <w:szCs w:val="24"/>
              </w:rPr>
            </w:pPr>
            <w:r>
              <w:rPr>
                <w:rFonts w:hint="eastAsia" w:ascii="宋体" w:hAnsi="宋体" w:eastAsia="宋体" w:cs="宋体"/>
                <w:sz w:val="24"/>
                <w:szCs w:val="24"/>
              </w:rPr>
              <w:t>采购需求</w:t>
            </w:r>
          </w:p>
        </w:tc>
        <w:tc>
          <w:tcPr>
            <w:tcW w:w="6295" w:type="dxa"/>
            <w:vAlign w:val="center"/>
          </w:tcPr>
          <w:p w14:paraId="0436BD21">
            <w:pPr>
              <w:rPr>
                <w:rFonts w:ascii="宋体" w:hAnsi="宋体" w:eastAsia="宋体" w:cs="宋体"/>
                <w:sz w:val="24"/>
                <w:szCs w:val="24"/>
              </w:rPr>
            </w:pPr>
            <w:r>
              <w:rPr>
                <w:rFonts w:hint="eastAsia" w:ascii="宋体" w:hAnsi="宋体" w:eastAsia="宋体" w:cs="宋体"/>
                <w:sz w:val="24"/>
                <w:szCs w:val="24"/>
              </w:rPr>
              <w:t>详见采购清单</w:t>
            </w:r>
          </w:p>
        </w:tc>
      </w:tr>
      <w:tr w14:paraId="465C8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7ADDBFFC">
            <w:pPr>
              <w:jc w:val="center"/>
              <w:rPr>
                <w:rFonts w:ascii="宋体" w:hAnsi="宋体" w:eastAsia="宋体" w:cs="宋体"/>
                <w:sz w:val="24"/>
                <w:szCs w:val="24"/>
              </w:rPr>
            </w:pPr>
            <w:r>
              <w:rPr>
                <w:rFonts w:hint="eastAsia" w:ascii="宋体" w:hAnsi="宋体" w:eastAsia="宋体" w:cs="宋体"/>
                <w:sz w:val="24"/>
                <w:szCs w:val="24"/>
              </w:rPr>
              <w:t>9</w:t>
            </w:r>
          </w:p>
        </w:tc>
        <w:tc>
          <w:tcPr>
            <w:tcW w:w="2545" w:type="dxa"/>
            <w:vAlign w:val="center"/>
          </w:tcPr>
          <w:p w14:paraId="1264AAFC">
            <w:pPr>
              <w:rPr>
                <w:rFonts w:ascii="宋体" w:hAnsi="宋体" w:eastAsia="宋体" w:cs="宋体"/>
                <w:sz w:val="24"/>
                <w:szCs w:val="24"/>
              </w:rPr>
            </w:pPr>
            <w:r>
              <w:rPr>
                <w:rFonts w:hint="eastAsia" w:ascii="宋体" w:hAnsi="宋体" w:eastAsia="宋体" w:cs="宋体"/>
                <w:sz w:val="24"/>
                <w:szCs w:val="24"/>
              </w:rPr>
              <w:t>交货时间</w:t>
            </w:r>
          </w:p>
        </w:tc>
        <w:tc>
          <w:tcPr>
            <w:tcW w:w="6295" w:type="dxa"/>
            <w:vAlign w:val="center"/>
          </w:tcPr>
          <w:p w14:paraId="4B0734B7">
            <w:pPr>
              <w:rPr>
                <w:rFonts w:ascii="宋体" w:hAnsi="宋体" w:eastAsia="宋体" w:cs="宋体"/>
                <w:sz w:val="24"/>
                <w:szCs w:val="24"/>
              </w:rPr>
            </w:pPr>
            <w:r>
              <w:rPr>
                <w:rFonts w:hint="eastAsia" w:ascii="宋体" w:hAnsi="宋体" w:eastAsia="宋体" w:cs="宋体"/>
                <w:sz w:val="24"/>
                <w:szCs w:val="24"/>
              </w:rPr>
              <w:t>详见第一章 合同履行期限</w:t>
            </w:r>
          </w:p>
        </w:tc>
      </w:tr>
      <w:tr w14:paraId="2DFD1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6A200253">
            <w:pPr>
              <w:jc w:val="center"/>
              <w:rPr>
                <w:rFonts w:ascii="宋体" w:hAnsi="宋体" w:eastAsia="宋体" w:cs="宋体"/>
                <w:sz w:val="24"/>
                <w:szCs w:val="24"/>
              </w:rPr>
            </w:pPr>
            <w:r>
              <w:rPr>
                <w:rFonts w:hint="eastAsia" w:ascii="宋体" w:hAnsi="宋体" w:eastAsia="宋体" w:cs="宋体"/>
                <w:sz w:val="24"/>
                <w:szCs w:val="24"/>
              </w:rPr>
              <w:t>10</w:t>
            </w:r>
          </w:p>
        </w:tc>
        <w:tc>
          <w:tcPr>
            <w:tcW w:w="2545" w:type="dxa"/>
            <w:vAlign w:val="center"/>
          </w:tcPr>
          <w:p w14:paraId="1C75D0F5">
            <w:pPr>
              <w:rPr>
                <w:rFonts w:ascii="宋体" w:hAnsi="宋体" w:eastAsia="宋体" w:cs="宋体"/>
                <w:sz w:val="24"/>
                <w:szCs w:val="24"/>
              </w:rPr>
            </w:pPr>
            <w:r>
              <w:rPr>
                <w:rFonts w:hint="eastAsia" w:ascii="宋体" w:hAnsi="宋体" w:eastAsia="宋体" w:cs="宋体"/>
                <w:sz w:val="24"/>
                <w:szCs w:val="24"/>
              </w:rPr>
              <w:t>交货地点</w:t>
            </w:r>
          </w:p>
        </w:tc>
        <w:tc>
          <w:tcPr>
            <w:tcW w:w="6295" w:type="dxa"/>
            <w:vAlign w:val="center"/>
          </w:tcPr>
          <w:p w14:paraId="67FD51F8">
            <w:pPr>
              <w:rPr>
                <w:rFonts w:ascii="宋体" w:hAnsi="宋体" w:eastAsia="宋体" w:cs="宋体"/>
                <w:sz w:val="24"/>
                <w:szCs w:val="24"/>
              </w:rPr>
            </w:pPr>
            <w:r>
              <w:rPr>
                <w:rFonts w:hint="eastAsia" w:ascii="宋体" w:hAnsi="宋体" w:eastAsia="宋体" w:cs="宋体"/>
                <w:sz w:val="24"/>
                <w:szCs w:val="24"/>
              </w:rPr>
              <w:t>用户指定地点</w:t>
            </w:r>
          </w:p>
        </w:tc>
      </w:tr>
      <w:tr w14:paraId="413D9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1D2E8794">
            <w:pPr>
              <w:jc w:val="center"/>
              <w:rPr>
                <w:rFonts w:ascii="宋体" w:hAnsi="宋体" w:eastAsia="宋体" w:cs="宋体"/>
                <w:sz w:val="24"/>
                <w:szCs w:val="24"/>
              </w:rPr>
            </w:pPr>
            <w:r>
              <w:rPr>
                <w:rFonts w:hint="eastAsia" w:ascii="宋体" w:hAnsi="宋体" w:eastAsia="宋体" w:cs="宋体"/>
                <w:sz w:val="24"/>
                <w:szCs w:val="24"/>
              </w:rPr>
              <w:t>11</w:t>
            </w:r>
          </w:p>
        </w:tc>
        <w:tc>
          <w:tcPr>
            <w:tcW w:w="2545" w:type="dxa"/>
            <w:vAlign w:val="center"/>
          </w:tcPr>
          <w:p w14:paraId="1A899238">
            <w:pPr>
              <w:rPr>
                <w:rFonts w:ascii="宋体" w:hAnsi="宋体" w:eastAsia="宋体" w:cs="宋体"/>
                <w:sz w:val="24"/>
                <w:szCs w:val="24"/>
              </w:rPr>
            </w:pPr>
            <w:r>
              <w:rPr>
                <w:rFonts w:hint="eastAsia" w:ascii="宋体" w:hAnsi="宋体" w:eastAsia="宋体" w:cs="宋体"/>
                <w:sz w:val="24"/>
                <w:szCs w:val="24"/>
              </w:rPr>
              <w:t>本项目所属行业</w:t>
            </w:r>
          </w:p>
        </w:tc>
        <w:tc>
          <w:tcPr>
            <w:tcW w:w="6295" w:type="dxa"/>
          </w:tcPr>
          <w:p w14:paraId="04B3BFC7">
            <w:pPr>
              <w:rPr>
                <w:rFonts w:ascii="宋体" w:hAnsi="宋体" w:eastAsia="宋体" w:cs="宋体"/>
                <w:sz w:val="24"/>
                <w:szCs w:val="24"/>
              </w:rPr>
            </w:pPr>
            <w:r>
              <w:rPr>
                <w:rFonts w:hint="eastAsia" w:ascii="宋体" w:hAnsi="宋体" w:eastAsia="宋体" w:cs="宋体"/>
                <w:sz w:val="24"/>
                <w:szCs w:val="24"/>
              </w:rPr>
              <w:t>根据《统计上大中小微型企业划分办法（2017）》，本项目所属行业为软件和信息技术服务业。</w:t>
            </w:r>
          </w:p>
        </w:tc>
      </w:tr>
      <w:tr w14:paraId="69F572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rPr>
        <w:tc>
          <w:tcPr>
            <w:tcW w:w="671" w:type="dxa"/>
            <w:vAlign w:val="center"/>
          </w:tcPr>
          <w:p w14:paraId="70264BE7">
            <w:pPr>
              <w:jc w:val="center"/>
              <w:rPr>
                <w:rFonts w:ascii="宋体" w:hAnsi="宋体" w:eastAsia="宋体" w:cs="宋体"/>
                <w:sz w:val="24"/>
                <w:szCs w:val="24"/>
              </w:rPr>
            </w:pPr>
            <w:r>
              <w:rPr>
                <w:rFonts w:hint="eastAsia" w:ascii="宋体" w:hAnsi="宋体" w:eastAsia="宋体" w:cs="宋体"/>
                <w:sz w:val="24"/>
                <w:szCs w:val="24"/>
              </w:rPr>
              <w:t>12</w:t>
            </w:r>
          </w:p>
        </w:tc>
        <w:tc>
          <w:tcPr>
            <w:tcW w:w="2545" w:type="dxa"/>
            <w:vAlign w:val="center"/>
          </w:tcPr>
          <w:p w14:paraId="74651922">
            <w:pPr>
              <w:rPr>
                <w:rFonts w:ascii="宋体" w:hAnsi="宋体" w:eastAsia="宋体" w:cs="宋体"/>
                <w:sz w:val="24"/>
                <w:szCs w:val="24"/>
              </w:rPr>
            </w:pPr>
            <w:r>
              <w:rPr>
                <w:rFonts w:hint="eastAsia" w:ascii="宋体" w:hAnsi="宋体" w:eastAsia="宋体" w:cs="宋体"/>
                <w:sz w:val="24"/>
                <w:szCs w:val="24"/>
              </w:rPr>
              <w:t>备注</w:t>
            </w:r>
          </w:p>
        </w:tc>
        <w:tc>
          <w:tcPr>
            <w:tcW w:w="6295" w:type="dxa"/>
            <w:vAlign w:val="center"/>
          </w:tcPr>
          <w:p w14:paraId="6DA03306">
            <w:pPr>
              <w:rPr>
                <w:rFonts w:ascii="宋体" w:hAnsi="宋体" w:eastAsia="宋体" w:cs="宋体"/>
                <w:sz w:val="24"/>
                <w:szCs w:val="24"/>
              </w:rPr>
            </w:pPr>
            <w:r>
              <w:rPr>
                <w:rFonts w:hint="eastAsia" w:ascii="宋体" w:hAnsi="宋体" w:eastAsia="宋体" w:cs="宋体"/>
                <w:sz w:val="24"/>
                <w:szCs w:val="24"/>
              </w:rPr>
              <w:t>1、采购需求中未列明偏差的除特殊订制类货物以外，列明的尺寸、重量及体积允许±5%偏差。</w:t>
            </w:r>
          </w:p>
          <w:p w14:paraId="6A685BF4">
            <w:pPr>
              <w:rPr>
                <w:rFonts w:ascii="宋体" w:hAnsi="宋体" w:eastAsia="宋体" w:cs="宋体"/>
                <w:sz w:val="24"/>
                <w:szCs w:val="24"/>
              </w:rPr>
            </w:pPr>
            <w:r>
              <w:rPr>
                <w:rFonts w:hint="eastAsia" w:ascii="宋体" w:hAnsi="宋体" w:eastAsia="宋体" w:cs="宋体"/>
                <w:sz w:val="24"/>
                <w:szCs w:val="24"/>
              </w:rPr>
              <w:t>2、采购标的物需按照国家相关标准、行业标准、地方标准或者其他标准、规范执行。</w:t>
            </w:r>
          </w:p>
          <w:p w14:paraId="7CCD1C7A">
            <w:pPr>
              <w:rPr>
                <w:rFonts w:ascii="宋体" w:hAnsi="宋体" w:eastAsia="宋体" w:cs="宋体"/>
                <w:b/>
                <w:bCs/>
                <w:sz w:val="24"/>
                <w:szCs w:val="24"/>
              </w:rPr>
            </w:pPr>
            <w:r>
              <w:rPr>
                <w:rFonts w:hint="eastAsia" w:ascii="宋体" w:hAnsi="宋体" w:eastAsia="宋体" w:cs="宋体"/>
                <w:b/>
                <w:bCs/>
                <w:sz w:val="24"/>
                <w:szCs w:val="24"/>
              </w:rPr>
              <w:t>3包要求：</w:t>
            </w:r>
          </w:p>
          <w:p w14:paraId="1F17E81D">
            <w:pPr>
              <w:rPr>
                <w:rFonts w:ascii="宋体" w:hAnsi="宋体" w:eastAsia="宋体" w:cs="宋体"/>
                <w:sz w:val="24"/>
                <w:szCs w:val="24"/>
              </w:rPr>
            </w:pPr>
            <w:r>
              <w:rPr>
                <w:rFonts w:hint="eastAsia" w:ascii="宋体" w:hAnsi="宋体" w:eastAsia="宋体" w:cs="宋体"/>
                <w:b/>
                <w:bCs/>
                <w:sz w:val="24"/>
                <w:szCs w:val="24"/>
              </w:rPr>
              <w:t>须指导系统承建厂商按照安全相关规定达到测评合格验收标准。</w:t>
            </w:r>
          </w:p>
        </w:tc>
      </w:tr>
    </w:tbl>
    <w:p w14:paraId="5E939F6F">
      <w:pPr>
        <w:rPr>
          <w:rFonts w:ascii="宋体" w:hAnsi="宋体" w:eastAsia="宋体" w:cs="宋体"/>
          <w:sz w:val="24"/>
          <w:szCs w:val="24"/>
        </w:rPr>
      </w:pPr>
      <w:bookmarkStart w:id="4" w:name="_Hlk88409803"/>
    </w:p>
    <w:p w14:paraId="06AF8BF5">
      <w:pPr>
        <w:pStyle w:val="2"/>
        <w:rPr>
          <w:rFonts w:ascii="宋体" w:hAnsi="宋体" w:cs="宋体"/>
          <w:sz w:val="24"/>
          <w:szCs w:val="24"/>
        </w:rPr>
      </w:pPr>
      <w:bookmarkStart w:id="5" w:name="_Toc103263083"/>
    </w:p>
    <w:p w14:paraId="21133B6C">
      <w:pPr>
        <w:pStyle w:val="2"/>
        <w:rPr>
          <w:rFonts w:hint="eastAsia" w:ascii="宋体" w:hAnsi="宋体" w:cs="宋体"/>
          <w:sz w:val="24"/>
          <w:szCs w:val="24"/>
        </w:rPr>
      </w:pPr>
      <w:bookmarkStart w:id="6" w:name="_Toc12528"/>
    </w:p>
    <w:p w14:paraId="26A7B17B">
      <w:pPr>
        <w:rPr>
          <w:rFonts w:hint="eastAsia"/>
        </w:rPr>
      </w:pPr>
    </w:p>
    <w:p w14:paraId="0DB3F7ED">
      <w:pPr>
        <w:pStyle w:val="2"/>
        <w:rPr>
          <w:rFonts w:ascii="宋体" w:hAnsi="宋体" w:cs="宋体"/>
          <w:sz w:val="24"/>
          <w:szCs w:val="24"/>
        </w:rPr>
      </w:pPr>
      <w:r>
        <w:rPr>
          <w:rFonts w:hint="eastAsia" w:ascii="宋体" w:hAnsi="宋体" w:cs="宋体"/>
          <w:sz w:val="24"/>
          <w:szCs w:val="24"/>
        </w:rPr>
        <w:t>2、</w:t>
      </w:r>
      <w:bookmarkEnd w:id="5"/>
      <w:bookmarkStart w:id="7" w:name="_Toc103263084"/>
      <w:r>
        <w:rPr>
          <w:rFonts w:hint="eastAsia" w:ascii="宋体" w:hAnsi="宋体" w:cs="宋体"/>
          <w:sz w:val="24"/>
          <w:szCs w:val="24"/>
        </w:rPr>
        <w:t>采购需求</w:t>
      </w:r>
      <w:bookmarkEnd w:id="4"/>
      <w:bookmarkEnd w:id="6"/>
      <w:bookmarkEnd w:id="7"/>
    </w:p>
    <w:p w14:paraId="719094D2">
      <w:pPr>
        <w:rPr>
          <w:rFonts w:ascii="宋体" w:hAnsi="宋体" w:eastAsia="宋体" w:cs="宋体"/>
          <w:sz w:val="24"/>
          <w:szCs w:val="24"/>
        </w:rPr>
      </w:pPr>
    </w:p>
    <w:tbl>
      <w:tblPr>
        <w:tblStyle w:val="9"/>
        <w:tblW w:w="8379" w:type="dxa"/>
        <w:tblInd w:w="93" w:type="dxa"/>
        <w:tblLayout w:type="autofit"/>
        <w:tblCellMar>
          <w:top w:w="0" w:type="dxa"/>
          <w:left w:w="108" w:type="dxa"/>
          <w:bottom w:w="0" w:type="dxa"/>
          <w:right w:w="108" w:type="dxa"/>
        </w:tblCellMar>
      </w:tblPr>
      <w:tblGrid>
        <w:gridCol w:w="578"/>
        <w:gridCol w:w="2981"/>
        <w:gridCol w:w="4820"/>
      </w:tblGrid>
      <w:tr w14:paraId="729AAF50">
        <w:tblPrEx>
          <w:tblCellMar>
            <w:top w:w="0" w:type="dxa"/>
            <w:left w:w="108" w:type="dxa"/>
            <w:bottom w:w="0" w:type="dxa"/>
            <w:right w:w="108" w:type="dxa"/>
          </w:tblCellMar>
        </w:tblPrEx>
        <w:trPr>
          <w:trHeight w:val="615" w:hRule="atLeast"/>
        </w:trPr>
        <w:tc>
          <w:tcPr>
            <w:tcW w:w="3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794E4">
            <w:pPr>
              <w:jc w:val="center"/>
              <w:textAlignment w:val="center"/>
              <w:rPr>
                <w:rFonts w:ascii="宋体" w:hAnsi="宋体" w:eastAsia="宋体" w:cs="宋体"/>
                <w:b/>
                <w:bCs/>
                <w:sz w:val="24"/>
                <w:szCs w:val="24"/>
              </w:rPr>
            </w:pPr>
            <w:r>
              <w:rPr>
                <w:rStyle w:val="11"/>
                <w:rFonts w:hint="default"/>
                <w:lang w:bidi="ar"/>
              </w:rPr>
              <w:t>分包名称</w:t>
            </w:r>
          </w:p>
        </w:tc>
        <w:tc>
          <w:tcPr>
            <w:tcW w:w="4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7FEF3">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服务内容</w:t>
            </w:r>
          </w:p>
        </w:tc>
      </w:tr>
      <w:tr w14:paraId="00BF21FF">
        <w:tblPrEx>
          <w:tblCellMar>
            <w:top w:w="0" w:type="dxa"/>
            <w:left w:w="108" w:type="dxa"/>
            <w:bottom w:w="0" w:type="dxa"/>
            <w:right w:w="108" w:type="dxa"/>
          </w:tblCellMar>
        </w:tblPrEx>
        <w:trPr>
          <w:trHeight w:val="570" w:hRule="atLeast"/>
        </w:trPr>
        <w:tc>
          <w:tcPr>
            <w:tcW w:w="3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181A">
            <w:pPr>
              <w:jc w:val="center"/>
              <w:rPr>
                <w:rFonts w:ascii="宋体" w:hAnsi="宋体" w:eastAsia="宋体" w:cs="宋体"/>
                <w:b/>
                <w:bCs/>
                <w:sz w:val="24"/>
                <w:szCs w:val="24"/>
              </w:rPr>
            </w:pPr>
          </w:p>
        </w:tc>
        <w:tc>
          <w:tcPr>
            <w:tcW w:w="4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56F3">
            <w:pPr>
              <w:jc w:val="center"/>
              <w:rPr>
                <w:rFonts w:ascii="宋体" w:hAnsi="宋体" w:eastAsia="宋体" w:cs="宋体"/>
                <w:b/>
                <w:bCs/>
                <w:sz w:val="24"/>
                <w:szCs w:val="24"/>
              </w:rPr>
            </w:pPr>
          </w:p>
        </w:tc>
      </w:tr>
      <w:tr w14:paraId="73420F1B">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2C89">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3包</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A2C">
            <w:pPr>
              <w:textAlignment w:val="center"/>
              <w:rPr>
                <w:rFonts w:ascii="宋体" w:hAnsi="宋体" w:eastAsia="宋体" w:cs="宋体"/>
                <w:b/>
                <w:bCs/>
                <w:sz w:val="24"/>
                <w:szCs w:val="24"/>
              </w:rPr>
            </w:pPr>
            <w:r>
              <w:rPr>
                <w:rFonts w:hint="eastAsia" w:ascii="宋体" w:hAnsi="宋体" w:eastAsia="宋体" w:cs="宋体"/>
                <w:b/>
                <w:bCs/>
                <w:sz w:val="24"/>
                <w:szCs w:val="24"/>
                <w:lang w:bidi="ar"/>
              </w:rPr>
              <w:t>网络安全等级保护测评服务</w:t>
            </w:r>
          </w:p>
        </w:tc>
        <w:tc>
          <w:tcPr>
            <w:tcW w:w="4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17F">
            <w:pPr>
              <w:textAlignment w:val="center"/>
              <w:rPr>
                <w:rFonts w:ascii="宋体" w:hAnsi="宋体" w:eastAsia="宋体" w:cs="宋体"/>
                <w:sz w:val="24"/>
                <w:szCs w:val="24"/>
              </w:rPr>
            </w:pPr>
            <w:r>
              <w:rPr>
                <w:rFonts w:hint="eastAsia" w:ascii="宋体" w:hAnsi="宋体" w:eastAsia="宋体" w:cs="宋体"/>
                <w:sz w:val="24"/>
                <w:szCs w:val="24"/>
                <w:lang w:bidi="ar"/>
              </w:rPr>
              <w:t>网络安全等级保护测评</w:t>
            </w:r>
          </w:p>
        </w:tc>
      </w:tr>
    </w:tbl>
    <w:p w14:paraId="60415F12">
      <w:pPr>
        <w:pStyle w:val="7"/>
        <w:ind w:firstLine="0" w:firstLineChars="0"/>
        <w:rPr>
          <w:rFonts w:ascii="宋体" w:hAnsi="宋体" w:eastAsia="宋体" w:cs="宋体"/>
          <w:sz w:val="24"/>
          <w:szCs w:val="24"/>
        </w:rPr>
      </w:pPr>
    </w:p>
    <w:p w14:paraId="674FA8E6">
      <w:pPr>
        <w:ind w:firstLine="480"/>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项目总体概况：</w:t>
      </w:r>
    </w:p>
    <w:p w14:paraId="3CD2816E">
      <w:pPr>
        <w:ind w:firstLine="480"/>
        <w:rPr>
          <w:rFonts w:ascii="宋体" w:hAnsi="宋体" w:eastAsia="宋体" w:cs="宋体"/>
          <w:sz w:val="24"/>
          <w:szCs w:val="24"/>
        </w:rPr>
      </w:pPr>
      <w:r>
        <w:rPr>
          <w:rFonts w:hint="eastAsia" w:ascii="宋体" w:hAnsi="宋体" w:eastAsia="宋体" w:cs="宋体"/>
          <w:sz w:val="24"/>
          <w:szCs w:val="24"/>
        </w:rPr>
        <w:t>按照国家医疗保障局印发的《医疗保障信息平台建设指南》要求，开展建设海南省医疗保障综合管控系统扩展和多层次医疗救助一体化平台建设项目。</w:t>
      </w:r>
    </w:p>
    <w:p w14:paraId="4C834EE6">
      <w:pPr>
        <w:ind w:firstLine="480"/>
        <w:rPr>
          <w:rFonts w:ascii="宋体" w:hAnsi="宋体" w:eastAsia="宋体" w:cs="宋体"/>
          <w:sz w:val="24"/>
          <w:szCs w:val="24"/>
        </w:rPr>
      </w:pPr>
      <w:r>
        <w:rPr>
          <w:rFonts w:hint="eastAsia" w:ascii="宋体" w:hAnsi="宋体" w:eastAsia="宋体" w:cs="宋体"/>
          <w:sz w:val="24"/>
          <w:szCs w:val="24"/>
        </w:rPr>
        <w:t>核心业务区和公共服务区部署的系统如下表所示：</w:t>
      </w:r>
    </w:p>
    <w:tbl>
      <w:tblPr>
        <w:tblStyle w:val="9"/>
        <w:tblW w:w="8623" w:type="dxa"/>
        <w:tblInd w:w="8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907"/>
        <w:gridCol w:w="1058"/>
        <w:gridCol w:w="3053"/>
        <w:gridCol w:w="2000"/>
        <w:gridCol w:w="1605"/>
      </w:tblGrid>
      <w:tr w14:paraId="1E3416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7" w:hRule="atLeast"/>
          <w:tblHeader/>
        </w:trPr>
        <w:tc>
          <w:tcPr>
            <w:tcW w:w="907" w:type="dxa"/>
            <w:vAlign w:val="center"/>
          </w:tcPr>
          <w:p w14:paraId="505110D1">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序号</w:t>
            </w:r>
          </w:p>
        </w:tc>
        <w:tc>
          <w:tcPr>
            <w:tcW w:w="1058" w:type="dxa"/>
            <w:vAlign w:val="center"/>
          </w:tcPr>
          <w:p w14:paraId="484F429F">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系统</w:t>
            </w:r>
          </w:p>
        </w:tc>
        <w:tc>
          <w:tcPr>
            <w:tcW w:w="3053" w:type="dxa"/>
            <w:vAlign w:val="center"/>
          </w:tcPr>
          <w:p w14:paraId="7E2E5CD1">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Hans" w:bidi="ar"/>
              </w:rPr>
              <w:t>子</w:t>
            </w:r>
            <w:r>
              <w:rPr>
                <w:rFonts w:hint="eastAsia" w:ascii="宋体" w:hAnsi="宋体" w:eastAsia="宋体" w:cs="宋体"/>
                <w:b/>
                <w:bCs/>
                <w:sz w:val="24"/>
                <w:szCs w:val="24"/>
                <w:lang w:bidi="ar"/>
              </w:rPr>
              <w:t>系统名称</w:t>
            </w:r>
          </w:p>
        </w:tc>
        <w:tc>
          <w:tcPr>
            <w:tcW w:w="2000" w:type="dxa"/>
            <w:vAlign w:val="center"/>
          </w:tcPr>
          <w:p w14:paraId="22401036">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部署区域</w:t>
            </w:r>
          </w:p>
        </w:tc>
        <w:tc>
          <w:tcPr>
            <w:tcW w:w="1605" w:type="dxa"/>
            <w:vAlign w:val="center"/>
          </w:tcPr>
          <w:p w14:paraId="507423A4">
            <w:pPr>
              <w:jc w:val="center"/>
              <w:textAlignment w:val="center"/>
              <w:rPr>
                <w:rFonts w:ascii="宋体" w:hAnsi="宋体" w:eastAsia="宋体" w:cs="宋体"/>
                <w:b/>
                <w:bCs/>
                <w:sz w:val="24"/>
                <w:szCs w:val="24"/>
              </w:rPr>
            </w:pPr>
            <w:r>
              <w:rPr>
                <w:rFonts w:hint="eastAsia" w:ascii="宋体" w:hAnsi="宋体" w:eastAsia="宋体" w:cs="宋体"/>
                <w:b/>
                <w:bCs/>
                <w:sz w:val="24"/>
                <w:szCs w:val="24"/>
                <w:lang w:bidi="ar"/>
              </w:rPr>
              <w:t>备注</w:t>
            </w:r>
          </w:p>
        </w:tc>
      </w:tr>
      <w:tr w14:paraId="75FDF3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4C51F237">
            <w:pPr>
              <w:jc w:val="center"/>
              <w:textAlignment w:val="center"/>
              <w:rPr>
                <w:rFonts w:ascii="宋体" w:hAnsi="宋体" w:eastAsia="宋体" w:cs="宋体"/>
                <w:sz w:val="24"/>
                <w:szCs w:val="24"/>
              </w:rPr>
            </w:pPr>
            <w:r>
              <w:rPr>
                <w:rFonts w:hint="eastAsia" w:ascii="宋体" w:hAnsi="宋体" w:eastAsia="宋体" w:cs="宋体"/>
                <w:sz w:val="24"/>
                <w:szCs w:val="24"/>
                <w:lang w:bidi="ar"/>
              </w:rPr>
              <w:t>1</w:t>
            </w:r>
          </w:p>
        </w:tc>
        <w:tc>
          <w:tcPr>
            <w:tcW w:w="1058" w:type="dxa"/>
            <w:vMerge w:val="restart"/>
            <w:vAlign w:val="center"/>
          </w:tcPr>
          <w:p w14:paraId="5FEA2F19">
            <w:pPr>
              <w:textAlignment w:val="center"/>
              <w:rPr>
                <w:rFonts w:ascii="宋体" w:hAnsi="宋体" w:eastAsia="宋体" w:cs="宋体"/>
                <w:sz w:val="24"/>
                <w:szCs w:val="24"/>
              </w:rPr>
            </w:pPr>
            <w:r>
              <w:rPr>
                <w:rFonts w:hint="eastAsia" w:ascii="宋体" w:hAnsi="宋体" w:eastAsia="宋体" w:cs="宋体"/>
                <w:sz w:val="24"/>
                <w:szCs w:val="24"/>
                <w:lang w:bidi="ar"/>
              </w:rPr>
              <w:t>多层次医疗救助</w:t>
            </w:r>
          </w:p>
        </w:tc>
        <w:tc>
          <w:tcPr>
            <w:tcW w:w="3053" w:type="dxa"/>
            <w:vAlign w:val="center"/>
          </w:tcPr>
          <w:p w14:paraId="18909496">
            <w:pPr>
              <w:jc w:val="center"/>
              <w:textAlignment w:val="center"/>
              <w:rPr>
                <w:rFonts w:ascii="宋体" w:hAnsi="宋体" w:eastAsia="宋体" w:cs="宋体"/>
                <w:sz w:val="24"/>
                <w:szCs w:val="24"/>
              </w:rPr>
            </w:pPr>
            <w:r>
              <w:rPr>
                <w:rFonts w:hint="eastAsia" w:ascii="宋体" w:hAnsi="宋体" w:eastAsia="宋体" w:cs="宋体"/>
                <w:sz w:val="24"/>
                <w:szCs w:val="24"/>
                <w:lang w:bidi="ar"/>
              </w:rPr>
              <w:t>医疗救助基础信息管理系统</w:t>
            </w:r>
          </w:p>
        </w:tc>
        <w:tc>
          <w:tcPr>
            <w:tcW w:w="2000" w:type="dxa"/>
            <w:vAlign w:val="center"/>
          </w:tcPr>
          <w:p w14:paraId="2D218D85">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38905C16">
            <w:pPr>
              <w:ind w:firstLine="420"/>
              <w:jc w:val="center"/>
              <w:rPr>
                <w:rFonts w:ascii="宋体" w:hAnsi="宋体" w:eastAsia="宋体" w:cs="宋体"/>
                <w:sz w:val="24"/>
                <w:szCs w:val="24"/>
              </w:rPr>
            </w:pPr>
          </w:p>
        </w:tc>
      </w:tr>
      <w:tr w14:paraId="75A27D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217F1ED2">
            <w:pPr>
              <w:jc w:val="center"/>
              <w:textAlignment w:val="center"/>
              <w:rPr>
                <w:rFonts w:ascii="宋体" w:hAnsi="宋体" w:eastAsia="宋体" w:cs="宋体"/>
                <w:sz w:val="24"/>
                <w:szCs w:val="24"/>
              </w:rPr>
            </w:pPr>
            <w:r>
              <w:rPr>
                <w:rFonts w:hint="eastAsia" w:ascii="宋体" w:hAnsi="宋体" w:eastAsia="宋体" w:cs="宋体"/>
                <w:sz w:val="24"/>
                <w:szCs w:val="24"/>
                <w:lang w:bidi="ar"/>
              </w:rPr>
              <w:t>2</w:t>
            </w:r>
          </w:p>
        </w:tc>
        <w:tc>
          <w:tcPr>
            <w:tcW w:w="1058" w:type="dxa"/>
            <w:vMerge w:val="continue"/>
            <w:vAlign w:val="center"/>
          </w:tcPr>
          <w:p w14:paraId="1DCFD99B">
            <w:pPr>
              <w:ind w:firstLine="420"/>
              <w:jc w:val="center"/>
              <w:rPr>
                <w:rFonts w:ascii="宋体" w:hAnsi="宋体" w:eastAsia="宋体" w:cs="宋体"/>
                <w:sz w:val="24"/>
                <w:szCs w:val="24"/>
              </w:rPr>
            </w:pPr>
          </w:p>
        </w:tc>
        <w:tc>
          <w:tcPr>
            <w:tcW w:w="3053" w:type="dxa"/>
            <w:vAlign w:val="center"/>
          </w:tcPr>
          <w:p w14:paraId="55D58921">
            <w:pPr>
              <w:jc w:val="center"/>
              <w:textAlignment w:val="center"/>
              <w:rPr>
                <w:rFonts w:ascii="宋体" w:hAnsi="宋体" w:eastAsia="宋体" w:cs="宋体"/>
                <w:sz w:val="24"/>
                <w:szCs w:val="24"/>
              </w:rPr>
            </w:pPr>
            <w:r>
              <w:rPr>
                <w:rFonts w:hint="eastAsia" w:ascii="宋体" w:hAnsi="宋体" w:eastAsia="宋体" w:cs="宋体"/>
                <w:sz w:val="24"/>
                <w:szCs w:val="24"/>
                <w:lang w:bidi="ar"/>
              </w:rPr>
              <w:t>医疗救助数据共享中心</w:t>
            </w:r>
          </w:p>
        </w:tc>
        <w:tc>
          <w:tcPr>
            <w:tcW w:w="2000" w:type="dxa"/>
            <w:vAlign w:val="center"/>
          </w:tcPr>
          <w:p w14:paraId="633F1788">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782F7DD1">
            <w:pPr>
              <w:ind w:firstLine="420"/>
              <w:jc w:val="center"/>
              <w:rPr>
                <w:rFonts w:ascii="宋体" w:hAnsi="宋体" w:eastAsia="宋体" w:cs="宋体"/>
                <w:sz w:val="24"/>
                <w:szCs w:val="24"/>
              </w:rPr>
            </w:pPr>
          </w:p>
        </w:tc>
      </w:tr>
      <w:tr w14:paraId="6017B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1CE04A2A">
            <w:pPr>
              <w:jc w:val="center"/>
              <w:textAlignment w:val="center"/>
              <w:rPr>
                <w:rFonts w:ascii="宋体" w:hAnsi="宋体" w:eastAsia="宋体" w:cs="宋体"/>
                <w:sz w:val="24"/>
                <w:szCs w:val="24"/>
              </w:rPr>
            </w:pPr>
            <w:r>
              <w:rPr>
                <w:rFonts w:hint="eastAsia" w:ascii="宋体" w:hAnsi="宋体" w:eastAsia="宋体" w:cs="宋体"/>
                <w:sz w:val="24"/>
                <w:szCs w:val="24"/>
                <w:lang w:bidi="ar"/>
              </w:rPr>
              <w:t>3</w:t>
            </w:r>
          </w:p>
        </w:tc>
        <w:tc>
          <w:tcPr>
            <w:tcW w:w="1058" w:type="dxa"/>
            <w:vMerge w:val="continue"/>
            <w:vAlign w:val="center"/>
          </w:tcPr>
          <w:p w14:paraId="51B40BA2">
            <w:pPr>
              <w:ind w:firstLine="420"/>
              <w:jc w:val="center"/>
              <w:rPr>
                <w:rFonts w:ascii="宋体" w:hAnsi="宋体" w:eastAsia="宋体" w:cs="宋体"/>
                <w:sz w:val="24"/>
                <w:szCs w:val="24"/>
              </w:rPr>
            </w:pPr>
          </w:p>
        </w:tc>
        <w:tc>
          <w:tcPr>
            <w:tcW w:w="3053" w:type="dxa"/>
            <w:vAlign w:val="center"/>
          </w:tcPr>
          <w:p w14:paraId="5FB3FE99">
            <w:pPr>
              <w:jc w:val="center"/>
              <w:textAlignment w:val="center"/>
              <w:rPr>
                <w:rFonts w:ascii="宋体" w:hAnsi="宋体" w:eastAsia="宋体" w:cs="宋体"/>
                <w:sz w:val="24"/>
                <w:szCs w:val="24"/>
              </w:rPr>
            </w:pPr>
            <w:r>
              <w:rPr>
                <w:rFonts w:hint="eastAsia" w:ascii="宋体" w:hAnsi="宋体" w:eastAsia="宋体" w:cs="宋体"/>
                <w:sz w:val="24"/>
                <w:szCs w:val="24"/>
                <w:lang w:bidi="ar"/>
              </w:rPr>
              <w:t>医疗救助业务标准规范管理系统</w:t>
            </w:r>
          </w:p>
        </w:tc>
        <w:tc>
          <w:tcPr>
            <w:tcW w:w="2000" w:type="dxa"/>
            <w:vAlign w:val="center"/>
          </w:tcPr>
          <w:p w14:paraId="6DF83EB9">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4B352379">
            <w:pPr>
              <w:ind w:firstLine="420"/>
              <w:jc w:val="center"/>
              <w:rPr>
                <w:rFonts w:ascii="宋体" w:hAnsi="宋体" w:eastAsia="宋体" w:cs="宋体"/>
                <w:sz w:val="24"/>
                <w:szCs w:val="24"/>
              </w:rPr>
            </w:pPr>
          </w:p>
        </w:tc>
      </w:tr>
      <w:tr w14:paraId="39B112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56C2E744">
            <w:pPr>
              <w:jc w:val="center"/>
              <w:textAlignment w:val="center"/>
              <w:rPr>
                <w:rFonts w:ascii="宋体" w:hAnsi="宋体" w:eastAsia="宋体" w:cs="宋体"/>
                <w:sz w:val="24"/>
                <w:szCs w:val="24"/>
              </w:rPr>
            </w:pPr>
            <w:r>
              <w:rPr>
                <w:rFonts w:hint="eastAsia" w:ascii="宋体" w:hAnsi="宋体" w:eastAsia="宋体" w:cs="宋体"/>
                <w:sz w:val="24"/>
                <w:szCs w:val="24"/>
                <w:lang w:bidi="ar"/>
              </w:rPr>
              <w:t>4</w:t>
            </w:r>
          </w:p>
        </w:tc>
        <w:tc>
          <w:tcPr>
            <w:tcW w:w="1058" w:type="dxa"/>
            <w:vMerge w:val="continue"/>
            <w:vAlign w:val="center"/>
          </w:tcPr>
          <w:p w14:paraId="5678CDD0">
            <w:pPr>
              <w:ind w:firstLine="420"/>
              <w:jc w:val="center"/>
              <w:rPr>
                <w:rFonts w:ascii="宋体" w:hAnsi="宋体" w:eastAsia="宋体" w:cs="宋体"/>
                <w:sz w:val="24"/>
                <w:szCs w:val="24"/>
              </w:rPr>
            </w:pPr>
          </w:p>
        </w:tc>
        <w:tc>
          <w:tcPr>
            <w:tcW w:w="3053" w:type="dxa"/>
            <w:vAlign w:val="center"/>
          </w:tcPr>
          <w:p w14:paraId="384EDA08">
            <w:pPr>
              <w:jc w:val="center"/>
              <w:textAlignment w:val="center"/>
              <w:rPr>
                <w:rFonts w:ascii="宋体" w:hAnsi="宋体" w:eastAsia="宋体" w:cs="宋体"/>
                <w:sz w:val="24"/>
                <w:szCs w:val="24"/>
              </w:rPr>
            </w:pPr>
            <w:r>
              <w:rPr>
                <w:rFonts w:hint="eastAsia" w:ascii="宋体" w:hAnsi="宋体" w:eastAsia="宋体" w:cs="宋体"/>
                <w:sz w:val="24"/>
                <w:szCs w:val="24"/>
                <w:lang w:bidi="ar"/>
              </w:rPr>
              <w:t>医疗救助子系统</w:t>
            </w:r>
          </w:p>
        </w:tc>
        <w:tc>
          <w:tcPr>
            <w:tcW w:w="2000" w:type="dxa"/>
            <w:vAlign w:val="center"/>
          </w:tcPr>
          <w:p w14:paraId="1AA8648B">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481D33B0">
            <w:pPr>
              <w:ind w:firstLine="420"/>
              <w:jc w:val="center"/>
              <w:rPr>
                <w:rFonts w:ascii="宋体" w:hAnsi="宋体" w:eastAsia="宋体" w:cs="宋体"/>
                <w:sz w:val="24"/>
                <w:szCs w:val="24"/>
              </w:rPr>
            </w:pPr>
          </w:p>
        </w:tc>
      </w:tr>
      <w:tr w14:paraId="61CDC2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6477FCC9">
            <w:pPr>
              <w:jc w:val="center"/>
              <w:textAlignment w:val="center"/>
              <w:rPr>
                <w:rFonts w:ascii="宋体" w:hAnsi="宋体" w:eastAsia="宋体" w:cs="宋体"/>
                <w:sz w:val="24"/>
                <w:szCs w:val="24"/>
              </w:rPr>
            </w:pPr>
            <w:r>
              <w:rPr>
                <w:rFonts w:hint="eastAsia" w:ascii="宋体" w:hAnsi="宋体" w:eastAsia="宋体" w:cs="宋体"/>
                <w:sz w:val="24"/>
                <w:szCs w:val="24"/>
                <w:lang w:bidi="ar"/>
              </w:rPr>
              <w:t>5</w:t>
            </w:r>
          </w:p>
        </w:tc>
        <w:tc>
          <w:tcPr>
            <w:tcW w:w="1058" w:type="dxa"/>
            <w:vMerge w:val="continue"/>
            <w:vAlign w:val="center"/>
          </w:tcPr>
          <w:p w14:paraId="4EE6A37C">
            <w:pPr>
              <w:ind w:firstLine="420"/>
              <w:jc w:val="center"/>
              <w:rPr>
                <w:rFonts w:ascii="宋体" w:hAnsi="宋体" w:eastAsia="宋体" w:cs="宋体"/>
                <w:sz w:val="24"/>
                <w:szCs w:val="24"/>
              </w:rPr>
            </w:pPr>
          </w:p>
        </w:tc>
        <w:tc>
          <w:tcPr>
            <w:tcW w:w="3053" w:type="dxa"/>
            <w:vAlign w:val="center"/>
          </w:tcPr>
          <w:p w14:paraId="0300EACE">
            <w:pPr>
              <w:jc w:val="center"/>
              <w:textAlignment w:val="center"/>
              <w:rPr>
                <w:rFonts w:ascii="宋体" w:hAnsi="宋体" w:eastAsia="宋体" w:cs="宋体"/>
                <w:sz w:val="24"/>
                <w:szCs w:val="24"/>
              </w:rPr>
            </w:pPr>
            <w:r>
              <w:rPr>
                <w:rFonts w:hint="eastAsia" w:ascii="宋体" w:hAnsi="宋体" w:eastAsia="宋体" w:cs="宋体"/>
                <w:sz w:val="24"/>
                <w:szCs w:val="24"/>
                <w:lang w:bidi="ar"/>
              </w:rPr>
              <w:t>应用支撑基础系统（升级）</w:t>
            </w:r>
          </w:p>
        </w:tc>
        <w:tc>
          <w:tcPr>
            <w:tcW w:w="2000" w:type="dxa"/>
            <w:vAlign w:val="center"/>
          </w:tcPr>
          <w:p w14:paraId="3092CAB5">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15E74DEC">
            <w:pPr>
              <w:ind w:firstLine="420"/>
              <w:jc w:val="center"/>
              <w:rPr>
                <w:rFonts w:ascii="宋体" w:hAnsi="宋体" w:eastAsia="宋体" w:cs="宋体"/>
                <w:sz w:val="24"/>
                <w:szCs w:val="24"/>
              </w:rPr>
            </w:pPr>
          </w:p>
        </w:tc>
      </w:tr>
      <w:tr w14:paraId="5AE041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18125E08">
            <w:pPr>
              <w:jc w:val="center"/>
              <w:textAlignment w:val="center"/>
              <w:rPr>
                <w:rFonts w:ascii="宋体" w:hAnsi="宋体" w:eastAsia="宋体" w:cs="宋体"/>
                <w:sz w:val="24"/>
                <w:szCs w:val="24"/>
              </w:rPr>
            </w:pPr>
            <w:r>
              <w:rPr>
                <w:rFonts w:hint="eastAsia" w:ascii="宋体" w:hAnsi="宋体" w:eastAsia="宋体" w:cs="宋体"/>
                <w:sz w:val="24"/>
                <w:szCs w:val="24"/>
                <w:lang w:bidi="ar"/>
              </w:rPr>
              <w:t>6</w:t>
            </w:r>
          </w:p>
        </w:tc>
        <w:tc>
          <w:tcPr>
            <w:tcW w:w="1058" w:type="dxa"/>
            <w:vMerge w:val="continue"/>
            <w:vAlign w:val="center"/>
          </w:tcPr>
          <w:p w14:paraId="02B8FFEF">
            <w:pPr>
              <w:ind w:firstLine="420"/>
              <w:jc w:val="center"/>
              <w:rPr>
                <w:rFonts w:ascii="宋体" w:hAnsi="宋体" w:eastAsia="宋体" w:cs="宋体"/>
                <w:sz w:val="24"/>
                <w:szCs w:val="24"/>
              </w:rPr>
            </w:pPr>
          </w:p>
        </w:tc>
        <w:tc>
          <w:tcPr>
            <w:tcW w:w="3053" w:type="dxa"/>
            <w:vAlign w:val="center"/>
          </w:tcPr>
          <w:p w14:paraId="63C3A240">
            <w:pPr>
              <w:jc w:val="center"/>
              <w:textAlignment w:val="center"/>
              <w:rPr>
                <w:rFonts w:ascii="宋体" w:hAnsi="宋体" w:eastAsia="宋体" w:cs="宋体"/>
                <w:sz w:val="24"/>
                <w:szCs w:val="24"/>
              </w:rPr>
            </w:pPr>
            <w:r>
              <w:rPr>
                <w:rFonts w:hint="eastAsia" w:ascii="宋体" w:hAnsi="宋体" w:eastAsia="宋体" w:cs="宋体"/>
                <w:sz w:val="24"/>
                <w:szCs w:val="24"/>
                <w:lang w:bidi="ar"/>
              </w:rPr>
              <w:t>医疗救助门户系统</w:t>
            </w:r>
          </w:p>
        </w:tc>
        <w:tc>
          <w:tcPr>
            <w:tcW w:w="2000" w:type="dxa"/>
            <w:vAlign w:val="center"/>
          </w:tcPr>
          <w:p w14:paraId="639B6D21">
            <w:pPr>
              <w:jc w:val="center"/>
              <w:textAlignment w:val="center"/>
              <w:rPr>
                <w:rFonts w:ascii="宋体" w:hAnsi="宋体" w:eastAsia="宋体" w:cs="宋体"/>
                <w:sz w:val="24"/>
                <w:szCs w:val="24"/>
              </w:rPr>
            </w:pPr>
            <w:r>
              <w:rPr>
                <w:rFonts w:hint="eastAsia" w:ascii="宋体" w:hAnsi="宋体" w:eastAsia="宋体" w:cs="宋体"/>
                <w:sz w:val="24"/>
                <w:szCs w:val="24"/>
                <w:lang w:bidi="ar"/>
              </w:rPr>
              <w:t>公共服务区</w:t>
            </w:r>
          </w:p>
        </w:tc>
        <w:tc>
          <w:tcPr>
            <w:tcW w:w="1605" w:type="dxa"/>
            <w:vAlign w:val="center"/>
          </w:tcPr>
          <w:p w14:paraId="630D0082">
            <w:pPr>
              <w:ind w:firstLine="420"/>
              <w:jc w:val="center"/>
              <w:rPr>
                <w:rFonts w:ascii="宋体" w:hAnsi="宋体" w:eastAsia="宋体" w:cs="宋体"/>
                <w:sz w:val="24"/>
                <w:szCs w:val="24"/>
              </w:rPr>
            </w:pPr>
          </w:p>
        </w:tc>
      </w:tr>
      <w:tr w14:paraId="207C3D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17DB9BAA">
            <w:pPr>
              <w:jc w:val="center"/>
              <w:textAlignment w:val="center"/>
              <w:rPr>
                <w:rFonts w:ascii="宋体" w:hAnsi="宋体" w:eastAsia="宋体" w:cs="宋体"/>
                <w:sz w:val="24"/>
                <w:szCs w:val="24"/>
              </w:rPr>
            </w:pPr>
            <w:r>
              <w:rPr>
                <w:rFonts w:hint="eastAsia" w:ascii="宋体" w:hAnsi="宋体" w:eastAsia="宋体" w:cs="宋体"/>
                <w:sz w:val="24"/>
                <w:szCs w:val="24"/>
                <w:lang w:bidi="ar"/>
              </w:rPr>
              <w:t>7</w:t>
            </w:r>
          </w:p>
        </w:tc>
        <w:tc>
          <w:tcPr>
            <w:tcW w:w="1058" w:type="dxa"/>
            <w:vMerge w:val="restart"/>
            <w:vAlign w:val="center"/>
          </w:tcPr>
          <w:p w14:paraId="3CCE26F9">
            <w:pPr>
              <w:textAlignment w:val="center"/>
              <w:rPr>
                <w:rFonts w:ascii="宋体" w:hAnsi="宋体" w:eastAsia="宋体" w:cs="宋体"/>
                <w:sz w:val="24"/>
                <w:szCs w:val="24"/>
              </w:rPr>
            </w:pPr>
            <w:r>
              <w:rPr>
                <w:rFonts w:hint="eastAsia" w:ascii="宋体" w:hAnsi="宋体" w:eastAsia="宋体" w:cs="宋体"/>
                <w:sz w:val="24"/>
                <w:szCs w:val="24"/>
                <w:lang w:bidi="ar"/>
              </w:rPr>
              <w:t>综合管控扩展</w:t>
            </w:r>
          </w:p>
        </w:tc>
        <w:tc>
          <w:tcPr>
            <w:tcW w:w="3053" w:type="dxa"/>
            <w:vAlign w:val="center"/>
          </w:tcPr>
          <w:p w14:paraId="27838710">
            <w:pPr>
              <w:jc w:val="center"/>
              <w:textAlignment w:val="center"/>
              <w:rPr>
                <w:rFonts w:ascii="宋体" w:hAnsi="宋体" w:eastAsia="宋体" w:cs="宋体"/>
                <w:sz w:val="24"/>
                <w:szCs w:val="24"/>
              </w:rPr>
            </w:pPr>
            <w:r>
              <w:rPr>
                <w:rFonts w:hint="eastAsia" w:ascii="宋体" w:hAnsi="宋体" w:eastAsia="宋体" w:cs="宋体"/>
                <w:sz w:val="24"/>
                <w:szCs w:val="24"/>
                <w:lang w:bidi="ar"/>
              </w:rPr>
              <w:t>DRG/DIP监管系统</w:t>
            </w:r>
          </w:p>
        </w:tc>
        <w:tc>
          <w:tcPr>
            <w:tcW w:w="2000" w:type="dxa"/>
            <w:vAlign w:val="center"/>
          </w:tcPr>
          <w:p w14:paraId="6E3114CF">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2F14210E">
            <w:pPr>
              <w:ind w:firstLine="420"/>
              <w:jc w:val="center"/>
              <w:rPr>
                <w:rFonts w:ascii="宋体" w:hAnsi="宋体" w:eastAsia="宋体" w:cs="宋体"/>
                <w:sz w:val="24"/>
                <w:szCs w:val="24"/>
              </w:rPr>
            </w:pPr>
          </w:p>
        </w:tc>
      </w:tr>
      <w:tr w14:paraId="5766DD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29EA3FAE">
            <w:pPr>
              <w:jc w:val="center"/>
              <w:textAlignment w:val="center"/>
              <w:rPr>
                <w:rFonts w:ascii="宋体" w:hAnsi="宋体" w:eastAsia="宋体" w:cs="宋体"/>
                <w:sz w:val="24"/>
                <w:szCs w:val="24"/>
              </w:rPr>
            </w:pPr>
            <w:r>
              <w:rPr>
                <w:rFonts w:hint="eastAsia" w:ascii="宋体" w:hAnsi="宋体" w:eastAsia="宋体" w:cs="宋体"/>
                <w:sz w:val="24"/>
                <w:szCs w:val="24"/>
                <w:lang w:bidi="ar"/>
              </w:rPr>
              <w:t>8</w:t>
            </w:r>
          </w:p>
        </w:tc>
        <w:tc>
          <w:tcPr>
            <w:tcW w:w="1058" w:type="dxa"/>
            <w:vMerge w:val="continue"/>
            <w:vAlign w:val="center"/>
          </w:tcPr>
          <w:p w14:paraId="5C6EEA9B">
            <w:pPr>
              <w:ind w:firstLine="420"/>
              <w:jc w:val="center"/>
              <w:rPr>
                <w:rFonts w:ascii="宋体" w:hAnsi="宋体" w:eastAsia="宋体" w:cs="宋体"/>
                <w:sz w:val="24"/>
                <w:szCs w:val="24"/>
              </w:rPr>
            </w:pPr>
          </w:p>
        </w:tc>
        <w:tc>
          <w:tcPr>
            <w:tcW w:w="3053" w:type="dxa"/>
            <w:vAlign w:val="center"/>
          </w:tcPr>
          <w:p w14:paraId="6EF49605">
            <w:pPr>
              <w:jc w:val="center"/>
              <w:textAlignment w:val="center"/>
              <w:rPr>
                <w:rFonts w:ascii="宋体" w:hAnsi="宋体" w:eastAsia="宋体" w:cs="宋体"/>
                <w:sz w:val="24"/>
                <w:szCs w:val="24"/>
              </w:rPr>
            </w:pPr>
            <w:r>
              <w:rPr>
                <w:rFonts w:hint="eastAsia" w:ascii="宋体" w:hAnsi="宋体" w:eastAsia="宋体" w:cs="宋体"/>
                <w:sz w:val="24"/>
                <w:szCs w:val="24"/>
                <w:lang w:bidi="ar"/>
              </w:rPr>
              <w:t>电子处方与药品双通道监管系统</w:t>
            </w:r>
          </w:p>
        </w:tc>
        <w:tc>
          <w:tcPr>
            <w:tcW w:w="2000" w:type="dxa"/>
            <w:vAlign w:val="center"/>
          </w:tcPr>
          <w:p w14:paraId="742032AB">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6BA2CB56">
            <w:pPr>
              <w:ind w:firstLine="420"/>
              <w:jc w:val="center"/>
              <w:rPr>
                <w:rFonts w:ascii="宋体" w:hAnsi="宋体" w:eastAsia="宋体" w:cs="宋体"/>
                <w:sz w:val="24"/>
                <w:szCs w:val="24"/>
              </w:rPr>
            </w:pPr>
          </w:p>
        </w:tc>
      </w:tr>
      <w:tr w14:paraId="20E215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654E499E">
            <w:pPr>
              <w:jc w:val="center"/>
              <w:textAlignment w:val="center"/>
              <w:rPr>
                <w:rFonts w:ascii="宋体" w:hAnsi="宋体" w:eastAsia="宋体" w:cs="宋体"/>
                <w:sz w:val="24"/>
                <w:szCs w:val="24"/>
              </w:rPr>
            </w:pPr>
            <w:r>
              <w:rPr>
                <w:rFonts w:hint="eastAsia" w:ascii="宋体" w:hAnsi="宋体" w:eastAsia="宋体" w:cs="宋体"/>
                <w:sz w:val="24"/>
                <w:szCs w:val="24"/>
                <w:lang w:bidi="ar"/>
              </w:rPr>
              <w:t>9</w:t>
            </w:r>
          </w:p>
        </w:tc>
        <w:tc>
          <w:tcPr>
            <w:tcW w:w="1058" w:type="dxa"/>
            <w:vMerge w:val="continue"/>
            <w:vAlign w:val="center"/>
          </w:tcPr>
          <w:p w14:paraId="55D2D024">
            <w:pPr>
              <w:ind w:firstLine="420"/>
              <w:jc w:val="center"/>
              <w:rPr>
                <w:rFonts w:ascii="宋体" w:hAnsi="宋体" w:eastAsia="宋体" w:cs="宋体"/>
                <w:sz w:val="24"/>
                <w:szCs w:val="24"/>
              </w:rPr>
            </w:pPr>
          </w:p>
        </w:tc>
        <w:tc>
          <w:tcPr>
            <w:tcW w:w="3053" w:type="dxa"/>
            <w:vAlign w:val="center"/>
          </w:tcPr>
          <w:p w14:paraId="090DC560">
            <w:pPr>
              <w:jc w:val="center"/>
              <w:textAlignment w:val="center"/>
              <w:rPr>
                <w:rFonts w:ascii="宋体" w:hAnsi="宋体" w:eastAsia="宋体" w:cs="宋体"/>
                <w:sz w:val="24"/>
                <w:szCs w:val="24"/>
              </w:rPr>
            </w:pPr>
            <w:r>
              <w:rPr>
                <w:rFonts w:hint="eastAsia" w:ascii="宋体" w:hAnsi="宋体" w:eastAsia="宋体" w:cs="宋体"/>
                <w:sz w:val="24"/>
                <w:szCs w:val="24"/>
                <w:lang w:bidi="ar"/>
              </w:rPr>
              <w:t>两库管理与论证系统</w:t>
            </w:r>
          </w:p>
        </w:tc>
        <w:tc>
          <w:tcPr>
            <w:tcW w:w="2000" w:type="dxa"/>
            <w:vAlign w:val="center"/>
          </w:tcPr>
          <w:p w14:paraId="1D56CA93">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62340C70">
            <w:pPr>
              <w:ind w:firstLine="420"/>
              <w:jc w:val="center"/>
              <w:rPr>
                <w:rFonts w:ascii="宋体" w:hAnsi="宋体" w:eastAsia="宋体" w:cs="宋体"/>
                <w:sz w:val="24"/>
                <w:szCs w:val="24"/>
              </w:rPr>
            </w:pPr>
          </w:p>
        </w:tc>
      </w:tr>
      <w:tr w14:paraId="360844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328667E0">
            <w:pPr>
              <w:jc w:val="center"/>
              <w:textAlignment w:val="center"/>
              <w:rPr>
                <w:rFonts w:ascii="宋体" w:hAnsi="宋体" w:eastAsia="宋体" w:cs="宋体"/>
                <w:sz w:val="24"/>
                <w:szCs w:val="24"/>
              </w:rPr>
            </w:pPr>
            <w:r>
              <w:rPr>
                <w:rFonts w:hint="eastAsia" w:ascii="宋体" w:hAnsi="宋体" w:eastAsia="宋体" w:cs="宋体"/>
                <w:sz w:val="24"/>
                <w:szCs w:val="24"/>
                <w:lang w:bidi="ar"/>
              </w:rPr>
              <w:t>10</w:t>
            </w:r>
          </w:p>
        </w:tc>
        <w:tc>
          <w:tcPr>
            <w:tcW w:w="1058" w:type="dxa"/>
            <w:vMerge w:val="continue"/>
            <w:vAlign w:val="center"/>
          </w:tcPr>
          <w:p w14:paraId="10B5C1E9">
            <w:pPr>
              <w:ind w:firstLine="420"/>
              <w:jc w:val="center"/>
              <w:rPr>
                <w:rFonts w:ascii="宋体" w:hAnsi="宋体" w:eastAsia="宋体" w:cs="宋体"/>
                <w:sz w:val="24"/>
                <w:szCs w:val="24"/>
              </w:rPr>
            </w:pPr>
          </w:p>
        </w:tc>
        <w:tc>
          <w:tcPr>
            <w:tcW w:w="3053" w:type="dxa"/>
            <w:vAlign w:val="center"/>
          </w:tcPr>
          <w:p w14:paraId="42573D50">
            <w:pPr>
              <w:jc w:val="center"/>
              <w:textAlignment w:val="center"/>
              <w:rPr>
                <w:rFonts w:ascii="宋体" w:hAnsi="宋体" w:eastAsia="宋体" w:cs="宋体"/>
                <w:sz w:val="24"/>
                <w:szCs w:val="24"/>
              </w:rPr>
            </w:pPr>
            <w:r>
              <w:rPr>
                <w:rFonts w:hint="eastAsia" w:ascii="宋体" w:hAnsi="宋体" w:eastAsia="宋体" w:cs="宋体"/>
                <w:sz w:val="24"/>
                <w:szCs w:val="24"/>
                <w:lang w:bidi="ar"/>
              </w:rPr>
              <w:t>门诊统筹监管系统</w:t>
            </w:r>
          </w:p>
        </w:tc>
        <w:tc>
          <w:tcPr>
            <w:tcW w:w="2000" w:type="dxa"/>
            <w:vAlign w:val="center"/>
          </w:tcPr>
          <w:p w14:paraId="7A906406">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06444F59">
            <w:pPr>
              <w:ind w:firstLine="420"/>
              <w:jc w:val="center"/>
              <w:rPr>
                <w:rFonts w:ascii="宋体" w:hAnsi="宋体" w:eastAsia="宋体" w:cs="宋体"/>
                <w:sz w:val="24"/>
                <w:szCs w:val="24"/>
              </w:rPr>
            </w:pPr>
          </w:p>
        </w:tc>
      </w:tr>
      <w:tr w14:paraId="03C3F8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48A2E281">
            <w:pPr>
              <w:jc w:val="center"/>
              <w:textAlignment w:val="center"/>
              <w:rPr>
                <w:rFonts w:ascii="宋体" w:hAnsi="宋体" w:eastAsia="宋体" w:cs="宋体"/>
                <w:sz w:val="24"/>
                <w:szCs w:val="24"/>
              </w:rPr>
            </w:pPr>
            <w:r>
              <w:rPr>
                <w:rFonts w:hint="eastAsia" w:ascii="宋体" w:hAnsi="宋体" w:eastAsia="宋体" w:cs="宋体"/>
                <w:sz w:val="24"/>
                <w:szCs w:val="24"/>
                <w:lang w:bidi="ar"/>
              </w:rPr>
              <w:t>11</w:t>
            </w:r>
          </w:p>
        </w:tc>
        <w:tc>
          <w:tcPr>
            <w:tcW w:w="1058" w:type="dxa"/>
            <w:vMerge w:val="continue"/>
            <w:vAlign w:val="center"/>
          </w:tcPr>
          <w:p w14:paraId="65DAA239">
            <w:pPr>
              <w:ind w:firstLine="420"/>
              <w:jc w:val="center"/>
              <w:rPr>
                <w:rFonts w:ascii="宋体" w:hAnsi="宋体" w:eastAsia="宋体" w:cs="宋体"/>
                <w:sz w:val="24"/>
                <w:szCs w:val="24"/>
              </w:rPr>
            </w:pPr>
          </w:p>
        </w:tc>
        <w:tc>
          <w:tcPr>
            <w:tcW w:w="3053" w:type="dxa"/>
            <w:vAlign w:val="center"/>
          </w:tcPr>
          <w:p w14:paraId="149B0A52">
            <w:pPr>
              <w:jc w:val="center"/>
              <w:textAlignment w:val="center"/>
              <w:rPr>
                <w:rFonts w:ascii="宋体" w:hAnsi="宋体" w:eastAsia="宋体" w:cs="宋体"/>
                <w:sz w:val="24"/>
                <w:szCs w:val="24"/>
              </w:rPr>
            </w:pPr>
            <w:r>
              <w:rPr>
                <w:rFonts w:hint="eastAsia" w:ascii="宋体" w:hAnsi="宋体" w:eastAsia="宋体" w:cs="宋体"/>
                <w:sz w:val="24"/>
                <w:szCs w:val="24"/>
                <w:lang w:bidi="ar"/>
              </w:rPr>
              <w:t>医保场景监控系统</w:t>
            </w:r>
          </w:p>
        </w:tc>
        <w:tc>
          <w:tcPr>
            <w:tcW w:w="2000" w:type="dxa"/>
            <w:vAlign w:val="center"/>
          </w:tcPr>
          <w:p w14:paraId="6C591919">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5272D876">
            <w:pPr>
              <w:ind w:firstLine="420"/>
              <w:jc w:val="center"/>
              <w:rPr>
                <w:rFonts w:ascii="宋体" w:hAnsi="宋体" w:eastAsia="宋体" w:cs="宋体"/>
                <w:sz w:val="24"/>
                <w:szCs w:val="24"/>
              </w:rPr>
            </w:pPr>
          </w:p>
        </w:tc>
      </w:tr>
      <w:tr w14:paraId="73A215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79037C2E">
            <w:pPr>
              <w:jc w:val="center"/>
              <w:textAlignment w:val="center"/>
              <w:rPr>
                <w:rFonts w:ascii="宋体" w:hAnsi="宋体" w:eastAsia="宋体" w:cs="宋体"/>
                <w:sz w:val="24"/>
                <w:szCs w:val="24"/>
              </w:rPr>
            </w:pPr>
            <w:r>
              <w:rPr>
                <w:rFonts w:hint="eastAsia" w:ascii="宋体" w:hAnsi="宋体" w:eastAsia="宋体" w:cs="宋体"/>
                <w:sz w:val="24"/>
                <w:szCs w:val="24"/>
                <w:lang w:bidi="ar"/>
              </w:rPr>
              <w:t>12</w:t>
            </w:r>
          </w:p>
        </w:tc>
        <w:tc>
          <w:tcPr>
            <w:tcW w:w="1058" w:type="dxa"/>
            <w:vMerge w:val="restart"/>
            <w:vAlign w:val="center"/>
          </w:tcPr>
          <w:p w14:paraId="48AC8166">
            <w:pPr>
              <w:textAlignment w:val="center"/>
              <w:rPr>
                <w:rFonts w:ascii="宋体" w:hAnsi="宋体" w:eastAsia="宋体" w:cs="宋体"/>
                <w:sz w:val="24"/>
                <w:szCs w:val="24"/>
              </w:rPr>
            </w:pPr>
            <w:r>
              <w:rPr>
                <w:rFonts w:hint="eastAsia" w:ascii="宋体" w:hAnsi="宋体" w:eastAsia="宋体" w:cs="宋体"/>
                <w:sz w:val="24"/>
                <w:szCs w:val="24"/>
                <w:lang w:bidi="ar"/>
              </w:rPr>
              <w:t>数据</w:t>
            </w:r>
            <w:r>
              <w:rPr>
                <w:rFonts w:hint="eastAsia" w:ascii="宋体" w:hAnsi="宋体" w:eastAsia="宋体" w:cs="宋体"/>
                <w:sz w:val="24"/>
                <w:szCs w:val="24"/>
                <w:lang w:eastAsia="zh-Hans" w:bidi="ar"/>
              </w:rPr>
              <w:t>应用</w:t>
            </w:r>
            <w:r>
              <w:rPr>
                <w:rFonts w:hint="eastAsia" w:ascii="宋体" w:hAnsi="宋体" w:eastAsia="宋体" w:cs="宋体"/>
                <w:sz w:val="24"/>
                <w:szCs w:val="24"/>
                <w:lang w:bidi="ar"/>
              </w:rPr>
              <w:t>专区</w:t>
            </w:r>
          </w:p>
        </w:tc>
        <w:tc>
          <w:tcPr>
            <w:tcW w:w="3053" w:type="dxa"/>
            <w:vAlign w:val="center"/>
          </w:tcPr>
          <w:p w14:paraId="59CB0AD8">
            <w:pPr>
              <w:jc w:val="center"/>
              <w:textAlignment w:val="center"/>
              <w:rPr>
                <w:rFonts w:ascii="宋体" w:hAnsi="宋体" w:eastAsia="宋体" w:cs="宋体"/>
                <w:sz w:val="24"/>
                <w:szCs w:val="24"/>
              </w:rPr>
            </w:pPr>
            <w:r>
              <w:rPr>
                <w:rFonts w:hint="eastAsia" w:ascii="宋体" w:hAnsi="宋体" w:eastAsia="宋体" w:cs="宋体"/>
                <w:sz w:val="24"/>
                <w:szCs w:val="24"/>
                <w:lang w:bidi="ar"/>
              </w:rPr>
              <w:t>数据应用专区</w:t>
            </w:r>
          </w:p>
        </w:tc>
        <w:tc>
          <w:tcPr>
            <w:tcW w:w="2000" w:type="dxa"/>
            <w:vAlign w:val="center"/>
          </w:tcPr>
          <w:p w14:paraId="38B4C2EF">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4253CC94">
            <w:pPr>
              <w:ind w:firstLine="420"/>
              <w:jc w:val="center"/>
              <w:rPr>
                <w:rFonts w:ascii="宋体" w:hAnsi="宋体" w:eastAsia="宋体" w:cs="宋体"/>
                <w:sz w:val="24"/>
                <w:szCs w:val="24"/>
              </w:rPr>
            </w:pPr>
          </w:p>
        </w:tc>
      </w:tr>
      <w:tr w14:paraId="1DF8CB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907" w:type="dxa"/>
            <w:vAlign w:val="center"/>
          </w:tcPr>
          <w:p w14:paraId="35A687D0">
            <w:pPr>
              <w:jc w:val="center"/>
              <w:textAlignment w:val="center"/>
              <w:rPr>
                <w:rFonts w:ascii="宋体" w:hAnsi="宋体" w:eastAsia="宋体" w:cs="宋体"/>
                <w:sz w:val="24"/>
                <w:szCs w:val="24"/>
              </w:rPr>
            </w:pPr>
            <w:r>
              <w:rPr>
                <w:rFonts w:hint="eastAsia" w:ascii="宋体" w:hAnsi="宋体" w:eastAsia="宋体" w:cs="宋体"/>
                <w:sz w:val="24"/>
                <w:szCs w:val="24"/>
                <w:lang w:bidi="ar"/>
              </w:rPr>
              <w:t>13</w:t>
            </w:r>
          </w:p>
        </w:tc>
        <w:tc>
          <w:tcPr>
            <w:tcW w:w="1058" w:type="dxa"/>
            <w:vMerge w:val="continue"/>
            <w:vAlign w:val="center"/>
          </w:tcPr>
          <w:p w14:paraId="1641EF38">
            <w:pPr>
              <w:ind w:firstLine="420"/>
              <w:jc w:val="center"/>
              <w:rPr>
                <w:rFonts w:ascii="宋体" w:hAnsi="宋体" w:eastAsia="宋体" w:cs="宋体"/>
                <w:sz w:val="24"/>
                <w:szCs w:val="24"/>
              </w:rPr>
            </w:pPr>
          </w:p>
        </w:tc>
        <w:tc>
          <w:tcPr>
            <w:tcW w:w="3053" w:type="dxa"/>
            <w:vAlign w:val="center"/>
          </w:tcPr>
          <w:p w14:paraId="4DC5C96A">
            <w:pPr>
              <w:jc w:val="center"/>
              <w:textAlignment w:val="center"/>
              <w:rPr>
                <w:rFonts w:ascii="宋体" w:hAnsi="宋体" w:eastAsia="宋体" w:cs="宋体"/>
                <w:sz w:val="24"/>
                <w:szCs w:val="24"/>
              </w:rPr>
            </w:pPr>
            <w:r>
              <w:rPr>
                <w:rFonts w:hint="eastAsia" w:ascii="宋体" w:hAnsi="宋体" w:eastAsia="宋体" w:cs="宋体"/>
                <w:sz w:val="24"/>
                <w:szCs w:val="24"/>
                <w:lang w:bidi="ar"/>
              </w:rPr>
              <w:t>数据共享子系统</w:t>
            </w:r>
          </w:p>
        </w:tc>
        <w:tc>
          <w:tcPr>
            <w:tcW w:w="2000" w:type="dxa"/>
            <w:vAlign w:val="center"/>
          </w:tcPr>
          <w:p w14:paraId="7A40D84C">
            <w:pPr>
              <w:jc w:val="center"/>
              <w:textAlignment w:val="center"/>
              <w:rPr>
                <w:rFonts w:ascii="宋体" w:hAnsi="宋体" w:eastAsia="宋体" w:cs="宋体"/>
                <w:sz w:val="24"/>
                <w:szCs w:val="24"/>
              </w:rPr>
            </w:pPr>
            <w:r>
              <w:rPr>
                <w:rFonts w:hint="eastAsia" w:ascii="宋体" w:hAnsi="宋体" w:eastAsia="宋体" w:cs="宋体"/>
                <w:sz w:val="24"/>
                <w:szCs w:val="24"/>
                <w:lang w:bidi="ar"/>
              </w:rPr>
              <w:t>核心业务区</w:t>
            </w:r>
          </w:p>
        </w:tc>
        <w:tc>
          <w:tcPr>
            <w:tcW w:w="1605" w:type="dxa"/>
            <w:vAlign w:val="center"/>
          </w:tcPr>
          <w:p w14:paraId="6B23693A">
            <w:pPr>
              <w:ind w:firstLine="420"/>
              <w:jc w:val="center"/>
              <w:rPr>
                <w:rFonts w:ascii="宋体" w:hAnsi="宋体" w:eastAsia="宋体" w:cs="宋体"/>
                <w:sz w:val="24"/>
                <w:szCs w:val="24"/>
              </w:rPr>
            </w:pPr>
          </w:p>
        </w:tc>
      </w:tr>
    </w:tbl>
    <w:p w14:paraId="6C379657">
      <w:pPr>
        <w:ind w:firstLine="480"/>
        <w:rPr>
          <w:rFonts w:ascii="宋体" w:hAnsi="宋体" w:eastAsia="宋体" w:cs="宋体"/>
          <w:sz w:val="24"/>
          <w:szCs w:val="24"/>
        </w:rPr>
      </w:pPr>
    </w:p>
    <w:p w14:paraId="1E50DC34">
      <w:pPr>
        <w:pStyle w:val="8"/>
        <w:ind w:firstLine="480" w:firstLineChars="200"/>
        <w:rPr>
          <w:rFonts w:ascii="宋体" w:hAnsi="宋体" w:cs="宋体"/>
          <w:b w:val="0"/>
          <w:bCs/>
          <w:sz w:val="24"/>
          <w:szCs w:val="24"/>
        </w:rPr>
      </w:pPr>
      <w:r>
        <w:rPr>
          <w:rFonts w:hint="eastAsia" w:ascii="宋体" w:hAnsi="宋体" w:cs="宋体"/>
          <w:b w:val="0"/>
          <w:bCs/>
          <w:sz w:val="24"/>
          <w:szCs w:val="24"/>
        </w:rPr>
        <w:t>2.2海南省医疗保障综合管控系统扩展和多层次医疗救助一体化平台建设项目依托海南省政务云进行建设部署，系统部署在省国产化云计算服务平台中</w:t>
      </w:r>
      <w:r>
        <w:rPr>
          <w:rFonts w:hint="eastAsia" w:ascii="宋体" w:hAnsi="宋体" w:cs="宋体"/>
          <w:b w:val="0"/>
          <w:bCs/>
          <w:sz w:val="24"/>
          <w:szCs w:val="24"/>
          <w:lang w:eastAsia="zh-Hans"/>
        </w:rPr>
        <w:t>。</w:t>
      </w:r>
      <w:r>
        <w:rPr>
          <w:rFonts w:hint="eastAsia" w:ascii="宋体" w:hAnsi="宋体" w:cs="宋体"/>
          <w:b w:val="0"/>
          <w:bCs/>
          <w:sz w:val="24"/>
          <w:szCs w:val="24"/>
        </w:rPr>
        <w:t>业务应用子系统部署如下图所示：</w:t>
      </w:r>
    </w:p>
    <w:p w14:paraId="75F8B6D8">
      <w:pPr>
        <w:spacing w:line="360" w:lineRule="auto"/>
        <w:rPr>
          <w:rFonts w:ascii="宋体" w:hAnsi="宋体" w:eastAsia="宋体" w:cs="宋体"/>
          <w:b/>
          <w:bCs/>
          <w:sz w:val="24"/>
          <w:szCs w:val="24"/>
        </w:rPr>
      </w:pPr>
      <w:r>
        <w:rPr>
          <w:rFonts w:hint="eastAsia" w:ascii="宋体" w:hAnsi="宋体" w:eastAsia="宋体" w:cs="宋体"/>
          <w:sz w:val="24"/>
          <w:szCs w:val="24"/>
        </w:rPr>
        <w:drawing>
          <wp:inline distT="0" distB="0" distL="114300" distR="114300">
            <wp:extent cx="5269865" cy="3754755"/>
            <wp:effectExtent l="0" t="0" r="6985" b="17145"/>
            <wp:docPr id="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pic:cNvPicPr>
                      <a:picLocks noChangeAspect="1"/>
                    </pic:cNvPicPr>
                  </pic:nvPicPr>
                  <pic:blipFill>
                    <a:blip r:embed="rId6"/>
                    <a:stretch>
                      <a:fillRect/>
                    </a:stretch>
                  </pic:blipFill>
                  <pic:spPr>
                    <a:xfrm>
                      <a:off x="0" y="0"/>
                      <a:ext cx="5269865" cy="3754755"/>
                    </a:xfrm>
                    <a:prstGeom prst="rect">
                      <a:avLst/>
                    </a:prstGeom>
                    <a:noFill/>
                    <a:ln>
                      <a:noFill/>
                    </a:ln>
                  </pic:spPr>
                </pic:pic>
              </a:graphicData>
            </a:graphic>
          </wp:inline>
        </w:drawing>
      </w:r>
    </w:p>
    <w:p w14:paraId="15156402">
      <w:pPr>
        <w:spacing w:line="360" w:lineRule="auto"/>
        <w:rPr>
          <w:rFonts w:ascii="宋体" w:hAnsi="宋体" w:eastAsia="宋体" w:cs="宋体"/>
          <w:bCs/>
          <w:sz w:val="24"/>
          <w:szCs w:val="24"/>
        </w:rPr>
      </w:pPr>
      <w:r>
        <w:rPr>
          <w:rFonts w:hint="eastAsia" w:ascii="宋体" w:hAnsi="宋体" w:eastAsia="宋体" w:cs="宋体"/>
          <w:bCs/>
          <w:sz w:val="24"/>
          <w:szCs w:val="24"/>
        </w:rPr>
        <w:t>2.3</w:t>
      </w:r>
      <w:r>
        <w:t xml:space="preserve"> </w:t>
      </w:r>
      <w:r>
        <w:rPr>
          <w:rFonts w:hint="eastAsia" w:ascii="宋体" w:hAnsi="宋体" w:eastAsia="宋体" w:cs="宋体"/>
          <w:bCs/>
          <w:sz w:val="24"/>
          <w:szCs w:val="24"/>
        </w:rPr>
        <w:t>信创技术路线</w:t>
      </w:r>
    </w:p>
    <w:p w14:paraId="52C3FF6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信息化创新是新基建的重要要求，是国家信息化建设的关键环节，是我国信息安全和产业安全的根本保障，关乎国家战略。在满足需求的情况下，各部门应积极响应当地省委省政府的信创要求，采购信创目录产品并确保系统的稳定性和可靠性。</w:t>
      </w:r>
    </w:p>
    <w:p w14:paraId="4F3BA171">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根据海南省委、省政府的要求，新建信息化项目应按照信创国产化要求进行选购。结合国家局建设要求及海南省级医疗保障信息平台建设任务，明确了信创产品选型方案，并在后续系统建设过程中，及时跟进全国信创采购名录和适配成效而逐步完成信创产品替代工作。</w:t>
      </w:r>
    </w:p>
    <w:p w14:paraId="556D1440">
      <w:pPr>
        <w:spacing w:after="120" w:line="360" w:lineRule="auto"/>
        <w:ind w:firstLine="480" w:firstLineChars="200"/>
        <w:rPr>
          <w:bCs/>
          <w:sz w:val="24"/>
          <w:szCs w:val="24"/>
        </w:rPr>
      </w:pPr>
      <w:r>
        <w:rPr>
          <w:rFonts w:hint="eastAsia" w:ascii="宋体" w:hAnsi="宋体" w:eastAsia="宋体" w:cs="宋体"/>
          <w:bCs/>
          <w:sz w:val="24"/>
          <w:szCs w:val="24"/>
        </w:rPr>
        <w:t>2.3.1本项目软硬件选型将坚持如下原则：</w:t>
      </w:r>
    </w:p>
    <w:p w14:paraId="73B6BA3F">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 xml:space="preserve">1. </w:t>
      </w:r>
      <w:r>
        <w:rPr>
          <w:rFonts w:hint="eastAsia" w:ascii="宋体" w:hAnsi="宋体" w:eastAsia="宋体" w:cs="宋体"/>
          <w:bCs/>
          <w:sz w:val="24"/>
          <w:szCs w:val="24"/>
        </w:rPr>
        <w:t>在满足信创信息化要求的前提下，保证采用国产自主可控的信创信息化设备；</w:t>
      </w:r>
    </w:p>
    <w:p w14:paraId="756F9985">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2.</w:t>
      </w:r>
      <w:r>
        <w:rPr>
          <w:rFonts w:hint="eastAsia" w:ascii="宋体" w:hAnsi="宋体" w:eastAsia="宋体" w:cs="宋体"/>
          <w:bCs/>
          <w:sz w:val="24"/>
          <w:szCs w:val="24"/>
        </w:rPr>
        <w:t>在满足信创信息化要求的前提下，要充分借鉴前期试点工作经验，优先选择性能佳、兼容性好、稳定性高、适配性强、具有良好本地化保障基础和能力的产品和服务，确保系统的稳定性、可靠性；</w:t>
      </w:r>
    </w:p>
    <w:p w14:paraId="20823679">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3.</w:t>
      </w:r>
      <w:r>
        <w:rPr>
          <w:rFonts w:hint="eastAsia" w:ascii="宋体" w:hAnsi="宋体" w:eastAsia="宋体" w:cs="宋体"/>
          <w:bCs/>
          <w:sz w:val="24"/>
          <w:szCs w:val="24"/>
        </w:rPr>
        <w:t>选择符合相关标准协议的产品，确保产品间可互联互通及今后扩展；</w:t>
      </w:r>
    </w:p>
    <w:p w14:paraId="56E83370">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4.</w:t>
      </w:r>
      <w:r>
        <w:rPr>
          <w:rFonts w:hint="eastAsia" w:ascii="宋体" w:hAnsi="宋体" w:eastAsia="宋体" w:cs="宋体"/>
          <w:bCs/>
          <w:sz w:val="24"/>
          <w:szCs w:val="24"/>
        </w:rPr>
        <w:t>相关安全设备选择符合相关部门认证的产品；</w:t>
      </w:r>
    </w:p>
    <w:p w14:paraId="66887D88">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5.</w:t>
      </w:r>
      <w:r>
        <w:rPr>
          <w:rFonts w:hint="eastAsia" w:ascii="宋体" w:hAnsi="宋体" w:eastAsia="宋体" w:cs="宋体"/>
          <w:bCs/>
          <w:sz w:val="24"/>
          <w:szCs w:val="24"/>
        </w:rPr>
        <w:t>软件产品优先选用开放式体系架构的成熟软件产品，尽量减少自行开发工作，确保系统工作稳定；</w:t>
      </w:r>
    </w:p>
    <w:p w14:paraId="27814AA9">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6.</w:t>
      </w:r>
      <w:r>
        <w:rPr>
          <w:rFonts w:hint="eastAsia" w:ascii="宋体" w:hAnsi="宋体" w:eastAsia="宋体" w:cs="宋体"/>
          <w:bCs/>
          <w:sz w:val="24"/>
          <w:szCs w:val="24"/>
        </w:rPr>
        <w:t>选择低能耗的设备，优先采用一类能耗标准的获得</w:t>
      </w:r>
      <w:r>
        <w:rPr>
          <w:rFonts w:ascii="宋体" w:hAnsi="宋体" w:eastAsia="宋体" w:cs="宋体"/>
          <w:bCs/>
          <w:sz w:val="24"/>
          <w:szCs w:val="24"/>
        </w:rPr>
        <w:t>“</w:t>
      </w:r>
      <w:r>
        <w:rPr>
          <w:rFonts w:hint="eastAsia" w:ascii="宋体" w:hAnsi="宋体" w:eastAsia="宋体" w:cs="宋体"/>
          <w:bCs/>
          <w:sz w:val="24"/>
          <w:szCs w:val="24"/>
        </w:rPr>
        <w:t>中国节能</w:t>
      </w:r>
      <w:r>
        <w:rPr>
          <w:rFonts w:ascii="宋体" w:hAnsi="宋体" w:eastAsia="宋体" w:cs="宋体"/>
          <w:bCs/>
          <w:sz w:val="24"/>
          <w:szCs w:val="24"/>
        </w:rPr>
        <w:t>/</w:t>
      </w:r>
      <w:r>
        <w:rPr>
          <w:rFonts w:hint="eastAsia" w:ascii="宋体" w:hAnsi="宋体" w:eastAsia="宋体" w:cs="宋体"/>
          <w:bCs/>
          <w:sz w:val="24"/>
          <w:szCs w:val="24"/>
        </w:rPr>
        <w:t>环保产品</w:t>
      </w:r>
      <w:r>
        <w:rPr>
          <w:rFonts w:ascii="宋体" w:hAnsi="宋体" w:eastAsia="宋体" w:cs="宋体"/>
          <w:bCs/>
          <w:sz w:val="24"/>
          <w:szCs w:val="24"/>
        </w:rPr>
        <w:t>”</w:t>
      </w:r>
      <w:r>
        <w:rPr>
          <w:rFonts w:hint="eastAsia" w:ascii="宋体" w:hAnsi="宋体" w:eastAsia="宋体" w:cs="宋体"/>
          <w:bCs/>
          <w:sz w:val="24"/>
          <w:szCs w:val="24"/>
        </w:rPr>
        <w:t>标识</w:t>
      </w:r>
      <w:r>
        <w:rPr>
          <w:rFonts w:ascii="宋体" w:hAnsi="宋体" w:eastAsia="宋体" w:cs="宋体"/>
          <w:bCs/>
          <w:sz w:val="24"/>
          <w:szCs w:val="24"/>
        </w:rPr>
        <w:t>/</w:t>
      </w:r>
      <w:r>
        <w:rPr>
          <w:rFonts w:hint="eastAsia" w:ascii="宋体" w:hAnsi="宋体" w:eastAsia="宋体" w:cs="宋体"/>
          <w:bCs/>
          <w:sz w:val="24"/>
          <w:szCs w:val="24"/>
        </w:rPr>
        <w:t>证书的产品；</w:t>
      </w:r>
    </w:p>
    <w:p w14:paraId="59D1A12E">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2.3.1.</w:t>
      </w:r>
      <w:r>
        <w:rPr>
          <w:rFonts w:ascii="宋体" w:hAnsi="宋体" w:eastAsia="宋体" w:cs="宋体"/>
          <w:bCs/>
          <w:sz w:val="24"/>
          <w:szCs w:val="24"/>
        </w:rPr>
        <w:t>7.</w:t>
      </w:r>
      <w:r>
        <w:rPr>
          <w:rFonts w:hint="eastAsia" w:ascii="宋体" w:hAnsi="宋体" w:eastAsia="宋体" w:cs="宋体"/>
          <w:bCs/>
          <w:sz w:val="24"/>
          <w:szCs w:val="24"/>
        </w:rPr>
        <w:t>关键设备应支持远程管理，支持远程监控，可进行统一管理、实时监控。</w:t>
      </w:r>
    </w:p>
    <w:p w14:paraId="09C73838">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2.3.2本项目信创产品选型</w:t>
      </w:r>
    </w:p>
    <w:p w14:paraId="789DD612">
      <w:pPr>
        <w:spacing w:after="120" w:line="360" w:lineRule="auto"/>
        <w:ind w:firstLine="480" w:firstLineChars="200"/>
        <w:rPr>
          <w:bCs/>
          <w:sz w:val="24"/>
          <w:szCs w:val="24"/>
        </w:rPr>
      </w:pPr>
      <w:r>
        <w:rPr>
          <w:rFonts w:hint="eastAsia" w:ascii="宋体" w:hAnsi="宋体" w:eastAsia="宋体" w:cs="宋体"/>
          <w:bCs/>
          <w:sz w:val="24"/>
          <w:szCs w:val="24"/>
        </w:rPr>
        <w:t>服务器、操作系统、数据库、中间件类</w:t>
      </w:r>
    </w:p>
    <w:p w14:paraId="3D6B6A71">
      <w:pPr>
        <w:spacing w:after="120" w:line="360" w:lineRule="auto"/>
        <w:ind w:firstLine="480" w:firstLineChars="200"/>
        <w:rPr>
          <w:bCs/>
          <w:sz w:val="24"/>
          <w:szCs w:val="24"/>
        </w:rPr>
      </w:pPr>
      <w:r>
        <w:rPr>
          <w:rFonts w:hint="eastAsia" w:ascii="宋体" w:hAnsi="宋体" w:eastAsia="宋体" w:cs="宋体"/>
          <w:bCs/>
          <w:sz w:val="24"/>
          <w:szCs w:val="24"/>
        </w:rPr>
        <w:t>按照国家医疗保障局《关于印发医疗保障信息平台建设指南的通知》（医保网信办〔</w:t>
      </w:r>
      <w:r>
        <w:rPr>
          <w:bCs/>
          <w:sz w:val="24"/>
          <w:szCs w:val="24"/>
        </w:rPr>
        <w:t>2019</w:t>
      </w:r>
      <w:r>
        <w:rPr>
          <w:rFonts w:hint="eastAsia" w:ascii="宋体" w:hAnsi="宋体" w:eastAsia="宋体" w:cs="宋体"/>
          <w:bCs/>
          <w:sz w:val="24"/>
          <w:szCs w:val="24"/>
        </w:rPr>
        <w:t>〕</w:t>
      </w:r>
      <w:r>
        <w:rPr>
          <w:bCs/>
          <w:sz w:val="24"/>
          <w:szCs w:val="24"/>
        </w:rPr>
        <w:t>4</w:t>
      </w:r>
      <w:r>
        <w:rPr>
          <w:rFonts w:hint="eastAsia" w:ascii="宋体" w:hAnsi="宋体" w:eastAsia="宋体" w:cs="宋体"/>
          <w:bCs/>
          <w:sz w:val="24"/>
          <w:szCs w:val="24"/>
        </w:rPr>
        <w:t>号）要求，国家医疗保障信息平台建设遵循统一设计原则，各地在建设过程中须贯彻使用全国统一的总体、技术、业务标准规范体系及中台服务，依托全国统一的技术体系和架构，建设本地全新的医疗保障信息平台。海南省医疗保障信息平台作为国家医疗保障信息平台的重要组成部分，是践行医疗保障信息化全国</w:t>
      </w:r>
      <w:r>
        <w:rPr>
          <w:bCs/>
          <w:sz w:val="24"/>
          <w:szCs w:val="24"/>
        </w:rPr>
        <w:t>“</w:t>
      </w:r>
      <w:r>
        <w:rPr>
          <w:rFonts w:hint="eastAsia" w:ascii="宋体" w:hAnsi="宋体" w:eastAsia="宋体" w:cs="宋体"/>
          <w:bCs/>
          <w:sz w:val="24"/>
          <w:szCs w:val="24"/>
        </w:rPr>
        <w:t>一盘棋</w:t>
      </w:r>
      <w:r>
        <w:rPr>
          <w:bCs/>
          <w:sz w:val="24"/>
          <w:szCs w:val="24"/>
        </w:rPr>
        <w:t>”</w:t>
      </w:r>
      <w:r>
        <w:rPr>
          <w:rFonts w:hint="eastAsia" w:ascii="宋体" w:hAnsi="宋体" w:eastAsia="宋体" w:cs="宋体"/>
          <w:bCs/>
          <w:sz w:val="24"/>
          <w:szCs w:val="24"/>
        </w:rPr>
        <w:t>建设的地方实践，需严格遵循国家局建设指南要求进行建</w:t>
      </w:r>
      <w:r>
        <w:rPr>
          <w:rFonts w:hint="eastAsia"/>
          <w:bCs/>
          <w:sz w:val="24"/>
          <w:szCs w:val="24"/>
        </w:rPr>
        <w:t>设。</w:t>
      </w:r>
    </w:p>
    <w:p w14:paraId="22DF4558">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2.3.2.</w:t>
      </w:r>
      <w:r>
        <w:rPr>
          <w:rFonts w:ascii="宋体" w:hAnsi="宋体" w:eastAsia="宋体" w:cs="宋体"/>
          <w:bCs/>
          <w:sz w:val="24"/>
          <w:szCs w:val="24"/>
        </w:rPr>
        <w:t>1.</w:t>
      </w:r>
      <w:r>
        <w:rPr>
          <w:rFonts w:hint="eastAsia" w:ascii="宋体" w:hAnsi="宋体" w:eastAsia="宋体" w:cs="宋体"/>
          <w:bCs/>
          <w:sz w:val="24"/>
          <w:szCs w:val="24"/>
        </w:rPr>
        <w:t>本项目在服务器选型上均使用信创国产化要求的服务器。</w:t>
      </w:r>
    </w:p>
    <w:p w14:paraId="19D33C80">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2.3.2.</w:t>
      </w:r>
      <w:r>
        <w:rPr>
          <w:rFonts w:ascii="宋体" w:hAnsi="宋体" w:eastAsia="宋体" w:cs="宋体"/>
          <w:bCs/>
          <w:sz w:val="24"/>
          <w:szCs w:val="24"/>
        </w:rPr>
        <w:t>2.</w:t>
      </w:r>
      <w:r>
        <w:rPr>
          <w:rFonts w:hint="eastAsia" w:ascii="宋体" w:hAnsi="宋体" w:eastAsia="宋体" w:cs="宋体"/>
          <w:bCs/>
          <w:sz w:val="24"/>
          <w:szCs w:val="24"/>
        </w:rPr>
        <w:t>本项目操作系统均使用信创国产要求的操作系统。其中数据中台目前基于</w:t>
      </w:r>
      <w:r>
        <w:rPr>
          <w:rFonts w:ascii="宋体" w:hAnsi="宋体" w:eastAsia="宋体" w:cs="宋体"/>
          <w:bCs/>
          <w:sz w:val="24"/>
          <w:szCs w:val="24"/>
        </w:rPr>
        <w:t>Linux</w:t>
      </w:r>
      <w:r>
        <w:rPr>
          <w:rFonts w:hint="eastAsia" w:ascii="宋体" w:hAnsi="宋体" w:eastAsia="宋体" w:cs="宋体"/>
          <w:bCs/>
          <w:sz w:val="24"/>
          <w:szCs w:val="24"/>
        </w:rPr>
        <w:t>操作系统，因此需要选择支持信创架构的</w:t>
      </w:r>
      <w:r>
        <w:rPr>
          <w:rFonts w:ascii="宋体" w:hAnsi="宋体" w:eastAsia="宋体" w:cs="宋体"/>
          <w:bCs/>
          <w:sz w:val="24"/>
          <w:szCs w:val="24"/>
        </w:rPr>
        <w:t>Linux</w:t>
      </w:r>
      <w:r>
        <w:rPr>
          <w:rFonts w:hint="eastAsia" w:ascii="宋体" w:hAnsi="宋体" w:eastAsia="宋体" w:cs="宋体"/>
          <w:bCs/>
          <w:sz w:val="24"/>
          <w:szCs w:val="24"/>
        </w:rPr>
        <w:t>操作系统。</w:t>
      </w:r>
    </w:p>
    <w:p w14:paraId="6E115DD6">
      <w:pPr>
        <w:spacing w:after="120" w:line="360" w:lineRule="auto"/>
        <w:ind w:firstLine="480" w:firstLineChars="200"/>
        <w:rPr>
          <w:bCs/>
          <w:sz w:val="24"/>
          <w:szCs w:val="24"/>
        </w:rPr>
      </w:pPr>
      <w:r>
        <w:rPr>
          <w:rFonts w:hint="eastAsia" w:ascii="宋体" w:hAnsi="宋体" w:eastAsia="宋体" w:cs="宋体"/>
          <w:bCs/>
          <w:sz w:val="24"/>
          <w:szCs w:val="24"/>
        </w:rPr>
        <w:t>2.3.2.</w:t>
      </w:r>
      <w:r>
        <w:rPr>
          <w:rFonts w:ascii="宋体" w:hAnsi="宋体" w:eastAsia="宋体" w:cs="宋体"/>
          <w:bCs/>
          <w:sz w:val="24"/>
          <w:szCs w:val="24"/>
        </w:rPr>
        <w:t>3.</w:t>
      </w:r>
      <w:r>
        <w:rPr>
          <w:rFonts w:hint="eastAsia" w:ascii="宋体" w:hAnsi="宋体" w:eastAsia="宋体" w:cs="宋体"/>
          <w:bCs/>
          <w:sz w:val="24"/>
          <w:szCs w:val="24"/>
        </w:rPr>
        <w:t>由</w:t>
      </w:r>
      <w:r>
        <w:rPr>
          <w:rFonts w:hint="eastAsia"/>
          <w:bCs/>
          <w:sz w:val="24"/>
          <w:szCs w:val="24"/>
        </w:rPr>
        <w:t>于数据库软件和中间件涉及数据同步和兼容问题，故本项目在选择数据库软件授权扩容以及中间件扩容时，按需完成国产品牌数据库及中间件进行授权扩容。另外，数</w:t>
      </w:r>
      <w:r>
        <w:rPr>
          <w:rFonts w:hint="eastAsia" w:ascii="宋体" w:hAnsi="宋体" w:eastAsia="宋体" w:cs="宋体"/>
          <w:bCs/>
          <w:sz w:val="24"/>
          <w:szCs w:val="24"/>
        </w:rPr>
        <w:t>据中台现有中间件组件需要进行适配，以支持信创架构，组件的实现情况需要充分考虑当前海南医保数据中台的体系架构和相关组件版本，保障业务的连续性和适配的平滑性</w:t>
      </w:r>
      <w:r>
        <w:rPr>
          <w:rFonts w:hint="eastAsia" w:ascii="宋体" w:hAnsi="宋体" w:eastAsia="宋体" w:cs="宋体"/>
          <w:bCs/>
          <w:sz w:val="24"/>
          <w:szCs w:val="24"/>
          <w:lang w:eastAsia="zh-CN"/>
        </w:rPr>
        <w:t>过渡</w:t>
      </w:r>
      <w:r>
        <w:rPr>
          <w:rFonts w:hint="eastAsia" w:ascii="宋体" w:hAnsi="宋体" w:eastAsia="宋体" w:cs="宋体"/>
          <w:bCs/>
          <w:sz w:val="24"/>
          <w:szCs w:val="24"/>
        </w:rPr>
        <w:t>。</w:t>
      </w:r>
    </w:p>
    <w:p w14:paraId="6316BED9">
      <w:pPr>
        <w:spacing w:after="120" w:line="360" w:lineRule="auto"/>
        <w:ind w:firstLine="480" w:firstLineChars="200"/>
        <w:rPr>
          <w:bCs/>
          <w:sz w:val="24"/>
          <w:szCs w:val="24"/>
        </w:rPr>
      </w:pPr>
      <w:r>
        <w:rPr>
          <w:rFonts w:hint="eastAsia" w:ascii="宋体" w:hAnsi="宋体" w:eastAsia="宋体" w:cs="宋体"/>
          <w:bCs/>
          <w:sz w:val="24"/>
          <w:szCs w:val="24"/>
        </w:rPr>
        <w:t>综上，本项目服务器、数据库、操作系统、中间件等产品尽量采用信创国产化要求产品，未包含产品采用国产品牌产品。</w:t>
      </w:r>
    </w:p>
    <w:p w14:paraId="3E47F23C">
      <w:pPr>
        <w:spacing w:after="120" w:line="360" w:lineRule="auto"/>
        <w:ind w:firstLine="480" w:firstLineChars="200"/>
        <w:rPr>
          <w:bCs/>
          <w:sz w:val="24"/>
          <w:szCs w:val="24"/>
        </w:rPr>
      </w:pPr>
      <w:r>
        <w:rPr>
          <w:rFonts w:hint="eastAsia" w:ascii="宋体" w:hAnsi="宋体" w:eastAsia="宋体" w:cs="宋体"/>
          <w:bCs/>
          <w:sz w:val="24"/>
          <w:szCs w:val="24"/>
        </w:rPr>
        <w:t>网络安全产品</w:t>
      </w:r>
    </w:p>
    <w:p w14:paraId="58743A28">
      <w:pPr>
        <w:spacing w:after="120" w:line="360" w:lineRule="auto"/>
        <w:ind w:firstLine="480" w:firstLineChars="200"/>
        <w:rPr>
          <w:bCs/>
          <w:sz w:val="24"/>
          <w:szCs w:val="24"/>
        </w:rPr>
      </w:pPr>
      <w:r>
        <w:rPr>
          <w:rFonts w:hint="eastAsia" w:ascii="宋体" w:hAnsi="宋体" w:eastAsia="宋体" w:cs="宋体"/>
          <w:bCs/>
          <w:sz w:val="24"/>
          <w:szCs w:val="24"/>
        </w:rPr>
        <w:t>本项目涉及网络安全产品包括防火墙、安全隔离与信息交换类、安全审计类、主机监控与审计类产品等。</w:t>
      </w:r>
    </w:p>
    <w:p w14:paraId="41E3BC9A">
      <w:pPr>
        <w:spacing w:after="120" w:line="360" w:lineRule="auto"/>
        <w:ind w:firstLine="480" w:firstLineChars="200"/>
        <w:rPr>
          <w:bCs/>
          <w:sz w:val="24"/>
          <w:szCs w:val="24"/>
        </w:rPr>
      </w:pPr>
      <w:r>
        <w:rPr>
          <w:rFonts w:hint="eastAsia" w:ascii="宋体" w:hAnsi="宋体" w:eastAsia="宋体" w:cs="宋体"/>
          <w:bCs/>
          <w:sz w:val="24"/>
          <w:szCs w:val="24"/>
        </w:rPr>
        <w:t>本项目网络安全产品采用信创或国产化产品。</w:t>
      </w:r>
    </w:p>
    <w:p w14:paraId="5A1CE475">
      <w:pPr>
        <w:spacing w:after="120" w:line="360" w:lineRule="auto"/>
        <w:ind w:firstLine="480" w:firstLineChars="200"/>
        <w:rPr>
          <w:bCs/>
          <w:sz w:val="24"/>
          <w:szCs w:val="24"/>
        </w:rPr>
      </w:pPr>
      <w:r>
        <w:rPr>
          <w:rFonts w:hint="eastAsia" w:ascii="宋体" w:hAnsi="宋体" w:eastAsia="宋体" w:cs="宋体"/>
          <w:bCs/>
          <w:sz w:val="24"/>
          <w:szCs w:val="24"/>
        </w:rPr>
        <w:t>商用密码产品</w:t>
      </w:r>
    </w:p>
    <w:p w14:paraId="149B1F8C">
      <w:pPr>
        <w:spacing w:after="120" w:line="360" w:lineRule="auto"/>
        <w:ind w:firstLine="480" w:firstLineChars="200"/>
        <w:rPr>
          <w:bCs/>
          <w:sz w:val="24"/>
          <w:szCs w:val="24"/>
        </w:rPr>
      </w:pPr>
      <w:r>
        <w:rPr>
          <w:rFonts w:hint="eastAsia" w:ascii="宋体" w:hAnsi="宋体" w:eastAsia="宋体" w:cs="宋体"/>
          <w:bCs/>
          <w:sz w:val="24"/>
          <w:szCs w:val="24"/>
        </w:rPr>
        <w:t>本项目涉及商用密码产品包括身份认证网关、</w:t>
      </w:r>
      <w:r>
        <w:rPr>
          <w:bCs/>
          <w:sz w:val="24"/>
          <w:szCs w:val="24"/>
        </w:rPr>
        <w:t>VPN</w:t>
      </w:r>
      <w:r>
        <w:rPr>
          <w:rFonts w:hint="eastAsia" w:ascii="宋体" w:hAnsi="宋体" w:eastAsia="宋体" w:cs="宋体"/>
          <w:bCs/>
          <w:sz w:val="24"/>
          <w:szCs w:val="24"/>
        </w:rPr>
        <w:t>网关等。</w:t>
      </w:r>
    </w:p>
    <w:p w14:paraId="6B4BDBA8">
      <w:pPr>
        <w:spacing w:after="120" w:line="360" w:lineRule="auto"/>
        <w:ind w:firstLine="480" w:firstLineChars="200"/>
        <w:rPr>
          <w:rFonts w:eastAsiaTheme="minorEastAsia"/>
          <w:bCs/>
          <w:sz w:val="24"/>
          <w:szCs w:val="24"/>
        </w:rPr>
      </w:pPr>
      <w:r>
        <w:rPr>
          <w:rFonts w:hint="eastAsia" w:ascii="宋体" w:hAnsi="宋体" w:eastAsia="宋体" w:cs="宋体"/>
          <w:bCs/>
          <w:sz w:val="24"/>
          <w:szCs w:val="24"/>
        </w:rPr>
        <w:t>本项目商用密码产品采用信创或国产化产品，并要求使用国密算法，关键设备具备国家密码管理局颁发的商用密码产品型号证书。</w:t>
      </w:r>
    </w:p>
    <w:p w14:paraId="37C118DF">
      <w:pPr>
        <w:spacing w:after="120" w:line="360" w:lineRule="auto"/>
        <w:ind w:firstLine="480" w:firstLineChars="200"/>
        <w:rPr>
          <w:bCs/>
          <w:sz w:val="24"/>
          <w:szCs w:val="24"/>
        </w:rPr>
      </w:pPr>
      <w:r>
        <w:rPr>
          <w:rFonts w:hint="eastAsia" w:ascii="宋体" w:hAnsi="宋体" w:eastAsia="宋体" w:cs="宋体"/>
          <w:bCs/>
          <w:sz w:val="24"/>
          <w:szCs w:val="24"/>
        </w:rPr>
        <w:t>本项目信创情况说明</w:t>
      </w:r>
    </w:p>
    <w:p w14:paraId="1F8A323A">
      <w:pPr>
        <w:spacing w:after="120" w:line="360" w:lineRule="auto"/>
        <w:ind w:firstLine="480" w:firstLineChars="200"/>
        <w:rPr>
          <w:bCs/>
          <w:sz w:val="24"/>
          <w:szCs w:val="24"/>
        </w:rPr>
      </w:pPr>
      <w:r>
        <w:rPr>
          <w:rFonts w:hint="eastAsia" w:ascii="宋体" w:hAnsi="宋体" w:eastAsia="宋体" w:cs="宋体"/>
          <w:bCs/>
          <w:sz w:val="24"/>
          <w:szCs w:val="24"/>
        </w:rPr>
        <w:t>考虑信创技术的发展，本项目中设计的服务器产品、操作系统、密码产品应充分满足信创化、合规性、安全性及高并发要求。包括但不限于：</w:t>
      </w:r>
    </w:p>
    <w:p w14:paraId="6F496F35">
      <w:pPr>
        <w:spacing w:after="120" w:line="360" w:lineRule="auto"/>
        <w:ind w:firstLine="480" w:firstLineChars="200"/>
        <w:rPr>
          <w:bCs/>
          <w:sz w:val="24"/>
          <w:szCs w:val="24"/>
        </w:rPr>
      </w:pPr>
      <w:r>
        <w:rPr>
          <w:rFonts w:hint="eastAsia" w:ascii="宋体" w:hAnsi="宋体" w:eastAsia="宋体" w:cs="宋体"/>
          <w:bCs/>
          <w:sz w:val="24"/>
          <w:szCs w:val="24"/>
        </w:rPr>
        <w:t>服务器产品须为信创化产品，严格遵循国家相关管理规范和要求，入围国家信创核心目录产品或通过国家安全可靠测评。</w:t>
      </w:r>
    </w:p>
    <w:p w14:paraId="338E7993">
      <w:pPr>
        <w:spacing w:after="120" w:line="360" w:lineRule="auto"/>
        <w:ind w:firstLine="480" w:firstLineChars="200"/>
        <w:rPr>
          <w:bCs/>
          <w:sz w:val="24"/>
          <w:szCs w:val="24"/>
        </w:rPr>
      </w:pPr>
      <w:r>
        <w:rPr>
          <w:rFonts w:hint="eastAsia" w:ascii="宋体" w:hAnsi="宋体" w:eastAsia="宋体" w:cs="宋体"/>
          <w:bCs/>
          <w:sz w:val="24"/>
          <w:szCs w:val="24"/>
        </w:rPr>
        <w:t>操作系统须为信创国产要求的操作系统产品。</w:t>
      </w:r>
    </w:p>
    <w:p w14:paraId="20697071">
      <w:pPr>
        <w:spacing w:after="120" w:line="360" w:lineRule="auto"/>
        <w:ind w:firstLine="480" w:firstLineChars="200"/>
        <w:rPr>
          <w:bCs/>
          <w:sz w:val="24"/>
          <w:szCs w:val="24"/>
        </w:rPr>
      </w:pPr>
      <w:r>
        <w:rPr>
          <w:rFonts w:hint="eastAsia" w:ascii="宋体" w:hAnsi="宋体" w:eastAsia="宋体" w:cs="宋体"/>
          <w:bCs/>
          <w:sz w:val="24"/>
          <w:szCs w:val="24"/>
        </w:rPr>
        <w:t>新建数据库入围国家信创核心目录产品或通过国家安全可靠测评，新建中间件应入围国家信创适配清单。</w:t>
      </w:r>
    </w:p>
    <w:p w14:paraId="6BBEE728">
      <w:pPr>
        <w:spacing w:after="1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密码软硬件产品须为信创化密码产品，严格遵循国家密码管理规范和要求，支持国密</w:t>
      </w:r>
      <w:r>
        <w:rPr>
          <w:bCs/>
          <w:sz w:val="24"/>
          <w:szCs w:val="24"/>
        </w:rPr>
        <w:t>SM2/SM3/SM4</w:t>
      </w:r>
      <w:r>
        <w:rPr>
          <w:rFonts w:hint="eastAsia" w:ascii="宋体" w:hAnsi="宋体" w:eastAsia="宋体" w:cs="宋体"/>
          <w:bCs/>
          <w:sz w:val="24"/>
          <w:szCs w:val="24"/>
        </w:rPr>
        <w:t>算法，符合国密安全协议和密钥管理要求。</w:t>
      </w:r>
    </w:p>
    <w:p w14:paraId="14715DB7">
      <w:pPr>
        <w:spacing w:after="120" w:line="360" w:lineRule="auto"/>
        <w:rPr>
          <w:rFonts w:ascii="宋体" w:hAnsi="宋体" w:eastAsia="宋体" w:cs="宋体"/>
          <w:bCs/>
          <w:sz w:val="24"/>
          <w:szCs w:val="24"/>
        </w:rPr>
      </w:pPr>
    </w:p>
    <w:p w14:paraId="3ED7F12E">
      <w:pPr>
        <w:pStyle w:val="2"/>
      </w:pPr>
    </w:p>
    <w:p w14:paraId="798D2B6F">
      <w:pPr>
        <w:rPr>
          <w:rFonts w:eastAsiaTheme="minorEastAsia"/>
        </w:rPr>
      </w:pPr>
    </w:p>
    <w:p w14:paraId="63AEA5BC">
      <w:pPr>
        <w:pStyle w:val="2"/>
      </w:pPr>
    </w:p>
    <w:p w14:paraId="1174635C">
      <w:pPr>
        <w:rPr>
          <w:rFonts w:eastAsiaTheme="minorEastAsia"/>
        </w:rPr>
      </w:pPr>
    </w:p>
    <w:p w14:paraId="3B5DCBF7">
      <w:pPr>
        <w:pStyle w:val="2"/>
      </w:pPr>
    </w:p>
    <w:p w14:paraId="195BF79F">
      <w:pPr>
        <w:rPr>
          <w:rFonts w:eastAsiaTheme="minorEastAsia"/>
        </w:rPr>
      </w:pPr>
    </w:p>
    <w:p w14:paraId="1026B7F3">
      <w:pPr>
        <w:pStyle w:val="2"/>
      </w:pPr>
    </w:p>
    <w:p w14:paraId="4DB25A55">
      <w:pPr>
        <w:rPr>
          <w:rFonts w:eastAsiaTheme="minorEastAsia"/>
        </w:rPr>
      </w:pPr>
    </w:p>
    <w:p w14:paraId="1E6B32B4">
      <w:pPr>
        <w:pStyle w:val="4"/>
        <w:rPr>
          <w:rFonts w:asciiTheme="minorEastAsia" w:hAnsiTheme="minorEastAsia" w:eastAsiaTheme="minorEastAsia" w:cstheme="minorEastAsia"/>
        </w:rPr>
      </w:pPr>
    </w:p>
    <w:p w14:paraId="5EF40AF3">
      <w:pPr>
        <w:pStyle w:val="2"/>
        <w:jc w:val="center"/>
      </w:pPr>
      <w:bookmarkStart w:id="8" w:name="_Toc17885"/>
      <w:r>
        <w:rPr>
          <w:rFonts w:hint="eastAsia" w:ascii="仿宋" w:hAnsi="仿宋" w:eastAsia="仿宋" w:cs="仿宋"/>
          <w:sz w:val="32"/>
        </w:rPr>
        <w:t>3包  网络安全等级保护测评服务</w:t>
      </w:r>
      <w:bookmarkEnd w:id="8"/>
    </w:p>
    <w:p w14:paraId="0EE2CE5A">
      <w:pPr>
        <w:spacing w:line="560" w:lineRule="exact"/>
        <w:ind w:firstLine="480" w:firstLineChars="200"/>
        <w:outlineLvl w:val="2"/>
        <w:rPr>
          <w:rFonts w:asciiTheme="minorEastAsia" w:hAnsiTheme="minorEastAsia" w:eastAsiaTheme="minorEastAsia" w:cstheme="minorEastAsia"/>
          <w:sz w:val="24"/>
          <w:szCs w:val="24"/>
        </w:rPr>
      </w:pPr>
      <w:bookmarkStart w:id="9" w:name="_Toc18870"/>
      <w:r>
        <w:rPr>
          <w:rFonts w:hint="eastAsia" w:asciiTheme="minorEastAsia" w:hAnsiTheme="minorEastAsia" w:eastAsiaTheme="minorEastAsia" w:cstheme="minorEastAsia"/>
          <w:sz w:val="24"/>
          <w:szCs w:val="24"/>
        </w:rPr>
        <w:t>一、项目概况</w:t>
      </w:r>
      <w:bookmarkEnd w:id="9"/>
    </w:p>
    <w:p w14:paraId="1C152E21">
      <w:pPr>
        <w:spacing w:line="560" w:lineRule="exact"/>
        <w:outlineLvl w:val="1"/>
        <w:rPr>
          <w:rFonts w:asciiTheme="minorEastAsia" w:hAnsiTheme="minorEastAsia" w:eastAsiaTheme="minorEastAsia" w:cstheme="minorEastAsia"/>
          <w:sz w:val="24"/>
          <w:szCs w:val="24"/>
        </w:rPr>
      </w:pPr>
      <w:bookmarkStart w:id="10" w:name="_Toc30202"/>
      <w:r>
        <w:rPr>
          <w:rFonts w:hint="eastAsia" w:asciiTheme="minorEastAsia" w:hAnsiTheme="minorEastAsia" w:eastAsiaTheme="minorEastAsia" w:cstheme="minorEastAsia"/>
          <w:sz w:val="24"/>
          <w:szCs w:val="24"/>
        </w:rPr>
        <w:t>建设目标：</w:t>
      </w:r>
      <w:bookmarkEnd w:id="10"/>
    </w:p>
    <w:p w14:paraId="326E3AF5">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一）</w:t>
      </w:r>
      <w:r>
        <w:rPr>
          <w:rFonts w:hint="eastAsia" w:asciiTheme="minorEastAsia" w:hAnsiTheme="minorEastAsia" w:eastAsiaTheme="minorEastAsia" w:cstheme="minorEastAsia"/>
          <w:sz w:val="24"/>
          <w:szCs w:val="24"/>
        </w:rPr>
        <w:t>加强医保监管预警机制</w:t>
      </w:r>
    </w:p>
    <w:p w14:paraId="3EA11E61">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一步加强对医保政策规定、服务监督工作的宣传，引导社会形成正确导向，营造全社会诚信自律、合理就医、依规提供服务、维护医疗保险基金安全、自觉抵制违约违规违法行为的社会氛围。通过汇聚内外部系统的数据和信息，提供大数据决策分析能力，支持动态化掌握全省医保制度运行情况，提供政策实施效果评估</w:t>
      </w:r>
      <w:r>
        <w:rPr>
          <w:rFonts w:hint="eastAsia" w:asciiTheme="minorEastAsia" w:hAnsiTheme="minorEastAsia" w:eastAsiaTheme="minorEastAsia" w:cstheme="minorEastAsia"/>
          <w:sz w:val="24"/>
          <w:szCs w:val="24"/>
          <w:lang w:eastAsia="zh-Hans"/>
        </w:rPr>
        <w:t>能力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根据数据模型分析与政策相融合，运用大数据智能化手段分析政策的可实施性，为海南省医保监管政策落地提供有效支撑。</w:t>
      </w:r>
      <w:r>
        <w:rPr>
          <w:rFonts w:hint="eastAsia" w:asciiTheme="minorEastAsia" w:hAnsiTheme="minorEastAsia" w:eastAsiaTheme="minorEastAsia" w:cstheme="minorEastAsia"/>
          <w:sz w:val="24"/>
          <w:szCs w:val="24"/>
        </w:rPr>
        <w:t>升级医保监管知识库和规则库，支持多库共享和规则量身订制，加强医保部门反欺诈骗保和基金监管能力。</w:t>
      </w:r>
    </w:p>
    <w:p w14:paraId="18B699D4">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二）</w:t>
      </w:r>
      <w:r>
        <w:rPr>
          <w:rFonts w:hint="eastAsia" w:asciiTheme="minorEastAsia" w:hAnsiTheme="minorEastAsia" w:eastAsiaTheme="minorEastAsia" w:cstheme="minorEastAsia"/>
          <w:sz w:val="24"/>
          <w:szCs w:val="24"/>
        </w:rPr>
        <w:t>加快构筑医疗救助服务体系</w:t>
      </w:r>
    </w:p>
    <w:p w14:paraId="0A1C4501">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国家医保局关于医疗保障信息平台建设的整体规划和建设指南要求和现有建设结果，结合海南省医疗保障业务需要，通过项目建设不断完善以基本医疗保险为主体、医疗救助为托底，各类补充保障制度共同发展的多层次医疗保障制度体系，通过公平普惠实施基本医疗保险、完善大病保险等补充医疗保障措施、筑牢医疗救助托底保障防线。不断提高医疗保障水平，确保医保资金合理使用、安全可控，助力推进医疗改革，更好保障人民群众就医需求、减轻医药费用负担的职责使命，着意提高新常态下全民医保制度运行公平性、基金安全性、保障可持续性、服务可及性，助力实施医疗救助，保障和改善人民群众“病有所医、病有良医”。</w:t>
      </w:r>
    </w:p>
    <w:p w14:paraId="71863515">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（三）构建监管知识规则体系新生态</w:t>
      </w:r>
    </w:p>
    <w:p w14:paraId="61BB0609">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以建设智慧化医保信息平台为基础，不断探索、研究、升级医保基金监管知识库和规则库内容，强化海南省医疗保障智能监管水平和基础能力。一是改变现有工作思路，发散思维逻辑，积极创新开拓医保在行业监管上的“道路”，构建全生态监测监管知识体系，知识库和规则库的建设管理要从单向的、孤立的、被动的局面逐步衍生至双向的、互动的、主动的有利环境。二是加强市县部门、各单位积极探索具有普适意义的知识信息或对应规则，同时建立动态调整机制，包括年度调整和即时调整，对出现影响“两库”适用性和有效性以及对诊疗规范、诊疗服务等出现重大调整变化时，启动即时调整程序，保障政策实施与规则建立同时落地。</w:t>
      </w:r>
    </w:p>
    <w:p w14:paraId="67039600">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四）</w:t>
      </w:r>
      <w:r>
        <w:rPr>
          <w:rFonts w:hint="eastAsia" w:asciiTheme="minorEastAsia" w:hAnsiTheme="minorEastAsia" w:eastAsiaTheme="minorEastAsia" w:cstheme="minorEastAsia"/>
          <w:sz w:val="24"/>
          <w:szCs w:val="24"/>
        </w:rPr>
        <w:t>加强隐私数据计算安全保障</w:t>
      </w:r>
    </w:p>
    <w:p w14:paraId="12B24BD8">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国家医保局要求，扎实推进医疗保障信息平台建设及运营维护，防范化解医疗保障系统数据安全风险，促进数据合理安全开发利用。实施数据全生命周期安全管理，依法依规对数据的产生、传输、存储、使用、共享、销毁等实行全生命周期安全管理，提高数据安全防护能力和个人隐私保护力度。制定统一的分级分类管理制度，按照数据分级分类保护标准、规则，对数据划分安全等级，实行分级分类管理。加强重要数据和敏感字段保护，制定重要数据保护目录，对列入目录的数据进行重点保护，涉及国家秘密、工作秘密的数据应严格保密，不予共享及公开。建立敏感数据字段库，包含但不限于个人隐私数据、参保单位隐私数据、协议机构隐私数据、药品诊疗目录项目隐私数据等。</w:t>
      </w:r>
    </w:p>
    <w:p w14:paraId="0D09BBE6">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（五）部署建设数据共享子系统</w:t>
      </w:r>
    </w:p>
    <w:p w14:paraId="3E03DAC3">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按照国家医保信息平台建设规范，统一部署建设数据共享子系统基础版本。一是建立数据目录、数据资产化管理、数据共享服务等功能，对医保海量数据进行统一在线管理。同时在保障个人隐私和公共安全的前提下，按照“原始数据不出域、数据可用不可见”的要求，向医疗保障系统外的政府部门、科研机构、第三方机构等外部单位提供数据服务，促进与外部单位的数据互联互通，满足人民群众多元化、多层次的医疗保障服务及安全保障需求。并实现对数据的使用和共享情况进行监控分析。二是实现数据专区对接工作。提高数据专区使用率，加强对市县专区的信息审核、专区审批、数据使用情况等管理工作，统一在数据共享子系统中进行管控。三是结合医保部门实际工作需要，优化并拓展数据共享子系统建设内容，提高数据管理和数据服务工作效能。</w:t>
      </w:r>
    </w:p>
    <w:p w14:paraId="265B29FF">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（六）发挥数据赋能场景应用价值</w:t>
      </w:r>
    </w:p>
    <w:p w14:paraId="72CBACB7">
      <w:pPr>
        <w:pStyle w:val="12"/>
        <w:spacing w:line="560" w:lineRule="exac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lang w:eastAsia="zh-Hans"/>
        </w:rPr>
        <w:t>挖掘医保数据价值，通过统一部署数据地方专区建设，实现医保数据下沉市县，支撑各市县医保数据利用和工作开展，加强省市县纵向业务联动。建设地方专区在确保数据不出域的前提下，根据权限配置合理开放信息数据供各市县操作应用。市县医保局通过数据专区可实现参保扩面、医疗救助、区域监管、统计分析等业务开展，并利用大数据技术，提高各市县经办业务能力，助力基金监管下沉基层。建立数据隐私计算平台，融合医保数据安全、数据共享等相关机制，开发数据隐私计算工具，利用现代化、信息化手段保障隐私数据的安全性，为海南医保对数据的共享和使用提供有力支撑。</w:t>
      </w:r>
    </w:p>
    <w:p w14:paraId="7C727592">
      <w:pPr>
        <w:spacing w:line="360" w:lineRule="auto"/>
        <w:rPr>
          <w:rFonts w:asciiTheme="minorEastAsia" w:hAnsiTheme="minorEastAsia" w:eastAsiaTheme="minorEastAsia" w:cstheme="minorEastAsia"/>
          <w:b/>
          <w:bCs/>
          <w:sz w:val="24"/>
          <w:szCs w:val="24"/>
        </w:rPr>
      </w:pPr>
      <w:bookmarkStart w:id="11" w:name="_Toc40909362"/>
      <w:bookmarkStart w:id="12" w:name="_Toc25230885"/>
    </w:p>
    <w:p w14:paraId="2DB8B102">
      <w:pPr>
        <w:spacing w:line="560" w:lineRule="exact"/>
        <w:outlineLvl w:val="2"/>
        <w:rPr>
          <w:rFonts w:asciiTheme="minorEastAsia" w:hAnsiTheme="minorEastAsia" w:eastAsiaTheme="minorEastAsia" w:cstheme="minorEastAsia"/>
          <w:b/>
          <w:bCs/>
          <w:sz w:val="24"/>
          <w:szCs w:val="24"/>
        </w:rPr>
      </w:pPr>
      <w:bookmarkStart w:id="13" w:name="_Toc7155"/>
      <w:r>
        <w:rPr>
          <w:rFonts w:hint="eastAsia" w:asciiTheme="minorEastAsia" w:hAnsiTheme="minorEastAsia" w:eastAsiaTheme="minorEastAsia" w:cstheme="minorEastAsia"/>
          <w:b/>
          <w:bCs/>
          <w:sz w:val="24"/>
          <w:szCs w:val="24"/>
        </w:rPr>
        <w:t>二、建设内容</w:t>
      </w:r>
      <w:bookmarkEnd w:id="11"/>
      <w:bookmarkEnd w:id="12"/>
      <w:bookmarkEnd w:id="13"/>
    </w:p>
    <w:p w14:paraId="643BFA6E">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本项目建设遵循统一设计、统一标准、统一技术架构、统一业务规范，支持横向纵向业务协同、信息共享。依据《医疗保障信息平台建设指南》，结合海南省医疗保障局实际情况，本期建设内容如下：</w:t>
      </w:r>
    </w:p>
    <w:p w14:paraId="4F7E2808">
      <w:pPr>
        <w:pStyle w:val="12"/>
        <w:spacing w:line="560" w:lineRule="exact"/>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综合管控系统扩展</w:t>
      </w:r>
    </w:p>
    <w:p w14:paraId="46CC86E4">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一轮医改以来，医保基金监管制度体系改革持续推进，综合监管格局基本形成。综合管控系统拓展是在现有海南省医疗保障信息平台二期建设的综合管控子系统的业务架构基础上，根据本次医保改革业务需求，对综合管控子系统进行新功能增加和新模块开通，通过新技术应用进一步提高医保智能监控效能。</w:t>
      </w:r>
    </w:p>
    <w:p w14:paraId="4AD6FC8F">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（一）电子处方与药品双通道监管</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系统</w:t>
      </w:r>
    </w:p>
    <w:p w14:paraId="64775B0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新增电子处方与药品双通道监管系统。</w:t>
      </w:r>
      <w:r>
        <w:rPr>
          <w:rFonts w:hint="eastAsia" w:asciiTheme="minorEastAsia" w:hAnsiTheme="minorEastAsia" w:eastAsiaTheme="minorEastAsia" w:cstheme="minorEastAsia"/>
          <w:sz w:val="24"/>
          <w:szCs w:val="24"/>
          <w:lang w:eastAsia="zh-Hans"/>
        </w:rPr>
        <w:t>一是</w:t>
      </w:r>
      <w:r>
        <w:rPr>
          <w:rFonts w:hint="eastAsia" w:asciiTheme="minorEastAsia" w:hAnsiTheme="minorEastAsia" w:eastAsiaTheme="minorEastAsia" w:cstheme="minorEastAsia"/>
          <w:sz w:val="24"/>
          <w:szCs w:val="24"/>
        </w:rPr>
        <w:t>强化电子处方流转监管措施，防范欺诈骗保行为，辅助医保宏观决策。对电子处方和药品实现全过程监管，以确保药品的合法使用，提高医疗用药的安全性和透明度。</w:t>
      </w:r>
      <w:r>
        <w:rPr>
          <w:rFonts w:hint="eastAsia" w:asciiTheme="minorEastAsia" w:hAnsiTheme="minorEastAsia" w:eastAsiaTheme="minorEastAsia" w:cstheme="minorEastAsia"/>
          <w:sz w:val="24"/>
          <w:szCs w:val="24"/>
          <w:lang w:eastAsia="zh-Hans"/>
        </w:rPr>
        <w:t>二是满足统计监测需求，基于信息平台实现对电子处方、药品双通道常态化管理，加强对医保政策及标准规范的理解，持续完善监管规则，并按照现场工作做好数据统计监测分析，为智能监管体系的建设和政策引领创新提供有力支撑。</w:t>
      </w:r>
    </w:p>
    <w:p w14:paraId="653B2F60">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电子处方监管：以围绕海南省医保电子处方中心为基础，建立完善的电子处方全流程监管规则，实现对电子处方全生命周期监控，从入库、开方、流转、购药等流程上做好追踪溯源，利用数字化、自动化手段检索异常处方，并实时动态跟进处方信息，减少“药不对方”“药价偏高”等情况，利用大数据监管分析手段，增强互联网电子处方的流动性和用户使用的安全感。</w:t>
      </w:r>
    </w:p>
    <w:p w14:paraId="07865D32">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2、药品双通道监管：实现对双通道药品监测、双通道药品准入、双通道药店准入进行监管，并对双通道处方用药进行审核，建立双通道处方规则知识库，实时监控处方用药全流程信息。</w:t>
      </w:r>
    </w:p>
    <w:p w14:paraId="1825FBE6">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（二）门诊统筹监管</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系统</w:t>
      </w:r>
    </w:p>
    <w:p w14:paraId="7A2333AA">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门诊统筹监管</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系统旨在提升医保门诊统筹业务的监管效能，加强对医疗机构和医保参保人员的管理和监督，确保医保资金的合理使用和医疗救助的公平执行。</w:t>
      </w:r>
      <w:r>
        <w:rPr>
          <w:rFonts w:hint="eastAsia" w:asciiTheme="minorEastAsia" w:hAnsiTheme="minorEastAsia" w:eastAsiaTheme="minorEastAsia" w:cstheme="minorEastAsia"/>
          <w:sz w:val="24"/>
          <w:szCs w:val="24"/>
          <w:lang w:eastAsia="zh-Hans"/>
        </w:rPr>
        <w:t>一是</w:t>
      </w:r>
      <w:r>
        <w:rPr>
          <w:rFonts w:hint="eastAsia" w:asciiTheme="minorEastAsia" w:hAnsiTheme="minorEastAsia" w:eastAsiaTheme="minorEastAsia" w:cstheme="minorEastAsia"/>
          <w:sz w:val="24"/>
          <w:szCs w:val="24"/>
        </w:rPr>
        <w:t>整合医保门诊统筹相关数据，通过信息技术手段实现业务流程的数字化、自动化，从而提高监管和服务水平，保障医保制度的有效运行。</w:t>
      </w:r>
      <w:r>
        <w:rPr>
          <w:rFonts w:hint="eastAsia" w:asciiTheme="minorEastAsia" w:hAnsiTheme="minorEastAsia" w:eastAsiaTheme="minorEastAsia" w:cstheme="minorEastAsia"/>
          <w:sz w:val="24"/>
          <w:szCs w:val="24"/>
          <w:lang w:eastAsia="zh-Hans"/>
        </w:rPr>
        <w:t>二是强化智能审核稽核，根据门诊统筹服务特点和运行实际，上线并逐步充实智能审核规则，扩大智能审核落实，实现对门诊统筹定点医药机构智能监控全覆盖。三是加大日常监管力度，通过智能监控、专家审核、第三方监督检查和日常巡查，全面加强门诊就医和药店购药医疗费用审核和监管。</w:t>
      </w:r>
    </w:p>
    <w:p w14:paraId="78169FA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1、规则引擎分析：建立完善门诊统筹监管规则，以“</w:t>
      </w:r>
      <w:r>
        <w:rPr>
          <w:rFonts w:hint="eastAsia" w:asciiTheme="minorEastAsia" w:hAnsiTheme="minorEastAsia" w:eastAsiaTheme="minorEastAsia" w:cstheme="minorEastAsia"/>
          <w:sz w:val="24"/>
          <w:szCs w:val="24"/>
        </w:rPr>
        <w:t>合理用药、合理检查、合理治疗、合理收费</w:t>
      </w:r>
      <w:r>
        <w:rPr>
          <w:rFonts w:hint="eastAsia" w:asciiTheme="minorEastAsia" w:hAnsiTheme="minorEastAsia" w:eastAsiaTheme="minorEastAsia" w:cstheme="minorEastAsia"/>
          <w:sz w:val="24"/>
          <w:szCs w:val="24"/>
          <w:lang w:eastAsia="zh-Hans"/>
        </w:rPr>
        <w:t>”四项工作目标为出发点，提炼门诊统筹现代化监管规则要素，完成包括但不限于门诊窜换药品及诊疗项目、违反医保药品/医用耗材和医疗服务项目目录规定等监管规则制定。实现对主要</w:t>
      </w:r>
      <w:r>
        <w:rPr>
          <w:rFonts w:hint="eastAsia" w:asciiTheme="minorEastAsia" w:hAnsiTheme="minorEastAsia" w:eastAsiaTheme="minorEastAsia" w:cstheme="minorEastAsia"/>
          <w:sz w:val="24"/>
          <w:szCs w:val="24"/>
        </w:rPr>
        <w:t>治疗药物和辅助治疗药物</w:t>
      </w:r>
      <w:r>
        <w:rPr>
          <w:rFonts w:hint="eastAsia" w:asciiTheme="minorEastAsia" w:hAnsiTheme="minorEastAsia" w:eastAsiaTheme="minorEastAsia" w:cstheme="minorEastAsia"/>
          <w:sz w:val="24"/>
          <w:szCs w:val="24"/>
          <w:lang w:eastAsia="zh-Hans"/>
        </w:rPr>
        <w:t>比例、非治疗药品和耗材监管使用占比等进行监控，充分利用规则引擎对抓取的医保业务数据进行任务调度分配和分析，实现门诊统筹业务的精细化监管。</w:t>
      </w:r>
    </w:p>
    <w:p w14:paraId="5E707E99">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2、风险分析与预警：汇总辖区内监管数据，对智能监管结果等信息做明细查询，为事后分析做支撑。设置风险预警阈值，对达到阈值的统筹基金总额预算、门诊共济总额预算、药品价格进行风险预警。</w:t>
      </w:r>
    </w:p>
    <w:p w14:paraId="41DF302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3、存余药量监管：实现与医保进销存接口数据对接，全量同步医院药品库存数据，同时结合“三医联动一张网”平台，通过UDI模块对药品展开溯源跟踪，完成对药品存量数据进行比对校验，提高存余药量的数据准确性，满足对辖区内患者购进、存余药品量的监管。通过大数据采集患者购药量数据，实时计算患者药品存余量，在医生开具处方时根据药品存量规则给予超量提醒，避免患者持有药品超出实际需要，减少资源浪费，规避二次销售风险。</w:t>
      </w:r>
    </w:p>
    <w:p w14:paraId="36ADEC37">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（三）DRG/DIP监管</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系统</w:t>
      </w:r>
    </w:p>
    <w:p w14:paraId="43D02C0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建设DRG/DIP监管</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eastAsia="zh-Hans"/>
        </w:rPr>
        <w:t>一是</w:t>
      </w:r>
      <w:r>
        <w:rPr>
          <w:rFonts w:hint="eastAsia" w:asciiTheme="minorEastAsia" w:hAnsiTheme="minorEastAsia" w:eastAsiaTheme="minorEastAsia" w:cstheme="minorEastAsia"/>
          <w:sz w:val="24"/>
          <w:szCs w:val="24"/>
        </w:rPr>
        <w:t>建立医保监管服务DRG/DIP支付方式智能监控制度，实现医保DRG/DIP支付方式监管的闭环管理，提升医疗服务支付方式的管理和监管效能，确保医保基金的合理使用，</w:t>
      </w:r>
      <w:r>
        <w:rPr>
          <w:rFonts w:hint="eastAsia" w:asciiTheme="minorEastAsia" w:hAnsiTheme="minorEastAsia" w:eastAsiaTheme="minorEastAsia" w:cstheme="minorEastAsia"/>
          <w:sz w:val="24"/>
          <w:szCs w:val="24"/>
          <w:lang w:eastAsia="zh-Hans"/>
        </w:rPr>
        <w:t>增强</w:t>
      </w:r>
      <w:r>
        <w:rPr>
          <w:rFonts w:hint="eastAsia" w:asciiTheme="minorEastAsia" w:hAnsiTheme="minorEastAsia" w:eastAsiaTheme="minorEastAsia" w:cstheme="minorEastAsia"/>
          <w:sz w:val="24"/>
          <w:szCs w:val="24"/>
        </w:rPr>
        <w:t>支付的公平性和透明度。</w:t>
      </w:r>
      <w:r>
        <w:rPr>
          <w:rFonts w:hint="eastAsia" w:asciiTheme="minorEastAsia" w:hAnsiTheme="minorEastAsia" w:eastAsiaTheme="minorEastAsia" w:cstheme="minorEastAsia"/>
          <w:sz w:val="24"/>
          <w:szCs w:val="24"/>
          <w:lang w:eastAsia="zh-Hans"/>
        </w:rPr>
        <w:t>加强</w:t>
      </w:r>
      <w:r>
        <w:rPr>
          <w:rFonts w:hint="eastAsia" w:asciiTheme="minorEastAsia" w:hAnsiTheme="minorEastAsia" w:eastAsiaTheme="minorEastAsia" w:cstheme="minorEastAsia"/>
          <w:sz w:val="24"/>
          <w:szCs w:val="24"/>
        </w:rPr>
        <w:t>DRG/DIP支付方式监管</w:t>
      </w:r>
      <w:r>
        <w:rPr>
          <w:rFonts w:hint="eastAsia" w:asciiTheme="minorEastAsia" w:hAnsiTheme="minorEastAsia" w:eastAsiaTheme="minorEastAsia" w:cstheme="minorEastAsia"/>
          <w:sz w:val="24"/>
          <w:szCs w:val="24"/>
          <w:lang w:eastAsia="zh-Hans"/>
        </w:rPr>
        <w:t>保障工作，及时组建技术团队对国家医保政策、地方医保政策进行研究，并结合实际工作需要，对</w:t>
      </w:r>
      <w:r>
        <w:rPr>
          <w:rFonts w:hint="eastAsia" w:asciiTheme="minorEastAsia" w:hAnsiTheme="minorEastAsia" w:eastAsiaTheme="minorEastAsia" w:cstheme="minorEastAsia"/>
          <w:sz w:val="24"/>
          <w:szCs w:val="24"/>
        </w:rPr>
        <w:t>DRG/DIP支付方式监管</w:t>
      </w:r>
      <w:r>
        <w:rPr>
          <w:rFonts w:hint="eastAsia" w:asciiTheme="minorEastAsia" w:hAnsiTheme="minorEastAsia" w:eastAsiaTheme="minorEastAsia" w:cstheme="minorEastAsia"/>
          <w:sz w:val="24"/>
          <w:szCs w:val="24"/>
          <w:lang w:eastAsia="zh-Hans"/>
        </w:rPr>
        <w:t>内容进行调整更新，以满足海南省医疗保障基金监管整体要求，提升监管执行保障力度。二是完成与</w:t>
      </w:r>
      <w:r>
        <w:rPr>
          <w:rFonts w:hint="eastAsia" w:asciiTheme="minorEastAsia" w:hAnsiTheme="minorEastAsia" w:eastAsiaTheme="minorEastAsia" w:cstheme="minorEastAsia"/>
          <w:sz w:val="24"/>
          <w:szCs w:val="24"/>
        </w:rPr>
        <w:t>DRG/DIP</w:t>
      </w:r>
      <w:r>
        <w:rPr>
          <w:rFonts w:hint="eastAsia" w:asciiTheme="minorEastAsia" w:hAnsiTheme="minorEastAsia" w:eastAsiaTheme="minorEastAsia" w:cstheme="minorEastAsia"/>
          <w:sz w:val="24"/>
          <w:szCs w:val="24"/>
          <w:lang w:eastAsia="zh-Hans"/>
        </w:rPr>
        <w:t>支付方式系统对接联调。建立数据同步机制，通过主动推送、主动抓取等方式获取</w:t>
      </w:r>
      <w:r>
        <w:rPr>
          <w:rFonts w:hint="eastAsia" w:asciiTheme="minorEastAsia" w:hAnsiTheme="minorEastAsia" w:eastAsiaTheme="minorEastAsia" w:cstheme="minorEastAsia"/>
          <w:sz w:val="24"/>
          <w:szCs w:val="24"/>
        </w:rPr>
        <w:t>DRG/DIP</w:t>
      </w:r>
      <w:r>
        <w:rPr>
          <w:rFonts w:hint="eastAsia" w:asciiTheme="minorEastAsia" w:hAnsiTheme="minorEastAsia" w:eastAsiaTheme="minorEastAsia" w:cstheme="minorEastAsia"/>
          <w:sz w:val="24"/>
          <w:szCs w:val="24"/>
          <w:lang w:eastAsia="zh-Hans"/>
        </w:rPr>
        <w:t>支付方式全量数据，同步实现数据差异化比对工作，确保数据全部同步至监管子系统，为</w:t>
      </w:r>
      <w:r>
        <w:rPr>
          <w:rFonts w:hint="eastAsia" w:asciiTheme="minorEastAsia" w:hAnsiTheme="minorEastAsia" w:eastAsiaTheme="minorEastAsia" w:cstheme="minorEastAsia"/>
          <w:sz w:val="24"/>
          <w:szCs w:val="24"/>
        </w:rPr>
        <w:t>DRG/DIP</w:t>
      </w:r>
      <w:r>
        <w:rPr>
          <w:rFonts w:hint="eastAsia" w:asciiTheme="minorEastAsia" w:hAnsiTheme="minorEastAsia" w:eastAsiaTheme="minorEastAsia" w:cstheme="minorEastAsia"/>
          <w:sz w:val="24"/>
          <w:szCs w:val="24"/>
          <w:lang w:eastAsia="zh-Hans"/>
        </w:rPr>
        <w:t>支付方式监测监管体系提供有效支撑。</w:t>
      </w:r>
    </w:p>
    <w:p w14:paraId="3D09B64C">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病案首页及结算清单质控：实现与“三医联动一张网”平台数据对接，实时抓取病案首页信息，并对数据进行查重、整理，确保病案数据分析的准确性。系统灵活配置病案首页的校验规则及分值，灵活选择校验规则的执行范围，对各医疗机构的整体病案上传数量、正确率等进行分析，并对各科室及具体病案的进行穿透分析，精准查询各病案号的错误明细，可实现医保及医疗机构快速定位问题病案及病案错误，不断提升病案首页上传质量及入组率。</w:t>
      </w:r>
    </w:p>
    <w:p w14:paraId="2FCF3CC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DIP/DRG智能审核：制定针对结算清单的DIP/DRG监管规则，建立本地化的临床知识库。并对规则进行新增、停用、启用、公示等管理,并根据实际检查情况，对规则进行红橙黄的预警等级标注，重点关注预警等级较高的规则。依托于现有的智能监管系统，形成DIP违规结果初审、复审、机构申诉、申诉处理扣款执行等流程</w:t>
      </w:r>
      <w:r>
        <w:rPr>
          <w:rFonts w:hint="eastAsia" w:asciiTheme="minorEastAsia" w:hAnsiTheme="minorEastAsia" w:eastAsiaTheme="minorEastAsia" w:cstheme="minorEastAsia"/>
          <w:sz w:val="24"/>
          <w:szCs w:val="24"/>
        </w:rPr>
        <w:t>。并且可提供</w:t>
      </w:r>
      <w:r>
        <w:rPr>
          <w:rFonts w:hint="eastAsia" w:asciiTheme="minorEastAsia" w:hAnsiTheme="minorEastAsia" w:eastAsiaTheme="minorEastAsia" w:cstheme="minorEastAsia"/>
          <w:sz w:val="24"/>
          <w:szCs w:val="24"/>
          <w:lang w:eastAsia="zh-Hans"/>
        </w:rPr>
        <w:t>扣款汇总、可视化违规分析报告等内容，辅助医保基金监管决策。</w:t>
      </w:r>
    </w:p>
    <w:p w14:paraId="76113197">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3、DIP/DRG绩效考核：支持DIP/DRG绩效考核管理，通过专项指标对各医疗机构的医疗服务能力、医疗服务质量、医疗服务效率、医疗服务费用进行分析，并穿透分析各科室/MDC的医疗服务能力、医疗服务质量、医疗服务效率、医疗服务费用；对专项指标可进行权重配置，最终对医疗机构绩效考核进行排名。通过参数配置对医疗机构费率进行分类管理。</w:t>
      </w:r>
    </w:p>
    <w:p w14:paraId="759765EC">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（四）两库管理与论证</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系统</w:t>
      </w:r>
    </w:p>
    <w:p w14:paraId="71B01E8B">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新增两库管理与论证</w:t>
      </w:r>
      <w:r>
        <w:rPr>
          <w:rFonts w:hint="eastAsia" w:asciiTheme="minorEastAsia" w:hAnsiTheme="minorEastAsia" w:eastAsiaTheme="minorEastAsia" w:cstheme="minorEastAsia"/>
          <w:sz w:val="24"/>
          <w:szCs w:val="24"/>
          <w:lang w:eastAsia="zh-Hans"/>
        </w:rPr>
        <w:t>子</w:t>
      </w:r>
      <w:r>
        <w:rPr>
          <w:rFonts w:hint="eastAsia" w:asciiTheme="minorEastAsia" w:hAnsiTheme="minorEastAsia" w:eastAsiaTheme="minorEastAsia" w:cstheme="minorEastAsia"/>
          <w:sz w:val="24"/>
          <w:szCs w:val="24"/>
        </w:rPr>
        <w:t>系统，进一步实现医保大数据的深度挖掘分析，持续调整、完善和创新中不断优化丰富医保两库规则，以知识库、规则库为依托，基于智慧监管系统对各类监管对象在各种场景下使用医疗保障基金的情形进行全流程监控，进一步健全医疗保障基金监管体系，提升监管效能，促进基金有效使用。</w:t>
      </w:r>
      <w:r>
        <w:rPr>
          <w:rFonts w:hint="eastAsia" w:asciiTheme="minorEastAsia" w:hAnsiTheme="minorEastAsia" w:eastAsiaTheme="minorEastAsia" w:cstheme="minorEastAsia"/>
          <w:sz w:val="24"/>
          <w:szCs w:val="24"/>
          <w:lang w:eastAsia="zh-Hans"/>
        </w:rPr>
        <w:t>建立医保规则迭代生态环境，引入第三方、专家团队等医保行业领域人才，持续开展挖掘医保反欺诈、飞行检查、智能监管等规则体系，探索医疗保障行业市场可行性监管手段，输出“事前精准干预”有效办法，结合大数据引擎计算和智能化信息系统，从源头上保护医疗保险基金安全可控。</w:t>
      </w:r>
    </w:p>
    <w:p w14:paraId="6FD2EBE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两库论证服务：依托于两库管理系统，不定期开展对医保监管规则库、知识库的研究探索，引入第三方、行业专家等对规则内容进行评审，确保符合医保政策和监管要求。</w:t>
      </w:r>
    </w:p>
    <w:p w14:paraId="0799EED4">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两库生态环境：发挥海南省医保智能监管优势，挖掘各地、各单位以及兄弟省份知识库、规则库行业动态，构建省市县纵向联动机制，建立健全医保全业务全流程全场景监管模式，创新海南省医保两库生态发展环境。</w:t>
      </w:r>
    </w:p>
    <w:p w14:paraId="75054718">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（五）医保场景监控系统</w:t>
      </w:r>
    </w:p>
    <w:p w14:paraId="67EA653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建立和完善医保智能监控系统，加强大数据应用。依托视频监控、生物特征识别等技术应用，保障医保基金监督，打击欺诈骗保等行为，实现监管关口前移，丰富监管维度，精准医保监管，提升监管效能。</w:t>
      </w:r>
      <w:r>
        <w:rPr>
          <w:rFonts w:hint="eastAsia" w:asciiTheme="minorEastAsia" w:hAnsiTheme="minorEastAsia" w:eastAsiaTheme="minorEastAsia" w:cstheme="minorEastAsia"/>
          <w:sz w:val="24"/>
          <w:szCs w:val="24"/>
          <w:lang w:eastAsia="zh-Hans"/>
        </w:rPr>
        <w:t>同时，对医院、药店等场景需采购的设备做统一接入要求，明确硬件设备由地方自行采购，并且需要满足医保接入标准。医保场景监控系统主动采集数据，实时开展</w:t>
      </w:r>
      <w:r>
        <w:rPr>
          <w:rFonts w:hint="eastAsia" w:asciiTheme="minorEastAsia" w:hAnsiTheme="minorEastAsia" w:eastAsiaTheme="minorEastAsia" w:cstheme="minorEastAsia"/>
          <w:sz w:val="24"/>
          <w:szCs w:val="24"/>
        </w:rPr>
        <w:t>智能监控常态化，综合应用医疗保障智能监控和大数据分析手段，实现线索发现、调查取证、违规处理、结果应用等监管环节线上线下相结合，形成全流程闭环监管。</w:t>
      </w:r>
      <w:r>
        <w:rPr>
          <w:rFonts w:hint="eastAsia" w:asciiTheme="minorEastAsia" w:hAnsiTheme="minorEastAsia" w:eastAsiaTheme="minorEastAsia" w:cstheme="minorEastAsia"/>
          <w:sz w:val="24"/>
          <w:szCs w:val="24"/>
          <w:lang w:eastAsia="zh-Hans"/>
        </w:rPr>
        <w:t>建立硬件设备监控管理功能，对接入设备的信息、型号、规格等进行统一查询、统一维护、统一管理，并实时监控设备运行使用状况，及时同步设备维护信息，确保两定机构设备正常运行。</w:t>
      </w:r>
    </w:p>
    <w:p w14:paraId="23C4A85D">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1、采集端：通过两定机构部署的硬件设备，采集相关场景数据包括门诊、住院、血透等，采集内容为住院信息、门诊信息、血透信息、人脸图像、视频等。</w:t>
      </w:r>
    </w:p>
    <w:p w14:paraId="460F922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2、监管端：通过采集端收集数据，利用知识规则库和大数据模型计算，主动发现异常就医行为数据并挖掘可疑信息，产出统计分析结果。</w:t>
      </w:r>
    </w:p>
    <w:p w14:paraId="292F005D">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3、机构端：为两定机构提供信息核查入口，对不同场景的患者进行身份识别、在院/住院查询、购药信息查询等功能。</w:t>
      </w:r>
    </w:p>
    <w:p w14:paraId="755A137C">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4、视图库管理端：提供可视化展示，实现包括视频、图像等查看界面，并对接入的硬件设备进行统一在线管理。</w:t>
      </w:r>
    </w:p>
    <w:p w14:paraId="2D3C30E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5、移动稽核：移动稽核主要有稽核处理、远程查房、申诉审核、信息查询、门诊住院血透购药场景大数据分析等功能，可实现对门诊、住院、血透、药店四个场景稽核任务下达，远程查床任务下达，稽核问题申诉处理，四个场景的患者信息查询，及四个场景的大数据分析。</w:t>
      </w:r>
    </w:p>
    <w:p w14:paraId="57105EFC">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6、系统支撑：提供统一系统管理功能，实现对基础信息、就诊信息的同步。可对接入设备进行查看、导出。实现系统用户信息、算法参数等维护工作。</w:t>
      </w:r>
    </w:p>
    <w:p w14:paraId="342CB6A8">
      <w:pPr>
        <w:pStyle w:val="12"/>
        <w:spacing w:line="560" w:lineRule="exact"/>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多层次医疗救助一体化平台建设</w:t>
      </w:r>
    </w:p>
    <w:p w14:paraId="3207819B">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医疗救助门户系统</w:t>
      </w:r>
    </w:p>
    <w:p w14:paraId="34FC2E67">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医疗救助门户系统提供全面的医疗救助服务，促进救助对象获得合理、有效的医疗救助。</w:t>
      </w:r>
      <w:r>
        <w:rPr>
          <w:rFonts w:hint="eastAsia" w:asciiTheme="minorEastAsia" w:hAnsiTheme="minorEastAsia" w:eastAsiaTheme="minorEastAsia" w:cstheme="minorEastAsia"/>
          <w:sz w:val="24"/>
          <w:szCs w:val="24"/>
          <w:lang w:eastAsia="zh-Hans"/>
        </w:rPr>
        <w:t>一是构建医疗救助公共服务窗口，为救助群体提供一站式服务，通过APP、公众号、小程序等互联网产品，打通医疗救助申请渠道，减轻救助群体线下提交的压力和困难，利用现代化、电子化技术保障救助申请便利便捷。同时对接海易办、政务一体化平台，为推动海南省“医疗救助一件事一次办”提供有效支撑。二是接入海政通用户账户信息，避免基层服务人员重复记录账户，只需使用海政通账号密码即可访问医疗救助门户系统，即可开展对救助人员的信息审核工作。三是做好技术保障工作，通过后台管理审核人员权限信息，及时开通、收回相关权限，加强对人员的管理工作，避免出现救助信息审核慢、救助信息审核有误等情况。</w:t>
      </w:r>
    </w:p>
    <w:p w14:paraId="5A9176B0">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用户救助申请：以自动化申请为建设目标，减少群众输入重复信息、无用信息等。与医保二期平台、三医联动平台以及横向单位系统实现数据互通，自动获取救助人员相关信息，包括救助对象基本情况、参保情况、就医结算、诊疗处方等数据。逐步替换线下纸质版填报申请流程，实现救助服务平台智能化应用，为社会底层人员、文化弱势群体提供更便捷、更人性化的多层次医疗救助一站式服务。</w:t>
      </w:r>
    </w:p>
    <w:p w14:paraId="50E64A3E">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接入海政通账户信息：通过获取海政通用户身份信息，将账户信息自动同步到多层次医疗救助门户中，便于业务人员登录信息系统，减少账号开通步骤。同时按照海政通组织架构及权限管理模式，即时同步更新用户账户信息，对不用的账户进行注销，确保人员离职、人员调动后的相关账号权限收回，防止发生信息泄露以及违规审批等风险。</w:t>
      </w:r>
    </w:p>
    <w:p w14:paraId="7F93CA80">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医疗救助数据共享中心</w:t>
      </w:r>
    </w:p>
    <w:p w14:paraId="7A26C83D">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医疗救助数据共享中心主要实现将各救助单位业务专网整合至全省电子政务外网，推进分散的、独立的信息系统整合为一个互联互通、信息共享、业务协同的“大系统”。</w:t>
      </w:r>
      <w:r>
        <w:rPr>
          <w:rFonts w:hint="eastAsia" w:asciiTheme="minorEastAsia" w:hAnsiTheme="minorEastAsia" w:eastAsiaTheme="minorEastAsia" w:cstheme="minorEastAsia"/>
          <w:sz w:val="24"/>
          <w:szCs w:val="24"/>
          <w:lang w:eastAsia="zh-Hans"/>
        </w:rPr>
        <w:t>以围绕建立“一个平台、两个池子、三个机制”为目标，利用数据中心共享机制，开展与省民政厅、省卫健委、省总工会、省乡村振兴局、省残联、省妇联、省团委、省退役军人事务局、红十字会、慈善等13家单位以及后续接入部门的系统对接联调工作，确保数据共享机制平稳运行。同步接收医疗救助门户、横向救助部门数据信息，开展医疗救助信息审核、救助身份认定、救助身份标识、医疗救助资金核算等业务，主动将相关救助信息推送至各救助部门，做到数据互联互通、救助信息有效链接，防止出现救助不足、救助信息差异化等情况。同时，通过数据共享中心可实现查看救助对象的医疗救助情况，包括救助时间、救助费用、救助单位等，为部门政策决策提供有效支撑。</w:t>
      </w:r>
    </w:p>
    <w:p w14:paraId="36760288">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数据接入：一是可通过省大数据局数据共享交换中心进行数据申请，由大数据局推送数据至多层次医疗救助数据共享中心。二是实现与横向单位系统接入，通过API接口、库表等方式，打通多部门系统与多层次医疗救助数据共享中心互联互通，提高数据传送效率。</w:t>
      </w:r>
    </w:p>
    <w:p w14:paraId="6B9EAF03">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横向单位接入：构建多层次医疗救助一体化服务机制，与13家救助单位以及后续接入单位做好接口对接工作。承建单位主导开发、测试、联调相关接口，并输出接口对接文档，确保系统接入无异常，同时负责接口更新维护工作，为13家救助单位以及后续接入单位对接做好技术保障。</w:t>
      </w:r>
    </w:p>
    <w:p w14:paraId="247B26BD">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3、一站式结算：系统建设预留一站式结算接入方式，为实现全省统一一站式救助提供实施路径。基于医保报销、大病报销后个人支付费用，以救助政策为导向，探索医疗救助一站式结算统筹支付模式，减轻老百姓垫付压力，让老百姓能真正意义上感受到多层次医疗救助一体化服务的人性化、便利性。</w:t>
      </w:r>
    </w:p>
    <w:p w14:paraId="48923080">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（三）应用支撑基础系统升级</w:t>
      </w:r>
    </w:p>
    <w:p w14:paraId="1F81905F">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应用支撑基础系统实现对整个业务应用系统运行的基础配置和支撑功能，通过对原有子系统进行升级改造，用以支撑多层次医疗救助一体化平台的业务开展和医疗救助信息及相关数据的互通共享。</w:t>
      </w:r>
      <w:r>
        <w:rPr>
          <w:rFonts w:hint="eastAsia" w:asciiTheme="minorEastAsia" w:hAnsiTheme="minorEastAsia" w:eastAsiaTheme="minorEastAsia" w:cstheme="minorEastAsia"/>
          <w:sz w:val="24"/>
          <w:szCs w:val="24"/>
          <w:lang w:eastAsia="zh-Hans"/>
        </w:rPr>
        <w:t>同时需满足医保数据内部使用需要，对医疗救助信息实现同步，为公共服务、宏观决策分析、大数据分析预警等业务系统做好基础支撑工作。</w:t>
      </w:r>
    </w:p>
    <w:p w14:paraId="554F0D3E">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医疗救助业务标准规范管理系统</w:t>
      </w:r>
    </w:p>
    <w:p w14:paraId="471B161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建设</w:t>
      </w: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医疗救助业务整体元数据标准、数据集标准、数据共享标准、接口标准、数据治理规范等整体管理系统，为构建全省统一的</w:t>
      </w: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医疗救助数据交换与共享中心提供支撑和依据。</w:t>
      </w:r>
      <w:r>
        <w:rPr>
          <w:rFonts w:hint="eastAsia" w:asciiTheme="minorEastAsia" w:hAnsiTheme="minorEastAsia" w:eastAsiaTheme="minorEastAsia" w:cstheme="minorEastAsia"/>
          <w:sz w:val="24"/>
          <w:szCs w:val="24"/>
          <w:lang w:eastAsia="zh-Hans"/>
        </w:rPr>
        <w:t>系统建设包括但不限于对数据的定制化治理工作，为支撑多层次医疗救助一体化平台有效开展，建立起专项的医疗救助数据标准团队，提供常态化治理工作。并且需要满足横向救助单位的数据使用需求，做好数据标准对接沟通工作，及时响应相关单位，输出医保数据标准及编码对照，建立完善的多层次医疗救助数据标准综合体系。</w:t>
      </w:r>
    </w:p>
    <w:p w14:paraId="1FC80280">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业务数据标准服务：建立海南省多层次医疗救助数据标准化服务，满足各单位在共享医疗救助数据的标准对照映射，同时以医保救助数据标准为基础，实现多层次医疗救助数据标准基础版本，并为各救助单位提供标准化技术服务支撑，推动多层次医疗救助一体化、标准化建设。</w:t>
      </w:r>
    </w:p>
    <w:p w14:paraId="48F9A68B">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业务数据安全保障：建立多层次医疗救助数据安全保障团队，提高数据在标准化、治理化过程中的安全响应工作，增强多层次医疗救助数据标准综合服务保障能力，减少数据在转码、治理、归集和使用过程中出现数据丢失和</w:t>
      </w:r>
      <w:r>
        <w:rPr>
          <w:rFonts w:hint="eastAsia" w:asciiTheme="minorEastAsia" w:hAnsiTheme="minorEastAsia" w:eastAsiaTheme="minorEastAsia" w:cstheme="minorEastAsia"/>
          <w:sz w:val="24"/>
          <w:szCs w:val="24"/>
        </w:rPr>
        <w:t>泄露</w:t>
      </w:r>
      <w:r>
        <w:rPr>
          <w:rFonts w:hint="eastAsia" w:asciiTheme="minorEastAsia" w:hAnsiTheme="minorEastAsia" w:eastAsiaTheme="minorEastAsia" w:cstheme="minorEastAsia"/>
          <w:sz w:val="24"/>
          <w:szCs w:val="24"/>
          <w:lang w:eastAsia="zh-Hans"/>
        </w:rPr>
        <w:t>等情况。</w:t>
      </w:r>
    </w:p>
    <w:p w14:paraId="2AF16740">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（五）医疗救助子系统升级</w:t>
      </w:r>
    </w:p>
    <w:p w14:paraId="08BDB3D0">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基于海南省医疗保障统筹救助模式，发挥医保救助整体水平和能力，将医疗救助模块进行独立应用，建立医疗救助子系统，为业务经办提供平台支撑。整体建设内容包括但不限于医疗救助拨付管理、医疗救助对象管理、医疗救助信息查询等，并结合医保局、医保服务中心工作需要，开展对城乡医疗救助情况、城乡居民基本医疗保险缴费和财政补助情况等查询统计，形成相关报表内容，供医保工作人员调阅、导出等，并根据业务部门要求，对报表内容进行定制化开发，方便工作人员对数据进行分析研究。</w:t>
      </w:r>
    </w:p>
    <w:p w14:paraId="0760A755">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与多层次医疗救助一体化平台对接：满足业务开展需要，实现与多层次医疗救助一体化平台对接，实时同步包括民政救助、妇联救助、残联救助等数据信息。</w:t>
      </w:r>
    </w:p>
    <w:p w14:paraId="2A0F769B">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与财务系统对接：通过与财政财务系统的对接，获取医疗救助资金、财政补助情况等，为确保医保部门、经办机构实现医疗救助情况摸底和统计提供数据支撑能力。</w:t>
      </w:r>
    </w:p>
    <w:p w14:paraId="7389BCD9">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医疗救助基础信息管理系统</w:t>
      </w:r>
    </w:p>
    <w:p w14:paraId="73AEDF61">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多层次</w:t>
      </w:r>
      <w:r>
        <w:rPr>
          <w:rFonts w:hint="eastAsia" w:asciiTheme="minorEastAsia" w:hAnsiTheme="minorEastAsia" w:eastAsiaTheme="minorEastAsia" w:cstheme="minorEastAsia"/>
          <w:sz w:val="24"/>
          <w:szCs w:val="24"/>
        </w:rPr>
        <w:t>医疗救助基础信息管理系统有效管理和维护与医疗救助对象相关的信息。该系统涵盖了从信息收集、存储到查询分析等全过程。有助于提高</w:t>
      </w:r>
      <w:r>
        <w:rPr>
          <w:rFonts w:hint="eastAsia" w:asciiTheme="minorEastAsia" w:hAnsiTheme="minorEastAsia" w:eastAsiaTheme="minorEastAsia" w:cstheme="minorEastAsia"/>
          <w:sz w:val="24"/>
          <w:szCs w:val="24"/>
          <w:lang w:eastAsia="zh-Hans"/>
        </w:rPr>
        <w:t>医保、民政、乡村振兴、残联、妇联、总工会、慈善、红十字等13家单位</w:t>
      </w:r>
      <w:r>
        <w:rPr>
          <w:rFonts w:hint="eastAsia" w:asciiTheme="minorEastAsia" w:hAnsiTheme="minorEastAsia" w:eastAsiaTheme="minorEastAsia" w:cstheme="minorEastAsia"/>
          <w:sz w:val="24"/>
          <w:szCs w:val="24"/>
        </w:rPr>
        <w:t>救助工作的效率和质量，更好地满足医疗救助对象</w:t>
      </w:r>
      <w:r>
        <w:rPr>
          <w:rFonts w:hint="eastAsia" w:asciiTheme="minorEastAsia" w:hAnsiTheme="minorEastAsia" w:eastAsiaTheme="minorEastAsia" w:cstheme="minorEastAsia"/>
          <w:sz w:val="24"/>
          <w:szCs w:val="24"/>
          <w:lang w:eastAsia="zh-Hans"/>
        </w:rPr>
        <w:t>管理</w:t>
      </w:r>
      <w:r>
        <w:rPr>
          <w:rFonts w:hint="eastAsia" w:asciiTheme="minorEastAsia" w:hAnsiTheme="minorEastAsia" w:eastAsiaTheme="minorEastAsia" w:cstheme="minorEastAsia"/>
          <w:sz w:val="24"/>
          <w:szCs w:val="24"/>
        </w:rPr>
        <w:t>的需求，为政府部门和救助机构提供科学依据，促进医疗救助工作的规范和透明。同时，通过系统的数据分析和监测，可以不断优化救助政策，提升公共服务水平，为需要医疗救助的人群提供更加精准和周到的支持。</w:t>
      </w:r>
    </w:p>
    <w:p w14:paraId="36F74CA9">
      <w:pPr>
        <w:pStyle w:val="12"/>
        <w:spacing w:line="560" w:lineRule="exact"/>
        <w:ind w:firstLine="482"/>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eastAsia="zh-Hans"/>
        </w:rPr>
        <w:t>部署数据共享子系统</w:t>
      </w:r>
    </w:p>
    <w:p w14:paraId="43DFA52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按要求部署国家医保局下发的数据共享子系统，建立数据共享工作机制，为提高医保业务横纵向联动提供平台支撑，同时实现与医保二期平台业务系统、业务中台、数据中台以及数据专区完成对接，提升数据共享子系统核心功能价值。一是加强海南省医保数据日常管理，建立数据目录、数据共享、数据资产等管理功能，提升医保数据可查、可管、可控。二是通过数据内外共享，增强医保综合业务能力，提升经办、监管、决策、药招等数据使用效能，打通医保与政务信息化业务信息壁垒，解决数据共享障碍。二是打通与数据专区有效衔接，利用数据共享子系统实现对专区的统一管理，由省医保局接收各市县提交的专区任务申请，并结合实际工作场景分发对应的权限，以确保各市县能精准化获取相关数据。同时对数据专区使用情况做好统计监测，实时动态掌握全域数据使用情况，避免发生数据泄露、丢失、异常导出等行为，提高数据安全防护力度。</w:t>
      </w:r>
    </w:p>
    <w:p w14:paraId="2BE537B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部署升级及应用开发：完成国家数据共享子系统后续升级更新工作，并结合省市地方需求，对海南省数据共享子系统模块进行个性化开发，以满足实际业务开展需要。</w:t>
      </w:r>
    </w:p>
    <w:p w14:paraId="42435A32">
      <w:pPr>
        <w:pStyle w:val="12"/>
        <w:spacing w:line="560" w:lineRule="exact"/>
        <w:ind w:firstLine="480"/>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数据共享子系统业务保障：负责对数据共享子系统日常管理工作，完成包括但不限于数据目录维护升级、数据共享管理、数据资产管理、数据专区管理数据审计管理等。</w:t>
      </w:r>
    </w:p>
    <w:p w14:paraId="320F54CD">
      <w:pPr>
        <w:pStyle w:val="12"/>
        <w:spacing w:line="560" w:lineRule="exact"/>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数据专区</w:t>
      </w:r>
    </w:p>
    <w:p w14:paraId="6D6114F8">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（一）数据</w:t>
      </w:r>
      <w:r>
        <w:rPr>
          <w:rFonts w:hint="eastAsia" w:asciiTheme="minorEastAsia" w:hAnsiTheme="minorEastAsia" w:eastAsiaTheme="minorEastAsia" w:cstheme="minorEastAsia"/>
          <w:sz w:val="24"/>
          <w:szCs w:val="24"/>
          <w:lang w:eastAsia="zh-Hans"/>
        </w:rPr>
        <w:t>提取</w:t>
      </w:r>
    </w:p>
    <w:p w14:paraId="470B03FA">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为满足市县数据使用需要，在建立数据地方专区后，由开发团队将各市县对应的数据进行提取，完成对市县专区的数据同步工作，并结合数据更新周期，实现数据增量同步功能，确保各市县掌握医保全量数据。同时根据国家医保局、省医保局相关办法规定，对数据进行分类分级，以满足市县在获取数据后能快速掌握信息的整体情况和安全等级。同时做好数据提取保密和保护工作，数据抽取和推送需要做到信息隔离，坚持“谁的数据谁使用”原则，对未通过数据共享子系统申请的数据请求工作一律不予受理，从数据提取工作中把好第一关，保障数据分发安全可控。</w:t>
      </w:r>
    </w:p>
    <w:p w14:paraId="44C632A3">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（二）数据</w:t>
      </w:r>
      <w:r>
        <w:rPr>
          <w:rFonts w:hint="eastAsia" w:asciiTheme="minorEastAsia" w:hAnsiTheme="minorEastAsia" w:eastAsiaTheme="minorEastAsia" w:cstheme="minorEastAsia"/>
          <w:sz w:val="24"/>
          <w:szCs w:val="24"/>
          <w:lang w:eastAsia="zh-Hans"/>
        </w:rPr>
        <w:t>开发</w:t>
      </w:r>
    </w:p>
    <w:p w14:paraId="074DB4C9">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市县医保部门通过数据地方专区，实现医保数据再开发、再利用，通过建立不同业务的应用场景，加强市县横纵向数据交换，提升包括多层次医疗救助、大数据反欺诈、飞行检查、支付方式监管等业务联动，丰富各市县医保大数据服务能力。同时结合数据开发过程，持续对原数据的治理和清洗工作，市县医保部门须按照国家医保局、省医保局数据治理有关办法，建立起数据质控体系，对医保目前存留的脏数据做到全面治理，提升海南医保综合服务质量。</w:t>
      </w:r>
    </w:p>
    <w:p w14:paraId="21486BC6">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三</w:t>
      </w:r>
      <w:r>
        <w:rPr>
          <w:rFonts w:hint="eastAsia"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lang w:eastAsia="zh-Hans"/>
        </w:rPr>
        <w:t>安全沙箱</w:t>
      </w:r>
    </w:p>
    <w:p w14:paraId="757F00BE">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在数据专区中设置数据安全沙箱，在不暴露真实数据的情况下进行数据分析和共享。数据沙箱提供安全防护的能力，允许多个实体共享数据，同时保持数据的隐私和安全。在数据沙箱中，数据被匿名化或脱敏处理，使得数据所有者的敏感信息得到保护。在数据安全沙箱中实现对专区的全员全业务全流程监测监管，提高数据专区安全保障，保障数据安全事件进行有效预警和溯源。</w:t>
      </w:r>
    </w:p>
    <w:p w14:paraId="1EC42549">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1、隐私计算：在数据沙箱中，通过隐私计算引擎对数据实现脱敏加密，以避免直接暴露个人敏感信息。确保数据在共享过程中不会泄露隐私。</w:t>
      </w:r>
    </w:p>
    <w:p w14:paraId="71BA670F">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2、数据分割：通过后台权限配置，数据沙箱可以将数据分割成不同的部分，使得不同用户只能访问特定的数据片段。减少数据泄露的风险。</w:t>
      </w:r>
    </w:p>
    <w:p w14:paraId="0542A0EA">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3、加密保护：数据沙箱可以使用加密技术来保护数据的传输和存储过程，防止未经授权的访问和窃取。</w:t>
      </w:r>
    </w:p>
    <w:p w14:paraId="13E5F447">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4、安全审计：提供安全沙箱审计能力，通过细粒度的数据管理策略，构建数据安全空间和审计管理空间，实现沙箱内的数据流转可管可控可审计。</w:t>
      </w:r>
    </w:p>
    <w:p w14:paraId="29C4FC15">
      <w:pPr>
        <w:pStyle w:val="12"/>
        <w:spacing w:line="560" w:lineRule="exact"/>
        <w:ind w:firstLine="480"/>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Hans"/>
        </w:rPr>
        <w:t>四</w:t>
      </w:r>
      <w:r>
        <w:rPr>
          <w:rFonts w:hint="eastAsia"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lang w:eastAsia="zh-Hans"/>
        </w:rPr>
        <w:t>运营</w:t>
      </w:r>
    </w:p>
    <w:p w14:paraId="46B6032B">
      <w:pPr>
        <w:pStyle w:val="12"/>
        <w:spacing w:line="5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构建医保数据运营中心，支撑数据专区常态化运行，利用大数据监测手段实时掌握全省专区应用情况。一是在系统功能和日常管理上实现专区全员全业务全流程监测，建设完善监管规则，对异常行为账户做到“提前预警，快速干预”，必要时将自动暂停账户使用的权限，确保数据不被窃取。二是利用可视化掌握专区资源状况，展示全省各地数据专区使用的状况，并合理对资源进行分配，加强对热度专区的基础保障，减少专区资源浪费。三是加强日常保障工作，对数据地方专区应用进行巡检测试，保障专区平稳运行。同时做好台账记录，对专区使用、开发、数据导出、数据治理等做好日志留存，提升数据运营价值。四是定期产出运行分析报告，包括但不限于完成数据专区使用情况报告、数据沙箱运行分析报告、资源资产化评估报告、数据专区安全审计报告等。</w:t>
      </w:r>
    </w:p>
    <w:p w14:paraId="4882260F">
      <w:pPr>
        <w:spacing w:line="560" w:lineRule="exact"/>
        <w:outlineLvl w:val="1"/>
        <w:rPr>
          <w:rFonts w:asciiTheme="minorEastAsia" w:hAnsiTheme="minorEastAsia" w:eastAsiaTheme="minorEastAsia" w:cstheme="minorEastAsia"/>
          <w:b/>
          <w:bCs/>
          <w:sz w:val="24"/>
          <w:szCs w:val="24"/>
        </w:rPr>
      </w:pPr>
      <w:bookmarkStart w:id="14" w:name="_Toc40909363"/>
      <w:bookmarkStart w:id="15" w:name="_Toc29483"/>
      <w:bookmarkStart w:id="16" w:name="_Toc25230886"/>
      <w:r>
        <w:rPr>
          <w:rFonts w:hint="eastAsia" w:asciiTheme="minorEastAsia" w:hAnsiTheme="minorEastAsia" w:eastAsiaTheme="minorEastAsia" w:cstheme="minorEastAsia"/>
          <w:b/>
          <w:bCs/>
          <w:sz w:val="24"/>
          <w:szCs w:val="24"/>
        </w:rPr>
        <w:t>平台总体架构</w:t>
      </w:r>
      <w:bookmarkEnd w:id="14"/>
      <w:bookmarkEnd w:id="15"/>
      <w:bookmarkEnd w:id="16"/>
    </w:p>
    <w:p w14:paraId="182B927E">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项目建设承继现有海南省医疗保障信息平台的总体架构，严格按照国家医疗保障信息平台建设指南的相关约束与要求，遵循国家医疗保障信息平台的统一设计原则，贯彻全国统一的标准规范体系和中台服务架构，依托全国统一的技术框架完成系统建设。</w:t>
      </w:r>
    </w:p>
    <w:p w14:paraId="37ADF7AA">
      <w:pPr>
        <w:pStyle w:val="13"/>
        <w:ind w:firstLine="480"/>
        <w:rPr>
          <w:rFonts w:asciiTheme="minorEastAsia" w:hAnsiTheme="minorEastAsia" w:eastAsiaTheme="minorEastAsia" w:cstheme="minorEastAsia"/>
          <w:sz w:val="24"/>
          <w:szCs w:val="24"/>
          <w:lang w:val="zh-CN" w:bidi="zh-CN"/>
        </w:rPr>
        <w:sectPr>
          <w:footerReference r:id="rId3" w:type="default"/>
          <w:footerReference r:id="rId4" w:type="even"/>
          <w:pgSz w:w="11906" w:h="16838"/>
          <w:pgMar w:top="1440" w:right="1803" w:bottom="1440" w:left="1803" w:header="851" w:footer="992" w:gutter="0"/>
          <w:cols w:space="720" w:num="1"/>
          <w:docGrid w:type="lines" w:linePitch="326" w:charSpace="0"/>
        </w:sectPr>
      </w:pPr>
    </w:p>
    <w:p w14:paraId="3B1172F3">
      <w:pPr>
        <w:pStyle w:val="13"/>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object>
          <v:shape id="_x0000_i1025" o:spt="75" type="#_x0000_t75" style="height:375.75pt;width:594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2E049857">
      <w:pPr>
        <w:pStyle w:val="13"/>
        <w:ind w:firstLine="482"/>
        <w:jc w:val="center"/>
        <w:rPr>
          <w:rFonts w:asciiTheme="minorEastAsia" w:hAnsiTheme="minorEastAsia" w:eastAsiaTheme="minorEastAsia" w:cstheme="minorEastAsia"/>
          <w:b/>
          <w:bCs w:val="0"/>
          <w:sz w:val="24"/>
          <w:szCs w:val="24"/>
          <w:lang w:val="zh-CN" w:bidi="zh-CN"/>
        </w:rPr>
        <w:sectPr>
          <w:pgSz w:w="16838" w:h="11906" w:orient="landscape"/>
          <w:pgMar w:top="1803" w:right="1440" w:bottom="1803" w:left="1440" w:header="851" w:footer="992" w:gutter="0"/>
          <w:cols w:space="720" w:num="1"/>
          <w:docGrid w:type="lines" w:linePitch="319" w:charSpace="0"/>
        </w:sectPr>
      </w:pPr>
      <w:r>
        <w:rPr>
          <w:rFonts w:hint="eastAsia" w:asciiTheme="minorEastAsia" w:hAnsiTheme="minorEastAsia" w:eastAsiaTheme="minorEastAsia" w:cstheme="minorEastAsia"/>
          <w:b/>
          <w:bCs w:val="0"/>
          <w:sz w:val="24"/>
          <w:szCs w:val="24"/>
          <w:lang w:val="zh-CN" w:bidi="zh-CN"/>
        </w:rPr>
        <w:t>图</w:t>
      </w:r>
      <w:r>
        <w:rPr>
          <w:rFonts w:hint="eastAsia" w:asciiTheme="minorEastAsia" w:hAnsiTheme="minorEastAsia" w:eastAsiaTheme="minorEastAsia" w:cstheme="minorEastAsia"/>
          <w:b/>
          <w:bCs w:val="0"/>
          <w:sz w:val="24"/>
          <w:szCs w:val="24"/>
          <w:lang w:bidi="zh-CN"/>
        </w:rPr>
        <w:t xml:space="preserve"> </w:t>
      </w:r>
      <w:r>
        <w:rPr>
          <w:rFonts w:hint="eastAsia" w:asciiTheme="minorEastAsia" w:hAnsiTheme="minorEastAsia" w:eastAsiaTheme="minorEastAsia" w:cstheme="minorEastAsia"/>
          <w:b/>
          <w:bCs w:val="0"/>
          <w:sz w:val="24"/>
          <w:szCs w:val="24"/>
          <w:lang w:val="zh-CN" w:bidi="zh-CN"/>
        </w:rPr>
        <w:t>总体架构图</w:t>
      </w:r>
    </w:p>
    <w:p w14:paraId="7DA3D651">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（一）展现层</w:t>
      </w:r>
    </w:p>
    <w:p w14:paraId="4621A425">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核心业务区入口：通过内部统一门户面向全省工作人员提供统一的核心业务区系统访问入口，实现全省人员在医疗保障信息平台的单点登录和统一身份认证，同时通过内部统一门户接收医疗保障信息平台的消息提醒并处理自身日常工作的各类待办事务。</w:t>
      </w:r>
    </w:p>
    <w:p w14:paraId="72C614BF">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公共服务区入口：通过个人网厅、企业网厅、APP及自助终端等面向执业人员、医疗机构、社会公众和企业提供医保业务的办理、查询、咨询、监督等渠道；药品和医用耗材招采管理模块为药品和医用耗材招采提供访问入口。</w:t>
      </w:r>
    </w:p>
    <w:p w14:paraId="5FDC6235">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（二）应用层</w:t>
      </w:r>
    </w:p>
    <w:p w14:paraId="677D73EA">
      <w:pPr>
        <w:pStyle w:val="13"/>
        <w:spacing w:line="560" w:lineRule="exact"/>
        <w:ind w:firstLine="480"/>
        <w:rPr>
          <w:rFonts w:asciiTheme="minorEastAsia" w:hAnsiTheme="minorEastAsia" w:eastAsiaTheme="minorEastAsia" w:cstheme="minorEastAsia"/>
          <w:sz w:val="24"/>
          <w:szCs w:val="24"/>
          <w:lang w:val="zh-CN" w:eastAsia="zh-Hans" w:bidi="zh-CN"/>
        </w:rPr>
      </w:pPr>
      <w:r>
        <w:rPr>
          <w:rFonts w:hint="eastAsia" w:asciiTheme="minorEastAsia" w:hAnsiTheme="minorEastAsia" w:eastAsiaTheme="minorEastAsia" w:cstheme="minorEastAsia"/>
          <w:sz w:val="24"/>
          <w:szCs w:val="24"/>
          <w:lang w:val="zh-CN" w:bidi="zh-CN"/>
        </w:rPr>
        <w:t>核心业务区中的生产区应用系统：包括业务经办子系统、综合管控子系统、支付方式管理子系统、应用支撑子系统。</w:t>
      </w:r>
      <w:r>
        <w:rPr>
          <w:rFonts w:hint="eastAsia" w:asciiTheme="minorEastAsia" w:hAnsiTheme="minorEastAsia" w:eastAsiaTheme="minorEastAsia" w:cstheme="minorEastAsia"/>
          <w:sz w:val="24"/>
          <w:szCs w:val="24"/>
          <w:lang w:val="zh-CN" w:eastAsia="zh-Hans" w:bidi="zh-CN"/>
        </w:rPr>
        <w:t>新建多层次医疗救助平台，实现海南省医疗救助一体化对接；部署国家下发的数据共享子系统，建立健全医保数据共享机制和共享模式。</w:t>
      </w:r>
    </w:p>
    <w:p w14:paraId="7A4A51FC">
      <w:pPr>
        <w:pStyle w:val="13"/>
        <w:spacing w:line="560" w:lineRule="exact"/>
        <w:ind w:firstLine="480"/>
        <w:rPr>
          <w:rFonts w:asciiTheme="minorEastAsia" w:hAnsiTheme="minorEastAsia" w:eastAsiaTheme="minorEastAsia" w:cstheme="minorEastAsia"/>
          <w:sz w:val="24"/>
          <w:szCs w:val="24"/>
          <w:lang w:val="zh-CN" w:eastAsia="zh-Hans" w:bidi="zh-CN"/>
        </w:rPr>
      </w:pPr>
      <w:r>
        <w:rPr>
          <w:rFonts w:hint="eastAsia" w:asciiTheme="minorEastAsia" w:hAnsiTheme="minorEastAsia" w:eastAsiaTheme="minorEastAsia" w:cstheme="minorEastAsia"/>
          <w:sz w:val="24"/>
          <w:szCs w:val="24"/>
          <w:lang w:val="zh-CN" w:bidi="zh-CN"/>
        </w:rPr>
        <w:t>核心业务区中的大数据区应用系统：智慧决策子系统，通过大数据服务及在线分析数据库、离线分析数据库作为数据应用场景的支撑；</w:t>
      </w:r>
      <w:r>
        <w:rPr>
          <w:rFonts w:hint="eastAsia" w:asciiTheme="minorEastAsia" w:hAnsiTheme="minorEastAsia" w:eastAsiaTheme="minorEastAsia" w:cstheme="minorEastAsia"/>
          <w:sz w:val="24"/>
          <w:szCs w:val="24"/>
          <w:lang w:val="zh-CN" w:eastAsia="zh-Hans" w:bidi="zh-CN"/>
        </w:rPr>
        <w:t>数据专区，通过数据推送，建立数据开发中心、隐私计算中心、可视化中心和运营中心。</w:t>
      </w:r>
    </w:p>
    <w:p w14:paraId="023B7359">
      <w:pPr>
        <w:pStyle w:val="13"/>
        <w:spacing w:line="560" w:lineRule="exact"/>
        <w:ind w:firstLine="480"/>
        <w:rPr>
          <w:rFonts w:asciiTheme="minorEastAsia" w:hAnsiTheme="minorEastAsia" w:eastAsiaTheme="minorEastAsia" w:cstheme="minorEastAsia"/>
          <w:sz w:val="24"/>
          <w:szCs w:val="24"/>
          <w:lang w:val="zh-CN" w:eastAsia="zh-Hans" w:bidi="zh-CN"/>
        </w:rPr>
      </w:pPr>
      <w:r>
        <w:rPr>
          <w:rFonts w:hint="eastAsia" w:asciiTheme="minorEastAsia" w:hAnsiTheme="minorEastAsia" w:eastAsiaTheme="minorEastAsia" w:cstheme="minorEastAsia"/>
          <w:sz w:val="24"/>
          <w:szCs w:val="24"/>
          <w:lang w:val="zh-CN" w:bidi="zh-CN"/>
        </w:rPr>
        <w:t>公共服务区中的应用系统：公共服务子系统，包括公共服务模块和药品医用耗材招采两个模块；</w:t>
      </w:r>
      <w:r>
        <w:rPr>
          <w:rFonts w:hint="eastAsia" w:asciiTheme="minorEastAsia" w:hAnsiTheme="minorEastAsia" w:eastAsiaTheme="minorEastAsia" w:cstheme="minorEastAsia"/>
          <w:sz w:val="24"/>
          <w:szCs w:val="24"/>
          <w:lang w:val="zh-CN" w:eastAsia="zh-Hans" w:bidi="zh-CN"/>
        </w:rPr>
        <w:t>医疗救助门户系统，实现多层次医疗救助公共服务业务开展，提供多端申请入口，例如海南医保APP、公众号、小程序等。</w:t>
      </w:r>
    </w:p>
    <w:p w14:paraId="39E8B12A">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（三）政务中台层</w:t>
      </w:r>
    </w:p>
    <w:p w14:paraId="016E56D8">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政务中台包括业务中台和数据中台，对应用系统提供服务逻辑支撑。核心业务中台抽取各系统间可共享、可复用的业务能力，形成共享业务中心。应用层的各应用系统通过调用核心业务中台所提供的各业务中心中台服务，并要应用层进行逻辑组装和业务实现。最大程度地提升系统间协作效率，实现核心业务系统高弹性、高容错的技术特点。同时，服务层提供了数据中台，实现数据计算和分析服务，并且完成数据的综合治理。</w:t>
      </w:r>
    </w:p>
    <w:p w14:paraId="3E30369E">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数据中台基于数据资源池提供数据综合治理服务和数据计算服务。数据综合治理服务通过数据可视化、数据管理、数据开发等手段构建平台数据综合治理服务能力，实现数据的深度综合治理。数据计算服务通过构建各类数据计算服务能力，搭建机器学习、深度学习、分析预测、决策、计算框架等计算服务能力，为上层业务系统进行数据处理、数据计算、数据分析提供能力保障</w:t>
      </w:r>
    </w:p>
    <w:p w14:paraId="46054D70">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核心业务区数据中台包括了两大能力：</w:t>
      </w:r>
    </w:p>
    <w:p w14:paraId="26178430">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1．数据综合治理能力，完成数据的整合、转换、清洗及数据质量处理，并实现专题数据的生产能力；</w:t>
      </w:r>
    </w:p>
    <w:p w14:paraId="5C1B016C">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2．大数据价值挖掘能力，通过定义数据应用场景，构建模型，并进行训练和计算，挖掘大数据价值，为新业务及政策优化提供数据依据。</w:t>
      </w:r>
    </w:p>
    <w:p w14:paraId="10946ABA">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（四）支撑层</w:t>
      </w:r>
    </w:p>
    <w:p w14:paraId="4868DA95">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支撑层包括了核心业务区中的交换区所提供的共享交换支撑平台能力，并且提供适配器，以及可加载的第三方分布式中间件、工具、产品或应用。</w:t>
      </w:r>
    </w:p>
    <w:p w14:paraId="28FD0350">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核心业务区中交换区：</w:t>
      </w:r>
    </w:p>
    <w:p w14:paraId="78B1D232">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交换区主要基于数据中台支撑数据交换库以及共享交换平台的建设，以实现海南医保平台横向与海南省数据交换平台和纵向与国家局平台的数据共享与交换。</w:t>
      </w:r>
    </w:p>
    <w:p w14:paraId="668392C0">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适配器：</w:t>
      </w:r>
    </w:p>
    <w:p w14:paraId="05D6ECC1">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适配器包括核心业务区适配器和公共服务区适配器，是为了实现分布式中间件与产品服务与业务中台之间的技术解耦而建立，负责服务第三方分布式中间件、工具、产品或应用的注册、对象引用的创建和解释、对象实现的激活和去活以及客户请求的分发等。</w:t>
      </w:r>
    </w:p>
    <w:p w14:paraId="7DFBDF11">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（五）分布式中间件及产品服务</w:t>
      </w:r>
    </w:p>
    <w:p w14:paraId="575D08A9">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为上层应用系统提供各类基础能力支持，包括：</w:t>
      </w:r>
    </w:p>
    <w:p w14:paraId="4871341B">
      <w:pPr>
        <w:pStyle w:val="13"/>
        <w:spacing w:line="560" w:lineRule="exact"/>
        <w:ind w:firstLine="480"/>
        <w:outlineLvl w:val="1"/>
        <w:rPr>
          <w:rFonts w:asciiTheme="minorEastAsia" w:hAnsiTheme="minorEastAsia" w:eastAsiaTheme="minorEastAsia" w:cstheme="minorEastAsia"/>
          <w:sz w:val="24"/>
          <w:szCs w:val="24"/>
          <w:lang w:val="zh-CN" w:bidi="zh-CN"/>
        </w:rPr>
      </w:pPr>
      <w:bookmarkStart w:id="17" w:name="_Toc30148"/>
      <w:r>
        <w:rPr>
          <w:rFonts w:hint="eastAsia" w:asciiTheme="minorEastAsia" w:hAnsiTheme="minorEastAsia" w:eastAsiaTheme="minorEastAsia" w:cstheme="minorEastAsia"/>
          <w:sz w:val="24"/>
          <w:szCs w:val="24"/>
          <w:lang w:val="zh-CN" w:bidi="zh-CN"/>
        </w:rPr>
        <w:t>1．业务支撑类服务组件</w:t>
      </w:r>
      <w:bookmarkEnd w:id="17"/>
    </w:p>
    <w:p w14:paraId="7409AA63">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业务支撑服务组件是针对医疗保障信息平台所需的各项服务能力。业务支撑服务组件所包含用于进行数据交换的业务网关、用于进行消息接收的即时消息、用于进行对账操作的对账服务组件等。</w:t>
      </w:r>
    </w:p>
    <w:p w14:paraId="773A72F3">
      <w:pPr>
        <w:pStyle w:val="13"/>
        <w:spacing w:line="560" w:lineRule="exact"/>
        <w:ind w:firstLine="480"/>
        <w:outlineLvl w:val="1"/>
        <w:rPr>
          <w:rFonts w:asciiTheme="minorEastAsia" w:hAnsiTheme="minorEastAsia" w:eastAsiaTheme="minorEastAsia" w:cstheme="minorEastAsia"/>
          <w:sz w:val="24"/>
          <w:szCs w:val="24"/>
          <w:lang w:val="zh-CN" w:bidi="zh-CN"/>
        </w:rPr>
      </w:pPr>
      <w:bookmarkStart w:id="18" w:name="_Toc27175"/>
      <w:r>
        <w:rPr>
          <w:rFonts w:hint="eastAsia" w:asciiTheme="minorEastAsia" w:hAnsiTheme="minorEastAsia" w:eastAsiaTheme="minorEastAsia" w:cstheme="minorEastAsia"/>
          <w:sz w:val="24"/>
          <w:szCs w:val="24"/>
          <w:lang w:val="zh-CN" w:bidi="zh-CN"/>
        </w:rPr>
        <w:t>2．基础服务支撑组件</w:t>
      </w:r>
      <w:bookmarkEnd w:id="18"/>
    </w:p>
    <w:p w14:paraId="0EE20ECA">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基础服务支撑组件是通过整合系统运行时所需的各项服务能力提供统一的功能服务。基础服务支撑组件提供的基础服务功能包括数据采集、二维码管理、站内消息、邮件服务、生物识别和密码管理。</w:t>
      </w:r>
    </w:p>
    <w:p w14:paraId="76D71B27">
      <w:pPr>
        <w:pStyle w:val="13"/>
        <w:spacing w:line="560" w:lineRule="exact"/>
        <w:ind w:firstLine="480"/>
        <w:outlineLvl w:val="1"/>
        <w:rPr>
          <w:rFonts w:asciiTheme="minorEastAsia" w:hAnsiTheme="minorEastAsia" w:eastAsiaTheme="minorEastAsia" w:cstheme="minorEastAsia"/>
          <w:sz w:val="24"/>
          <w:szCs w:val="24"/>
          <w:lang w:val="zh-CN" w:bidi="zh-CN"/>
        </w:rPr>
      </w:pPr>
      <w:bookmarkStart w:id="19" w:name="_Toc6563"/>
      <w:r>
        <w:rPr>
          <w:rFonts w:hint="eastAsia" w:asciiTheme="minorEastAsia" w:hAnsiTheme="minorEastAsia" w:eastAsiaTheme="minorEastAsia" w:cstheme="minorEastAsia"/>
          <w:sz w:val="24"/>
          <w:szCs w:val="24"/>
          <w:lang w:val="zh-CN" w:bidi="zh-CN"/>
        </w:rPr>
        <w:t>3．中间件</w:t>
      </w:r>
      <w:bookmarkEnd w:id="19"/>
    </w:p>
    <w:p w14:paraId="6DD5A721">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中间件是一种独立的系统软件或服务程序，分布式应用软件借助中间件在不同的技术之间共享资源。中间件包括业务通用服务组件、大数据分析组件。</w:t>
      </w:r>
    </w:p>
    <w:p w14:paraId="79C6BA61">
      <w:pPr>
        <w:pStyle w:val="13"/>
        <w:spacing w:line="560" w:lineRule="exact"/>
        <w:ind w:firstLine="480"/>
        <w:outlineLvl w:val="2"/>
        <w:rPr>
          <w:rFonts w:asciiTheme="minorEastAsia" w:hAnsiTheme="minorEastAsia" w:eastAsiaTheme="minorEastAsia" w:cstheme="minorEastAsia"/>
          <w:sz w:val="24"/>
          <w:szCs w:val="24"/>
          <w:lang w:val="zh-CN" w:bidi="zh-CN"/>
        </w:rPr>
      </w:pPr>
      <w:bookmarkStart w:id="20" w:name="_Toc8626"/>
      <w:r>
        <w:rPr>
          <w:rFonts w:hint="eastAsia" w:asciiTheme="minorEastAsia" w:hAnsiTheme="minorEastAsia" w:eastAsiaTheme="minorEastAsia" w:cstheme="minorEastAsia"/>
          <w:sz w:val="24"/>
          <w:szCs w:val="24"/>
          <w:lang w:val="zh-CN" w:bidi="zh-CN"/>
        </w:rPr>
        <w:t>（六）基础设施层</w:t>
      </w:r>
      <w:bookmarkEnd w:id="20"/>
    </w:p>
    <w:p w14:paraId="465E72BA">
      <w:pPr>
        <w:pStyle w:val="13"/>
        <w:spacing w:line="560" w:lineRule="exact"/>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构建计算、存储、网络资源池，提供计算服务、存储服务和网络服务。</w:t>
      </w:r>
    </w:p>
    <w:p w14:paraId="3E89150B">
      <w:pPr>
        <w:pStyle w:val="13"/>
        <w:spacing w:line="560" w:lineRule="exact"/>
        <w:ind w:firstLine="480"/>
        <w:outlineLvl w:val="2"/>
        <w:rPr>
          <w:rFonts w:asciiTheme="minorEastAsia" w:hAnsiTheme="minorEastAsia" w:eastAsiaTheme="minorEastAsia" w:cstheme="minorEastAsia"/>
          <w:sz w:val="24"/>
          <w:szCs w:val="24"/>
          <w:lang w:val="zh-CN" w:bidi="zh-CN"/>
        </w:rPr>
      </w:pPr>
      <w:bookmarkStart w:id="21" w:name="_Toc20653"/>
      <w:r>
        <w:rPr>
          <w:rFonts w:hint="eastAsia" w:asciiTheme="minorEastAsia" w:hAnsiTheme="minorEastAsia" w:eastAsiaTheme="minorEastAsia" w:cstheme="minorEastAsia"/>
          <w:sz w:val="24"/>
          <w:szCs w:val="24"/>
          <w:lang w:val="zh-CN" w:bidi="zh-CN"/>
        </w:rPr>
        <w:t>（七）安全运维体系</w:t>
      </w:r>
      <w:bookmarkEnd w:id="21"/>
    </w:p>
    <w:p w14:paraId="43CE8C73">
      <w:pPr>
        <w:pStyle w:val="13"/>
        <w:spacing w:line="560" w:lineRule="exact"/>
        <w:ind w:firstLine="480"/>
        <w:rPr>
          <w:rFonts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val="zh-CN" w:bidi="zh-CN"/>
        </w:rPr>
        <w:t>针对医疗保障信息平台进行安全防护体系建设，并制定相关信息化标准体系指导信息化整体项目的推进工作，同时制定运维体系保证信息化业务系统及硬件设施后期的安全稳定运行。其中安全防护体系内容包括网络安全技术体系、网络安全管理体系和网络安全运营体系；运维管理体系主要包括运维管理平台、运维服务体系、运维组织体系、运维管理制度体系、运维管理考核指标</w:t>
      </w:r>
      <w:r>
        <w:rPr>
          <w:rFonts w:hint="eastAsia" w:asciiTheme="minorEastAsia" w:hAnsiTheme="minorEastAsia" w:eastAsiaTheme="minorEastAsia" w:cstheme="minorEastAsia"/>
          <w:sz w:val="24"/>
          <w:szCs w:val="24"/>
          <w:lang w:bidi="zh-CN"/>
        </w:rPr>
        <w:t>。</w:t>
      </w:r>
    </w:p>
    <w:p w14:paraId="70C4E1D8">
      <w:pPr>
        <w:spacing w:line="560" w:lineRule="exact"/>
        <w:ind w:firstLine="562" w:firstLineChars="2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技术要求</w:t>
      </w:r>
    </w:p>
    <w:p w14:paraId="0556F9AD">
      <w:pPr>
        <w:spacing w:line="560" w:lineRule="exact"/>
        <w:ind w:firstLine="480" w:firstLineChars="200"/>
        <w:outlineLvl w:val="1"/>
        <w:rPr>
          <w:rFonts w:ascii="宋体" w:hAnsi="宋体" w:eastAsia="宋体" w:cs="宋体"/>
          <w:sz w:val="24"/>
          <w:szCs w:val="24"/>
        </w:rPr>
      </w:pPr>
      <w:bookmarkStart w:id="22" w:name="_Toc40909365"/>
      <w:bookmarkStart w:id="23" w:name="_Toc3639"/>
      <w:r>
        <w:rPr>
          <w:rFonts w:hint="eastAsia" w:ascii="宋体" w:hAnsi="宋体" w:eastAsia="宋体" w:cs="宋体"/>
          <w:sz w:val="24"/>
          <w:szCs w:val="24"/>
        </w:rPr>
        <w:t>服务内容</w:t>
      </w:r>
      <w:bookmarkEnd w:id="22"/>
      <w:r>
        <w:rPr>
          <w:rFonts w:hint="eastAsia" w:ascii="宋体" w:hAnsi="宋体" w:eastAsia="宋体" w:cs="宋体"/>
          <w:sz w:val="24"/>
          <w:szCs w:val="24"/>
        </w:rPr>
        <w:t>：</w:t>
      </w:r>
      <w:bookmarkEnd w:id="23"/>
    </w:p>
    <w:p w14:paraId="1B35D9BB">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（1）信息系统安全等级保护测评</w:t>
      </w:r>
    </w:p>
    <w:p w14:paraId="11BC2A3E">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 xml:space="preserve"> 根据《信息安全技术网络安全等级保护基本要求》（GB/T 22239一2019）的相关法律和技术标准要求，对海南省医疗保障综合管控系统扩展和多层次医疗救助一体化平台建设项目内的2个业务系统（13</w:t>
      </w:r>
      <w:r>
        <w:rPr>
          <w:rFonts w:hint="eastAsia" w:ascii="宋体" w:hAnsi="宋体" w:eastAsia="宋体" w:cs="宋体"/>
          <w:sz w:val="24"/>
          <w:szCs w:val="24"/>
          <w:lang w:eastAsia="zh-Hans"/>
        </w:rPr>
        <w:t>个子系统）</w:t>
      </w:r>
      <w:r>
        <w:rPr>
          <w:rFonts w:hint="eastAsia" w:ascii="宋体" w:hAnsi="宋体" w:eastAsia="宋体" w:cs="宋体"/>
          <w:sz w:val="24"/>
          <w:szCs w:val="24"/>
        </w:rPr>
        <w:t>：分别是</w:t>
      </w:r>
      <w:r>
        <w:rPr>
          <w:rFonts w:hint="eastAsia" w:ascii="宋体" w:hAnsi="宋体" w:eastAsia="宋体" w:cs="宋体"/>
          <w:sz w:val="24"/>
          <w:szCs w:val="24"/>
          <w:lang w:eastAsia="zh-Hans"/>
        </w:rPr>
        <w:t>多</w:t>
      </w:r>
      <w:r>
        <w:rPr>
          <w:rFonts w:hint="eastAsia" w:ascii="宋体" w:hAnsi="宋体" w:eastAsia="宋体" w:cs="宋体"/>
          <w:sz w:val="24"/>
          <w:szCs w:val="24"/>
        </w:rPr>
        <w:t>层次医疗救助一体化服务平台</w:t>
      </w:r>
      <w:r>
        <w:rPr>
          <w:rFonts w:hint="eastAsia" w:ascii="宋体" w:hAnsi="宋体" w:eastAsia="宋体" w:cs="宋体"/>
          <w:sz w:val="24"/>
          <w:szCs w:val="24"/>
          <w:lang w:eastAsia="zh-Hans"/>
        </w:rPr>
        <w:t>和</w:t>
      </w:r>
      <w:r>
        <w:rPr>
          <w:rFonts w:hint="eastAsia" w:ascii="宋体" w:hAnsi="宋体" w:eastAsia="宋体" w:cs="宋体"/>
          <w:sz w:val="24"/>
          <w:szCs w:val="24"/>
        </w:rPr>
        <w:t>数据专区（多层次医疗救助基础信息管理系统、多层次医疗救助数据共享中心、多层次医疗救助业务标准规范管理系统、应用支撑基础系统、医疗救助子系统、多层次医疗救助门户系统、数据共享子系统、</w:t>
      </w:r>
      <w:r>
        <w:rPr>
          <w:rFonts w:hint="eastAsia" w:ascii="宋体" w:hAnsi="宋体" w:eastAsia="宋体" w:cs="宋体"/>
          <w:sz w:val="24"/>
          <w:szCs w:val="24"/>
          <w:lang w:eastAsia="zh-Hans"/>
        </w:rPr>
        <w:t>数据专区）；综合管控系统拓展和医保场景监控（电子处方与药品双通道监管、DRG/DIP监管系统、门诊统筹监管、两库管理与论证系统、医保场景监管系统）</w:t>
      </w:r>
      <w:r>
        <w:rPr>
          <w:rFonts w:hint="eastAsia" w:ascii="宋体" w:hAnsi="宋体" w:eastAsia="宋体" w:cs="宋体"/>
          <w:sz w:val="24"/>
          <w:szCs w:val="24"/>
        </w:rPr>
        <w:t>进行安全等级保护测评工作。</w:t>
      </w:r>
    </w:p>
    <w:p w14:paraId="3AD9FC64">
      <w:pPr>
        <w:pStyle w:val="12"/>
        <w:spacing w:line="560" w:lineRule="exact"/>
        <w:ind w:firstLine="482"/>
        <w:rPr>
          <w:rFonts w:ascii="宋体" w:hAnsi="宋体" w:eastAsia="宋体" w:cs="宋体"/>
          <w:b/>
          <w:bCs/>
          <w:sz w:val="24"/>
          <w:szCs w:val="24"/>
        </w:rPr>
      </w:pPr>
      <w:r>
        <w:rPr>
          <w:rFonts w:hint="eastAsia" w:ascii="宋体" w:hAnsi="宋体" w:eastAsia="宋体" w:cs="宋体"/>
          <w:b/>
          <w:bCs/>
          <w:sz w:val="24"/>
          <w:szCs w:val="24"/>
        </w:rPr>
        <w:t>具体内容应包括：</w:t>
      </w:r>
    </w:p>
    <w:p w14:paraId="61335D20">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1）完成信息系统定级备案工作，协助招标方完成信息系统</w:t>
      </w:r>
      <w:r>
        <w:rPr>
          <w:rFonts w:hint="eastAsia" w:ascii="宋体" w:hAnsi="宋体" w:eastAsia="宋体" w:cs="宋体"/>
          <w:sz w:val="24"/>
          <w:szCs w:val="24"/>
          <w:lang w:eastAsia="zh-Hans"/>
        </w:rPr>
        <w:t>多</w:t>
      </w:r>
      <w:r>
        <w:rPr>
          <w:rFonts w:hint="eastAsia" w:ascii="宋体" w:hAnsi="宋体" w:eastAsia="宋体" w:cs="宋体"/>
          <w:sz w:val="24"/>
          <w:szCs w:val="24"/>
        </w:rPr>
        <w:t>层次医疗救助一体化服务平台</w:t>
      </w:r>
      <w:r>
        <w:rPr>
          <w:rFonts w:hint="eastAsia" w:ascii="宋体" w:hAnsi="宋体" w:eastAsia="宋体" w:cs="宋体"/>
          <w:sz w:val="24"/>
          <w:szCs w:val="24"/>
          <w:lang w:eastAsia="zh-Hans"/>
        </w:rPr>
        <w:t>和</w:t>
      </w:r>
      <w:r>
        <w:rPr>
          <w:rFonts w:hint="eastAsia" w:ascii="宋体" w:hAnsi="宋体" w:eastAsia="宋体" w:cs="宋体"/>
          <w:sz w:val="24"/>
          <w:szCs w:val="24"/>
        </w:rPr>
        <w:t>数据专区和</w:t>
      </w:r>
      <w:r>
        <w:rPr>
          <w:rFonts w:hint="eastAsia" w:ascii="宋体" w:hAnsi="宋体" w:eastAsia="宋体" w:cs="宋体"/>
          <w:sz w:val="24"/>
          <w:szCs w:val="24"/>
          <w:lang w:eastAsia="zh-Hans"/>
        </w:rPr>
        <w:t>综合管控系统拓展和医保场景监控</w:t>
      </w:r>
      <w:r>
        <w:rPr>
          <w:rFonts w:hint="eastAsia" w:ascii="宋体" w:hAnsi="宋体" w:eastAsia="宋体" w:cs="宋体"/>
          <w:sz w:val="24"/>
          <w:szCs w:val="24"/>
        </w:rPr>
        <w:t>等保三级定级备案工作。</w:t>
      </w:r>
    </w:p>
    <w:p w14:paraId="6A80318E">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2）海南省医疗保障综合管控系统扩展和多层次医疗救助一体化平台建设项目内的所有系统进行安全等级保护测评。测评内容包括物理安全、网络安全、主机安全、应用安全、数据安全及备份、安全管理。客观地分析这些信息系统安全保护现状和信息安全等级保护基本要求之间的差距。</w:t>
      </w:r>
    </w:p>
    <w:p w14:paraId="00B0E3E6">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3）协助招标方进一步完善等级保护管理体系。根据《信息安全等级保护管理办法》和《信息安全技术网络安全等级保护基本要求》，结合测评的结果，协助招标方进一步完善信息安全等级保护管理体系。</w:t>
      </w:r>
    </w:p>
    <w:p w14:paraId="2F58E061">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4）协助招标方进一步完善等级保护安全技术措施。结合等级保护测评报告提出的安全防护现状与等级保护基本要求之间的差距，明确安全需求，设计符合相应等级要求的信息系统安全技术建设整改方案。</w:t>
      </w:r>
    </w:p>
    <w:p w14:paraId="086A279D">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5）完成测评备案工作。在完成上述信息系统安全等级保护测评工作的基础上，提交这些系统的测评报告至公安局等保办，最终完成测评备案工作。</w:t>
      </w:r>
    </w:p>
    <w:p w14:paraId="68E58326">
      <w:pPr>
        <w:pStyle w:val="12"/>
        <w:spacing w:line="560" w:lineRule="exact"/>
        <w:ind w:firstLine="480"/>
        <w:rPr>
          <w:rFonts w:ascii="宋体" w:hAnsi="宋体" w:eastAsia="宋体" w:cs="宋体"/>
          <w:sz w:val="24"/>
          <w:szCs w:val="24"/>
        </w:rPr>
      </w:pPr>
      <w:r>
        <w:rPr>
          <w:rFonts w:hint="eastAsia" w:ascii="宋体" w:hAnsi="宋体" w:eastAsia="宋体" w:cs="宋体"/>
          <w:sz w:val="24"/>
          <w:szCs w:val="24"/>
        </w:rPr>
        <w:t>6）对测评过程检测出来的高危漏洞，须提供有效的解决方案并帮助相应系统的管理员完成整改。对于确认无法完成的整改，须提供书面证明。</w:t>
      </w:r>
    </w:p>
    <w:p w14:paraId="2111D5C6">
      <w:pPr>
        <w:pStyle w:val="12"/>
        <w:spacing w:line="560" w:lineRule="exact"/>
        <w:ind w:firstLine="480"/>
        <w:rPr>
          <w:rFonts w:ascii="宋体" w:hAnsi="宋体" w:eastAsia="宋体" w:cs="宋体"/>
          <w:sz w:val="24"/>
          <w:szCs w:val="24"/>
        </w:rPr>
      </w:pPr>
    </w:p>
    <w:p w14:paraId="702C6B04">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网络安全测评原则</w:t>
      </w:r>
    </w:p>
    <w:p w14:paraId="6B51C87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网络安全测评方案设计与实施应满足以下原则：</w:t>
      </w:r>
    </w:p>
    <w:p w14:paraId="2B926B3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符合性原则：应符合国家信息安全等级保护制度及相关法律法规，指出防范的方针和保护的原则。</w:t>
      </w:r>
    </w:p>
    <w:p w14:paraId="723B54D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标准性原则：方案设计、实施与信息安全体系的构建应依据国内、国际的相关标准进行。</w:t>
      </w:r>
    </w:p>
    <w:p w14:paraId="1B123C6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规范性原则：项目实施应由专业的等级测评师依照规范的操作流程进行，在实施之前将详细量化出每项测评内容，对操作过程和结果提供规范的记录，以便于项目的跟踪和控制。</w:t>
      </w:r>
    </w:p>
    <w:p w14:paraId="759DB21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可控性原则：项目实施的方法和过程要在双方认可的范围之内，实施进度要按照进度表进度的安排，保证项目实施的可控性。</w:t>
      </w:r>
    </w:p>
    <w:p w14:paraId="145FA2C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整体性原则：安全体系设计的范围和内容应当整体全面，包括安全涉及的各个层面，避免由于遗漏造成未来的安全隐患。</w:t>
      </w:r>
    </w:p>
    <w:p w14:paraId="080049C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最小影响原则：项目实施工作应尽可能小的影响网络和信息系统的正常运行，不能对信息系统的运行和业务的正常提供产生显着影响。</w:t>
      </w:r>
    </w:p>
    <w:p w14:paraId="424C633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保密原则：对项目实施过程获得的数据和结果严格保密，未经授权不得泄露给任何单位和个人，不得利用此数据和结果进行任何侵害测评委托单位利益的行为。</w:t>
      </w:r>
    </w:p>
    <w:p w14:paraId="5920B82F">
      <w:pPr>
        <w:spacing w:line="560" w:lineRule="exact"/>
        <w:ind w:firstLine="482" w:firstLineChars="200"/>
        <w:rPr>
          <w:rFonts w:ascii="宋体" w:hAnsi="宋体" w:eastAsia="宋体" w:cs="宋体"/>
          <w:sz w:val="24"/>
          <w:szCs w:val="24"/>
        </w:rPr>
      </w:pPr>
      <w:r>
        <w:rPr>
          <w:rFonts w:hint="eastAsia" w:ascii="宋体" w:hAnsi="宋体" w:eastAsia="宋体" w:cs="宋体"/>
          <w:b/>
          <w:bCs/>
          <w:sz w:val="24"/>
          <w:szCs w:val="24"/>
        </w:rPr>
        <w:t>网络安全测评依据</w:t>
      </w:r>
    </w:p>
    <w:p w14:paraId="5C21D60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系统等级测评依据《信息系统安全等级保护基本要求》、《信息系统安全等级保护测评要求》，在对信息系统进行安全技术和安全管理的安全控制测评及系统整体测评结果基础上，针对相应等级的信息系统遵循的标准进行综合系统测评，提出相应的系统安全整改建议。</w:t>
      </w:r>
    </w:p>
    <w:p w14:paraId="322DD96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主要参考标准如下：</w:t>
      </w:r>
    </w:p>
    <w:p w14:paraId="4922157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《计算机信息系统安全保护等级划分准则》-GB17859-1999</w:t>
      </w:r>
    </w:p>
    <w:p w14:paraId="348ED20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《信息安全技术信息系统安全等级保护实施指南》</w:t>
      </w:r>
    </w:p>
    <w:p w14:paraId="03AC99A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《信息安全技术信息系统安全等级保护测评要求》</w:t>
      </w:r>
    </w:p>
    <w:p w14:paraId="0FAD494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《信息安全等级保护管理办法》</w:t>
      </w:r>
    </w:p>
    <w:p w14:paraId="760E53F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《信息安全技术信息系统安全等级保护定级指南》（GB/T22240-2008）</w:t>
      </w:r>
    </w:p>
    <w:p w14:paraId="0B10B5B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《信息安全技术信息系统安全等级保护基本要求》（GB/T22239-2019）</w:t>
      </w:r>
    </w:p>
    <w:p w14:paraId="00096AC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《计算机信息系统安全保护等级划分准则》（GB17859-1999）</w:t>
      </w:r>
    </w:p>
    <w:p w14:paraId="2F39629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《信息安全技术信息系统通用安全技术要求》（GB/T20271-2006）</w:t>
      </w:r>
    </w:p>
    <w:p w14:paraId="64A1479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《信息安全技术网络基础安全技术要求》（GB/T20270-2006）</w:t>
      </w:r>
    </w:p>
    <w:p w14:paraId="5750FDF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《信息安全技术操作系统安全技术要求》（GB/T20272-2006）</w:t>
      </w:r>
    </w:p>
    <w:p w14:paraId="402AAFA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《信息安全技术数据库管理系统安全技术要求》（GB/T20273-2006）</w:t>
      </w:r>
    </w:p>
    <w:p w14:paraId="46DCE55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《信息安全技术服务器技术要求》（GB/T21028-2007）</w:t>
      </w:r>
    </w:p>
    <w:p w14:paraId="00A9116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《信息安全技术终端计算机系统安全等级技术要求》（GA/T671-2006）</w:t>
      </w:r>
    </w:p>
    <w:p w14:paraId="0F67FAC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《信息安全风险评估规范》（GB/T20984-2007）</w:t>
      </w:r>
    </w:p>
    <w:p w14:paraId="1F1CB103">
      <w:pPr>
        <w:pStyle w:val="6"/>
        <w:spacing w:line="560" w:lineRule="exact"/>
        <w:rPr>
          <w:rFonts w:ascii="宋体" w:hAnsi="宋体" w:eastAsia="宋体" w:cs="宋体"/>
          <w:sz w:val="24"/>
          <w:szCs w:val="24"/>
        </w:rPr>
      </w:pPr>
    </w:p>
    <w:p w14:paraId="4B7BA684">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网络安全测评流程</w:t>
      </w:r>
    </w:p>
    <w:p w14:paraId="70DCB544">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1）测评准备阶段</w:t>
      </w:r>
    </w:p>
    <w:p w14:paraId="298D8583">
      <w:pPr>
        <w:spacing w:line="560" w:lineRule="exact"/>
        <w:ind w:firstLine="480"/>
        <w:rPr>
          <w:rFonts w:ascii="宋体" w:hAnsi="宋体" w:eastAsia="宋体" w:cs="宋体"/>
          <w:sz w:val="24"/>
          <w:szCs w:val="24"/>
        </w:rPr>
      </w:pPr>
      <w:r>
        <w:rPr>
          <w:rFonts w:hint="eastAsia" w:ascii="宋体" w:hAnsi="宋体" w:eastAsia="宋体" w:cs="宋体"/>
          <w:sz w:val="24"/>
          <w:szCs w:val="24"/>
        </w:rPr>
        <w:t>测评项目组组建：明确主管责任人、测评人员及职责分工。</w:t>
      </w:r>
    </w:p>
    <w:p w14:paraId="7737D825">
      <w:pPr>
        <w:spacing w:line="560" w:lineRule="exact"/>
        <w:ind w:firstLine="480"/>
        <w:rPr>
          <w:rFonts w:ascii="宋体" w:hAnsi="宋体" w:eastAsia="宋体" w:cs="宋体"/>
          <w:sz w:val="24"/>
          <w:szCs w:val="24"/>
        </w:rPr>
      </w:pPr>
      <w:r>
        <w:rPr>
          <w:rFonts w:hint="eastAsia" w:ascii="宋体" w:hAnsi="宋体" w:eastAsia="宋体" w:cs="宋体"/>
          <w:sz w:val="24"/>
          <w:szCs w:val="24"/>
        </w:rPr>
        <w:t>项目计划书编制：项目计划书包含项目概述、工作依据、技术思路、工作内容和项目组织等。</w:t>
      </w:r>
    </w:p>
    <w:p w14:paraId="0A2F3642">
      <w:pPr>
        <w:spacing w:line="560" w:lineRule="exact"/>
        <w:ind w:firstLine="480"/>
        <w:rPr>
          <w:rFonts w:ascii="宋体" w:hAnsi="宋体" w:eastAsia="宋体" w:cs="宋体"/>
          <w:sz w:val="24"/>
          <w:szCs w:val="24"/>
        </w:rPr>
      </w:pPr>
      <w:r>
        <w:rPr>
          <w:rFonts w:hint="eastAsia" w:ascii="宋体" w:hAnsi="宋体" w:eastAsia="宋体" w:cs="宋体"/>
          <w:sz w:val="24"/>
          <w:szCs w:val="24"/>
        </w:rPr>
        <w:t>信息系统调研：通过查阅被测系统已有资料或使用调查表格的方式，了解整个系统的构成和保护情况，明确被测系统的范围（特别是信息系统的边界），了解被测系统的详细构成，包括网络拓扑、业务应用、业务流程、设备信息（服务器、数据库、网络设备、安全设备、数据库等）、管理制度等。</w:t>
      </w:r>
    </w:p>
    <w:p w14:paraId="2250FB9D">
      <w:pPr>
        <w:spacing w:line="560" w:lineRule="exact"/>
        <w:ind w:firstLine="480"/>
        <w:rPr>
          <w:rFonts w:ascii="宋体" w:hAnsi="宋体" w:eastAsia="宋体" w:cs="宋体"/>
          <w:sz w:val="24"/>
          <w:szCs w:val="24"/>
        </w:rPr>
      </w:pPr>
      <w:r>
        <w:rPr>
          <w:rFonts w:hint="eastAsia" w:ascii="宋体" w:hAnsi="宋体" w:eastAsia="宋体" w:cs="宋体"/>
          <w:sz w:val="24"/>
          <w:szCs w:val="24"/>
        </w:rPr>
        <w:t>工具和表单准备：根据被测系统的实际情况，准备测评工具和各类测评表单。</w:t>
      </w:r>
    </w:p>
    <w:p w14:paraId="1E9DBC73">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2）方案编制阶段</w:t>
      </w:r>
    </w:p>
    <w:p w14:paraId="4CCBB2B2">
      <w:pPr>
        <w:spacing w:line="560" w:lineRule="exact"/>
        <w:ind w:firstLine="480"/>
        <w:rPr>
          <w:rFonts w:ascii="宋体" w:hAnsi="宋体" w:eastAsia="宋体" w:cs="宋体"/>
          <w:sz w:val="24"/>
          <w:szCs w:val="24"/>
        </w:rPr>
      </w:pPr>
      <w:r>
        <w:rPr>
          <w:rFonts w:hint="eastAsia" w:ascii="宋体" w:hAnsi="宋体" w:eastAsia="宋体" w:cs="宋体"/>
          <w:sz w:val="24"/>
          <w:szCs w:val="24"/>
        </w:rPr>
        <w:t>测评对象确定：根据已经了解到的被测系统信息，分析整个被测系统及其涉及的业务应用系统，确定出本次测评的测评对象。</w:t>
      </w:r>
    </w:p>
    <w:p w14:paraId="3A0FD0E3">
      <w:pPr>
        <w:spacing w:line="560" w:lineRule="exact"/>
        <w:ind w:firstLine="480"/>
        <w:rPr>
          <w:rFonts w:ascii="宋体" w:hAnsi="宋体" w:eastAsia="宋体" w:cs="宋体"/>
          <w:sz w:val="24"/>
          <w:szCs w:val="24"/>
        </w:rPr>
      </w:pPr>
      <w:r>
        <w:rPr>
          <w:rFonts w:hint="eastAsia" w:ascii="宋体" w:hAnsi="宋体" w:eastAsia="宋体" w:cs="宋体"/>
          <w:sz w:val="24"/>
          <w:szCs w:val="24"/>
        </w:rPr>
        <w:t>测评指标确定：根据已经了解到的被测系统定级结果，确定出本次测评的测评指标。</w:t>
      </w:r>
    </w:p>
    <w:p w14:paraId="0D2A8754">
      <w:pPr>
        <w:spacing w:line="560" w:lineRule="exact"/>
        <w:ind w:firstLine="480"/>
        <w:rPr>
          <w:rFonts w:ascii="宋体" w:hAnsi="宋体" w:eastAsia="宋体" w:cs="宋体"/>
          <w:sz w:val="24"/>
          <w:szCs w:val="24"/>
        </w:rPr>
      </w:pPr>
      <w:r>
        <w:rPr>
          <w:rFonts w:hint="eastAsia" w:ascii="宋体" w:hAnsi="宋体" w:eastAsia="宋体" w:cs="宋体"/>
          <w:sz w:val="24"/>
          <w:szCs w:val="24"/>
        </w:rPr>
        <w:t>测评工具接入点确定：确定需要进行工具测试的测评对象，选择测试路径，根据测试路径确定测试工具的接入点。</w:t>
      </w:r>
    </w:p>
    <w:p w14:paraId="69F756F8">
      <w:pPr>
        <w:spacing w:line="560" w:lineRule="exact"/>
        <w:ind w:firstLine="480"/>
        <w:rPr>
          <w:rFonts w:ascii="宋体" w:hAnsi="宋体" w:eastAsia="宋体" w:cs="宋体"/>
          <w:sz w:val="24"/>
          <w:szCs w:val="24"/>
        </w:rPr>
      </w:pPr>
      <w:r>
        <w:rPr>
          <w:rFonts w:hint="eastAsia" w:ascii="宋体" w:hAnsi="宋体" w:eastAsia="宋体" w:cs="宋体"/>
          <w:sz w:val="24"/>
          <w:szCs w:val="24"/>
        </w:rPr>
        <w:t>测评内容确定：确定现场测评的具体实施内容，即单元测评内容。</w:t>
      </w:r>
    </w:p>
    <w:p w14:paraId="34B4D11B">
      <w:pPr>
        <w:spacing w:line="560" w:lineRule="exact"/>
        <w:ind w:firstLine="480"/>
        <w:rPr>
          <w:rFonts w:ascii="宋体" w:hAnsi="宋体" w:eastAsia="宋体" w:cs="宋体"/>
          <w:sz w:val="24"/>
          <w:szCs w:val="24"/>
        </w:rPr>
      </w:pPr>
      <w:r>
        <w:rPr>
          <w:rFonts w:hint="eastAsia" w:ascii="宋体" w:hAnsi="宋体" w:eastAsia="宋体" w:cs="宋体"/>
          <w:sz w:val="24"/>
          <w:szCs w:val="24"/>
        </w:rPr>
        <w:t>测评实施手册开发：编制测评实施手册，详细描述现场测评的工具、方法和操作步骤等，具体指导测评人员如何进行测评活动。</w:t>
      </w:r>
    </w:p>
    <w:p w14:paraId="06107C6A">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3）现场测评阶段</w:t>
      </w:r>
    </w:p>
    <w:p w14:paraId="36D67D03">
      <w:pPr>
        <w:spacing w:line="560" w:lineRule="exact"/>
        <w:ind w:firstLine="480"/>
        <w:rPr>
          <w:rFonts w:ascii="宋体" w:hAnsi="宋体" w:eastAsia="宋体" w:cs="宋体"/>
          <w:sz w:val="24"/>
          <w:szCs w:val="24"/>
        </w:rPr>
      </w:pPr>
      <w:r>
        <w:rPr>
          <w:rFonts w:hint="eastAsia" w:ascii="宋体" w:hAnsi="宋体" w:eastAsia="宋体" w:cs="宋体"/>
          <w:sz w:val="24"/>
          <w:szCs w:val="24"/>
        </w:rPr>
        <w:t>现场测评实际上就是单项测评，分别从技术上的安全物理环境、安全通信网络、安全计算环境、安全区域边界和安全管理中心五个层面和管理上的安全建设管理、安全管理人员、安全管理制度、安全管理机构和安全运维管理五个方面分别进行。</w:t>
      </w:r>
    </w:p>
    <w:p w14:paraId="4661D6A4">
      <w:pPr>
        <w:spacing w:line="560" w:lineRule="exact"/>
        <w:ind w:firstLine="480"/>
        <w:rPr>
          <w:rFonts w:ascii="宋体" w:hAnsi="宋体" w:eastAsia="宋体" w:cs="宋体"/>
          <w:sz w:val="24"/>
          <w:szCs w:val="24"/>
        </w:rPr>
      </w:pPr>
      <w:r>
        <w:rPr>
          <w:rFonts w:hint="eastAsia" w:ascii="宋体" w:hAnsi="宋体" w:eastAsia="宋体" w:cs="宋体"/>
          <w:sz w:val="24"/>
          <w:szCs w:val="24"/>
        </w:rPr>
        <w:t>安全物理环境：通过人员访谈、文档审查和实地察看的方式测评信息系统的安全物理环境保障情况。主要涉及对象为物理基础设施。在内容上，安全物理环境层面测评实施过程涉及10个测评单元，包括：物理位置的选择、物理访问控制、防盗窃和防破坏、防雷击、防火、防水和防潮、防静电、温湿度控制、电力供应、电磁防护。</w:t>
      </w:r>
    </w:p>
    <w:p w14:paraId="322EBAB9">
      <w:pPr>
        <w:spacing w:line="560" w:lineRule="exact"/>
        <w:ind w:firstLine="480"/>
        <w:rPr>
          <w:rFonts w:ascii="宋体" w:hAnsi="宋体" w:eastAsia="宋体" w:cs="宋体"/>
          <w:sz w:val="24"/>
          <w:szCs w:val="24"/>
        </w:rPr>
      </w:pPr>
      <w:r>
        <w:rPr>
          <w:rFonts w:hint="eastAsia" w:ascii="宋体" w:hAnsi="宋体" w:eastAsia="宋体" w:cs="宋体"/>
          <w:sz w:val="24"/>
          <w:szCs w:val="24"/>
        </w:rPr>
        <w:t>安全通信网络：通过访人员访谈、配置检查和工具测试的方式测评信息系统的安全通信网络保障情况。主要涉及对象为网络互联设备、安全通信网络设备和网络拓扑结构。在内容上，安全通信网络层面测评实施过程涉及7个测评单元，包括：结构安全、访问控制、安全审计、边界完整性检查、入侵防范、网络设备防护、恶意代码防范（针对三级系统）。</w:t>
      </w:r>
    </w:p>
    <w:p w14:paraId="220B17D8">
      <w:pPr>
        <w:spacing w:line="560" w:lineRule="exact"/>
        <w:ind w:firstLine="480"/>
        <w:rPr>
          <w:rFonts w:ascii="宋体" w:hAnsi="宋体" w:eastAsia="宋体" w:cs="宋体"/>
          <w:sz w:val="24"/>
          <w:szCs w:val="24"/>
        </w:rPr>
      </w:pPr>
      <w:r>
        <w:rPr>
          <w:rFonts w:hint="eastAsia" w:ascii="宋体" w:hAnsi="宋体" w:eastAsia="宋体" w:cs="宋体"/>
          <w:sz w:val="24"/>
          <w:szCs w:val="24"/>
        </w:rPr>
        <w:t>主机安全：通过人员访谈、配置检查和工具测试的方式测评信息系统的主机安全保障情况。主要涉及对象为各类服务器的操作系统、数据库管理系统。在内容上，安全计算环境层面测评实施过程涉及7个测评单元，包括：身份鉴别、访问控制、安全审计、入侵防范、恶意代码防范、资源控制、剩余信息保护（针对三级系统）。</w:t>
      </w:r>
    </w:p>
    <w:p w14:paraId="49CD8B4A">
      <w:pPr>
        <w:spacing w:line="560" w:lineRule="exact"/>
        <w:ind w:firstLine="480"/>
        <w:rPr>
          <w:rFonts w:ascii="宋体" w:hAnsi="宋体" w:eastAsia="宋体" w:cs="宋体"/>
          <w:sz w:val="24"/>
          <w:szCs w:val="24"/>
        </w:rPr>
      </w:pPr>
      <w:r>
        <w:rPr>
          <w:rFonts w:hint="eastAsia" w:ascii="宋体" w:hAnsi="宋体" w:eastAsia="宋体" w:cs="宋体"/>
          <w:sz w:val="24"/>
          <w:szCs w:val="24"/>
        </w:rPr>
        <w:t>安全区域边界：通过人员访谈、配置检查和工具测试的方式测评信息系统的安全区域边界保障情况，主要涉及对象为各类应用系统。在内容上，安全区域边界层面测评实施过程涉及9个测评单元，包括：身份鉴别、访问控制、安全审计、通信完整性、通信保密性、软件容错、资源控制、剩余信息保护（针对三级系统）、抗抵赖（针对三级系统）。</w:t>
      </w:r>
    </w:p>
    <w:p w14:paraId="4185B958">
      <w:pPr>
        <w:spacing w:line="560" w:lineRule="exact"/>
        <w:ind w:firstLine="480"/>
        <w:rPr>
          <w:rFonts w:ascii="宋体" w:hAnsi="宋体" w:eastAsia="宋体" w:cs="宋体"/>
          <w:sz w:val="24"/>
          <w:szCs w:val="24"/>
        </w:rPr>
      </w:pPr>
      <w:r>
        <w:rPr>
          <w:rFonts w:hint="eastAsia" w:ascii="宋体" w:hAnsi="宋体" w:eastAsia="宋体" w:cs="宋体"/>
          <w:sz w:val="24"/>
          <w:szCs w:val="24"/>
        </w:rPr>
        <w:t>安全管理中心：通过人员访谈、配置检查的方式测评信息系统的安全管理中心保障情况，主要涉及对象为信息系统的管理数据及业务数据等。在内容上，安全管理中心层面测评实施过程涉及3个测评单元，包括：数据完整性、数据保密性、备份和恢复。</w:t>
      </w:r>
    </w:p>
    <w:p w14:paraId="6DB59C41">
      <w:pPr>
        <w:spacing w:line="560" w:lineRule="exact"/>
        <w:ind w:firstLine="480"/>
        <w:rPr>
          <w:rFonts w:ascii="宋体" w:hAnsi="宋体" w:eastAsia="宋体" w:cs="宋体"/>
          <w:sz w:val="24"/>
          <w:szCs w:val="24"/>
        </w:rPr>
      </w:pPr>
      <w:r>
        <w:rPr>
          <w:rFonts w:hint="eastAsia" w:ascii="宋体" w:hAnsi="宋体" w:eastAsia="宋体" w:cs="宋体"/>
          <w:sz w:val="24"/>
          <w:szCs w:val="24"/>
        </w:rPr>
        <w:t>安全管理人员：通过人员访谈、文档审查和实地察看的方式测评信息系统的安全管理人员情况。在内容上，安全管理人员方面测评实施过程涉及3个测评单元，包括：管理制度、制定和发布、评审和修订。</w:t>
      </w:r>
    </w:p>
    <w:p w14:paraId="44029968">
      <w:pPr>
        <w:spacing w:line="560" w:lineRule="exact"/>
        <w:ind w:firstLine="480"/>
        <w:rPr>
          <w:rFonts w:ascii="宋体" w:hAnsi="宋体" w:eastAsia="宋体" w:cs="宋体"/>
          <w:sz w:val="24"/>
          <w:szCs w:val="24"/>
        </w:rPr>
      </w:pPr>
      <w:r>
        <w:rPr>
          <w:rFonts w:hint="eastAsia" w:ascii="宋体" w:hAnsi="宋体" w:eastAsia="宋体" w:cs="宋体"/>
          <w:sz w:val="24"/>
          <w:szCs w:val="24"/>
        </w:rPr>
        <w:t>安全建设管理：通过人员访谈、文档审查的方式测评信息系统的安全建设管理情况。在内容上，安全建设管理方面测评实施过程涉及5个测评单元，包括：岗位设置、人员配备、授权和审批、沟通和合作、审核和检查。</w:t>
      </w:r>
    </w:p>
    <w:p w14:paraId="36555C57">
      <w:pPr>
        <w:spacing w:line="560" w:lineRule="exact"/>
        <w:ind w:firstLine="480"/>
        <w:rPr>
          <w:rFonts w:ascii="宋体" w:hAnsi="宋体" w:eastAsia="宋体" w:cs="宋体"/>
          <w:sz w:val="24"/>
          <w:szCs w:val="24"/>
        </w:rPr>
      </w:pPr>
      <w:r>
        <w:rPr>
          <w:rFonts w:hint="eastAsia" w:ascii="宋体" w:hAnsi="宋体" w:eastAsia="宋体" w:cs="宋体"/>
          <w:sz w:val="24"/>
          <w:szCs w:val="24"/>
        </w:rPr>
        <w:t>安全管理制度：通过人员访谈、文档审查的方式测评信息系统的安全管理制度情况。在内容上，安全管理制度方面测评实施过程涉及5个测评单元，包括：人员录用、人员离岗、人员考核、安全意识教育和培训、外部人员访问管理。</w:t>
      </w:r>
    </w:p>
    <w:p w14:paraId="0EAFAF3D">
      <w:pPr>
        <w:spacing w:line="560" w:lineRule="exact"/>
        <w:ind w:firstLine="480"/>
        <w:rPr>
          <w:rFonts w:ascii="宋体" w:hAnsi="宋体" w:eastAsia="宋体" w:cs="宋体"/>
          <w:sz w:val="24"/>
          <w:szCs w:val="24"/>
        </w:rPr>
      </w:pPr>
      <w:r>
        <w:rPr>
          <w:rFonts w:hint="eastAsia" w:ascii="宋体" w:hAnsi="宋体" w:eastAsia="宋体" w:cs="宋体"/>
          <w:sz w:val="24"/>
          <w:szCs w:val="24"/>
        </w:rPr>
        <w:t>安全管理机构：通过人员访谈、文档审查的方式测评信息系统的安全管理机构情况。在内容上，安全管理机构方面测评实施过程涉及11个测评单元，包括：系统定级、安全方案设计、产品采购和使用、自行软件开发、外包软件开发、工程实施、测试验收、系统交付、安全服务商选择、系统备案（针对三级系统）、系统测评（针对三级系统）。</w:t>
      </w:r>
    </w:p>
    <w:p w14:paraId="64E19090">
      <w:pPr>
        <w:spacing w:line="560" w:lineRule="exact"/>
        <w:ind w:firstLine="480"/>
        <w:rPr>
          <w:rFonts w:ascii="宋体" w:hAnsi="宋体" w:eastAsia="宋体" w:cs="宋体"/>
          <w:sz w:val="24"/>
          <w:szCs w:val="24"/>
        </w:rPr>
      </w:pPr>
      <w:r>
        <w:rPr>
          <w:rFonts w:hint="eastAsia" w:ascii="宋体" w:hAnsi="宋体" w:eastAsia="宋体" w:cs="宋体"/>
          <w:sz w:val="24"/>
          <w:szCs w:val="24"/>
        </w:rPr>
        <w:t>安全运维管理：通过人员访谈、文档审查的方式测评信息系统的安全运维管理情况。在内容上，安全运维管理方面测评实施过程涉及13个测评单元，包括：环境管理、资产管理、介质管理、设备管理、安全通信网络管理、系统安全管理、恶意代码防范管理、密码管理、变更管理、备份与恢复管理、安全事件处置、应急预案管理、监控管理和安全管理中心（针对三级系统）。</w:t>
      </w:r>
    </w:p>
    <w:p w14:paraId="383EF3CB">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4）分析与报告编制阶段</w:t>
      </w:r>
    </w:p>
    <w:p w14:paraId="4146384F">
      <w:pPr>
        <w:spacing w:line="560" w:lineRule="exact"/>
        <w:ind w:firstLine="480"/>
        <w:rPr>
          <w:rFonts w:ascii="宋体" w:hAnsi="宋体" w:eastAsia="宋体" w:cs="宋体"/>
          <w:sz w:val="24"/>
          <w:szCs w:val="24"/>
        </w:rPr>
      </w:pPr>
      <w:r>
        <w:rPr>
          <w:rFonts w:hint="eastAsia" w:ascii="宋体" w:hAnsi="宋体" w:eastAsia="宋体" w:cs="宋体"/>
          <w:sz w:val="24"/>
          <w:szCs w:val="24"/>
        </w:rPr>
        <w:t>单项测评结果分析：针对测评指标中的单个测评项，结合具体测评对象，客观、准确地分析测评证据。</w:t>
      </w:r>
    </w:p>
    <w:p w14:paraId="4AEC6219">
      <w:pPr>
        <w:spacing w:line="560" w:lineRule="exact"/>
        <w:ind w:firstLine="480"/>
        <w:rPr>
          <w:rFonts w:ascii="宋体" w:hAnsi="宋体" w:eastAsia="宋体" w:cs="宋体"/>
          <w:sz w:val="24"/>
          <w:szCs w:val="24"/>
        </w:rPr>
      </w:pPr>
      <w:r>
        <w:rPr>
          <w:rFonts w:hint="eastAsia" w:ascii="宋体" w:hAnsi="宋体" w:eastAsia="宋体" w:cs="宋体"/>
          <w:sz w:val="24"/>
          <w:szCs w:val="24"/>
        </w:rPr>
        <w:t>单元测评结果判定：将单项测评结果进行汇总，分别统计不同测评对象的单项测评结果，从而判定单元测评结果，并以表格的形式逐一列出。</w:t>
      </w:r>
    </w:p>
    <w:p w14:paraId="5D32C723">
      <w:pPr>
        <w:spacing w:line="560" w:lineRule="exact"/>
        <w:ind w:firstLine="480"/>
        <w:rPr>
          <w:rFonts w:ascii="宋体" w:hAnsi="宋体" w:eastAsia="宋体" w:cs="宋体"/>
          <w:sz w:val="24"/>
          <w:szCs w:val="24"/>
        </w:rPr>
      </w:pPr>
      <w:r>
        <w:rPr>
          <w:rFonts w:hint="eastAsia" w:ascii="宋体" w:hAnsi="宋体" w:eastAsia="宋体" w:cs="宋体"/>
          <w:sz w:val="24"/>
          <w:szCs w:val="24"/>
        </w:rPr>
        <w:t>整体测评：针对单项测评结果的不符合项，采取逐条判定的方法，从安全控制间、层面间和区域间出发考虑，给出整体测评的具体结果，并对系统结构进行整体安全测评。</w:t>
      </w:r>
    </w:p>
    <w:p w14:paraId="29107503">
      <w:pPr>
        <w:spacing w:line="560" w:lineRule="exact"/>
        <w:ind w:firstLine="480"/>
        <w:rPr>
          <w:rFonts w:ascii="宋体" w:hAnsi="宋体" w:eastAsia="宋体" w:cs="宋体"/>
          <w:sz w:val="24"/>
          <w:szCs w:val="24"/>
        </w:rPr>
      </w:pPr>
      <w:r>
        <w:rPr>
          <w:rFonts w:hint="eastAsia" w:ascii="宋体" w:hAnsi="宋体" w:eastAsia="宋体" w:cs="宋体"/>
          <w:sz w:val="24"/>
          <w:szCs w:val="24"/>
        </w:rPr>
        <w:t>风险分析：据等级保护的相关规范和标准，采用风险分析的方法分析等级测评结果中存在的安全问题可能对被测系统安全造成的影响。</w:t>
      </w:r>
    </w:p>
    <w:p w14:paraId="52A66F08">
      <w:pPr>
        <w:spacing w:line="560" w:lineRule="exact"/>
        <w:ind w:firstLine="480"/>
        <w:rPr>
          <w:rFonts w:ascii="宋体" w:hAnsi="宋体" w:eastAsia="宋体" w:cs="宋体"/>
          <w:sz w:val="24"/>
          <w:szCs w:val="24"/>
        </w:rPr>
      </w:pPr>
      <w:r>
        <w:rPr>
          <w:rFonts w:hint="eastAsia" w:ascii="宋体" w:hAnsi="宋体" w:eastAsia="宋体" w:cs="宋体"/>
          <w:sz w:val="24"/>
          <w:szCs w:val="24"/>
        </w:rPr>
        <w:t>等级测评结论形成：在测评结果汇总的基础上，找出系统保护现状与等级保护基本要求之间的差距，并形成等级测评结论。</w:t>
      </w:r>
    </w:p>
    <w:p w14:paraId="180BD32B">
      <w:pPr>
        <w:spacing w:line="560" w:lineRule="exact"/>
        <w:ind w:firstLine="480"/>
        <w:rPr>
          <w:rFonts w:ascii="宋体" w:hAnsi="宋体" w:eastAsia="宋体" w:cs="宋体"/>
          <w:sz w:val="24"/>
          <w:szCs w:val="24"/>
        </w:rPr>
      </w:pPr>
      <w:r>
        <w:rPr>
          <w:rFonts w:hint="eastAsia" w:ascii="宋体" w:hAnsi="宋体" w:eastAsia="宋体" w:cs="宋体"/>
          <w:sz w:val="24"/>
          <w:szCs w:val="24"/>
        </w:rPr>
        <w:t>测评报告编制：根据等级测评结论，编制测评报告，包括概述、被测系统描述、测评对象说明、测评指标说明、测评内容和方法说明、单元测评、整体测评、测评结果汇总、风险分析和评价、等级测评结论、整改建议等。</w:t>
      </w:r>
    </w:p>
    <w:p w14:paraId="3D710452">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网络安全测评方法</w:t>
      </w:r>
    </w:p>
    <w:p w14:paraId="491B0B6B">
      <w:pPr>
        <w:spacing w:line="560" w:lineRule="exact"/>
        <w:ind w:firstLine="480"/>
        <w:rPr>
          <w:rFonts w:ascii="宋体" w:hAnsi="宋体" w:eastAsia="宋体" w:cs="宋体"/>
          <w:sz w:val="24"/>
          <w:szCs w:val="24"/>
        </w:rPr>
      </w:pPr>
      <w:r>
        <w:rPr>
          <w:rFonts w:hint="eastAsia" w:ascii="宋体" w:hAnsi="宋体" w:eastAsia="宋体" w:cs="宋体"/>
          <w:sz w:val="24"/>
          <w:szCs w:val="24"/>
        </w:rPr>
        <w:t>在等级保护测评过程中，将采用以下测评方法：</w:t>
      </w:r>
    </w:p>
    <w:p w14:paraId="2E760EAD">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1）工具测试</w:t>
      </w:r>
    </w:p>
    <w:p w14:paraId="0815548B">
      <w:pPr>
        <w:spacing w:line="560" w:lineRule="exact"/>
        <w:ind w:firstLine="480"/>
        <w:rPr>
          <w:rFonts w:ascii="宋体" w:hAnsi="宋体" w:eastAsia="宋体" w:cs="宋体"/>
          <w:sz w:val="24"/>
          <w:szCs w:val="24"/>
        </w:rPr>
      </w:pPr>
      <w:r>
        <w:rPr>
          <w:rFonts w:hint="eastAsia" w:ascii="宋体" w:hAnsi="宋体" w:eastAsia="宋体" w:cs="宋体"/>
          <w:sz w:val="24"/>
          <w:szCs w:val="24"/>
        </w:rPr>
        <w:t>利用技术工具（漏洞扫描工具、渗透测试工具、压力测试工具等）对系统进行测试，包括基于网络探测和基于主机审计的漏洞扫描、渗透测试等。</w:t>
      </w:r>
    </w:p>
    <w:p w14:paraId="3B3F4B09">
      <w:pPr>
        <w:keepNext/>
        <w:spacing w:line="560" w:lineRule="exact"/>
        <w:jc w:val="center"/>
        <w:rPr>
          <w:rFonts w:ascii="宋体" w:hAnsi="宋体" w:eastAsia="宋体" w:cs="宋体"/>
          <w:sz w:val="24"/>
          <w:szCs w:val="24"/>
        </w:rPr>
      </w:pPr>
      <w:r>
        <w:rPr>
          <w:rFonts w:hint="eastAsia" w:ascii="宋体" w:hAnsi="宋体" w:eastAsia="宋体" w:cs="宋体"/>
          <w:sz w:val="24"/>
          <w:szCs w:val="24"/>
        </w:rPr>
        <w:t>表2网络安全测评方法-工具测试</w:t>
      </w:r>
    </w:p>
    <w:tbl>
      <w:tblPr>
        <w:tblStyle w:val="9"/>
        <w:tblW w:w="86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55"/>
        <w:gridCol w:w="7136"/>
      </w:tblGrid>
      <w:tr w14:paraId="7970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7BF8FA42">
            <w:pPr>
              <w:spacing w:line="560" w:lineRule="exact"/>
              <w:jc w:val="center"/>
              <w:rPr>
                <w:rFonts w:ascii="宋体" w:hAnsi="宋体" w:eastAsia="宋体" w:cs="宋体"/>
                <w:b/>
                <w:sz w:val="24"/>
                <w:szCs w:val="24"/>
              </w:rPr>
            </w:pPr>
            <w:r>
              <w:rPr>
                <w:rFonts w:hint="eastAsia" w:ascii="宋体" w:hAnsi="宋体" w:eastAsia="宋体" w:cs="宋体"/>
                <w:b/>
                <w:sz w:val="24"/>
                <w:szCs w:val="24"/>
              </w:rPr>
              <w:t>测评方法</w:t>
            </w:r>
          </w:p>
        </w:tc>
        <w:tc>
          <w:tcPr>
            <w:tcW w:w="7136" w:type="dxa"/>
            <w:shd w:val="clear" w:color="auto" w:fill="FFFFFF"/>
            <w:vAlign w:val="center"/>
          </w:tcPr>
          <w:p w14:paraId="00D18C6E">
            <w:pPr>
              <w:spacing w:line="560" w:lineRule="exact"/>
              <w:jc w:val="center"/>
              <w:rPr>
                <w:rFonts w:ascii="宋体" w:hAnsi="宋体" w:eastAsia="宋体" w:cs="宋体"/>
                <w:b/>
                <w:sz w:val="24"/>
                <w:szCs w:val="24"/>
              </w:rPr>
            </w:pPr>
            <w:r>
              <w:rPr>
                <w:rFonts w:hint="eastAsia" w:ascii="宋体" w:hAnsi="宋体" w:eastAsia="宋体" w:cs="宋体"/>
                <w:b/>
                <w:sz w:val="24"/>
                <w:szCs w:val="24"/>
              </w:rPr>
              <w:t>工具测试</w:t>
            </w:r>
          </w:p>
        </w:tc>
      </w:tr>
      <w:tr w14:paraId="440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5D514808">
            <w:pPr>
              <w:spacing w:line="560" w:lineRule="exact"/>
              <w:jc w:val="center"/>
              <w:rPr>
                <w:rFonts w:ascii="宋体" w:hAnsi="宋体" w:eastAsia="宋体" w:cs="宋体"/>
                <w:b/>
                <w:sz w:val="24"/>
                <w:szCs w:val="24"/>
              </w:rPr>
            </w:pPr>
            <w:r>
              <w:rPr>
                <w:rFonts w:hint="eastAsia" w:ascii="宋体" w:hAnsi="宋体" w:eastAsia="宋体" w:cs="宋体"/>
                <w:b/>
                <w:sz w:val="24"/>
                <w:szCs w:val="24"/>
              </w:rPr>
              <w:t>简要描述</w:t>
            </w:r>
          </w:p>
        </w:tc>
        <w:tc>
          <w:tcPr>
            <w:tcW w:w="7136" w:type="dxa"/>
            <w:shd w:val="clear" w:color="auto" w:fill="FFFFFF"/>
            <w:vAlign w:val="center"/>
          </w:tcPr>
          <w:p w14:paraId="018BEA0F">
            <w:pPr>
              <w:spacing w:line="560" w:lineRule="exact"/>
              <w:rPr>
                <w:rFonts w:ascii="宋体" w:hAnsi="宋体" w:eastAsia="宋体" w:cs="宋体"/>
                <w:bCs/>
                <w:sz w:val="24"/>
                <w:szCs w:val="24"/>
              </w:rPr>
            </w:pPr>
            <w:r>
              <w:rPr>
                <w:rFonts w:hint="eastAsia" w:ascii="宋体" w:hAnsi="宋体" w:eastAsia="宋体" w:cs="宋体"/>
                <w:bCs/>
                <w:sz w:val="24"/>
                <w:szCs w:val="24"/>
              </w:rPr>
              <w:t>利用技术工具，从网络的不同接入点对网络内的主机、服务器、数据库、网络设备、安全设备等进行脆弱性检查和分析</w:t>
            </w:r>
          </w:p>
        </w:tc>
      </w:tr>
      <w:tr w14:paraId="1914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46EFBF47">
            <w:pPr>
              <w:spacing w:line="560" w:lineRule="exact"/>
              <w:jc w:val="center"/>
              <w:rPr>
                <w:rFonts w:ascii="宋体" w:hAnsi="宋体" w:eastAsia="宋体" w:cs="宋体"/>
                <w:b/>
                <w:sz w:val="24"/>
                <w:szCs w:val="24"/>
              </w:rPr>
            </w:pPr>
            <w:r>
              <w:rPr>
                <w:rFonts w:hint="eastAsia" w:ascii="宋体" w:hAnsi="宋体" w:eastAsia="宋体" w:cs="宋体"/>
                <w:b/>
                <w:sz w:val="24"/>
                <w:szCs w:val="24"/>
              </w:rPr>
              <w:t>达成目标</w:t>
            </w:r>
          </w:p>
        </w:tc>
        <w:tc>
          <w:tcPr>
            <w:tcW w:w="7136" w:type="dxa"/>
            <w:shd w:val="clear" w:color="auto" w:fill="FFFFFF"/>
            <w:vAlign w:val="center"/>
          </w:tcPr>
          <w:p w14:paraId="5D2CFD2B">
            <w:pPr>
              <w:spacing w:line="560" w:lineRule="exact"/>
              <w:rPr>
                <w:rFonts w:ascii="宋体" w:hAnsi="宋体" w:eastAsia="宋体" w:cs="宋体"/>
                <w:bCs/>
                <w:sz w:val="24"/>
                <w:szCs w:val="24"/>
              </w:rPr>
            </w:pPr>
            <w:r>
              <w:rPr>
                <w:rFonts w:hint="eastAsia" w:ascii="宋体" w:hAnsi="宋体" w:eastAsia="宋体" w:cs="宋体"/>
                <w:bCs/>
                <w:sz w:val="24"/>
                <w:szCs w:val="24"/>
              </w:rPr>
              <w:t>发掘系统的安全漏洞</w:t>
            </w:r>
          </w:p>
        </w:tc>
      </w:tr>
      <w:tr w14:paraId="6449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11AD1A77">
            <w:pPr>
              <w:spacing w:line="560" w:lineRule="exact"/>
              <w:jc w:val="center"/>
              <w:rPr>
                <w:rFonts w:ascii="宋体" w:hAnsi="宋体" w:eastAsia="宋体" w:cs="宋体"/>
                <w:b/>
                <w:sz w:val="24"/>
                <w:szCs w:val="24"/>
              </w:rPr>
            </w:pPr>
            <w:r>
              <w:rPr>
                <w:rFonts w:hint="eastAsia" w:ascii="宋体" w:hAnsi="宋体" w:eastAsia="宋体" w:cs="宋体"/>
                <w:b/>
                <w:sz w:val="24"/>
                <w:szCs w:val="24"/>
              </w:rPr>
              <w:t>工作条件</w:t>
            </w:r>
          </w:p>
        </w:tc>
        <w:tc>
          <w:tcPr>
            <w:tcW w:w="7136" w:type="dxa"/>
            <w:shd w:val="clear" w:color="auto" w:fill="FFFFFF"/>
            <w:vAlign w:val="center"/>
          </w:tcPr>
          <w:p w14:paraId="2670D3C7">
            <w:pPr>
              <w:spacing w:line="560" w:lineRule="exact"/>
              <w:rPr>
                <w:rFonts w:ascii="宋体" w:hAnsi="宋体" w:eastAsia="宋体" w:cs="宋体"/>
                <w:bCs/>
                <w:sz w:val="24"/>
                <w:szCs w:val="24"/>
              </w:rPr>
            </w:pPr>
            <w:r>
              <w:rPr>
                <w:rFonts w:hint="eastAsia" w:ascii="宋体" w:hAnsi="宋体" w:eastAsia="宋体" w:cs="宋体"/>
                <w:bCs/>
                <w:sz w:val="24"/>
                <w:szCs w:val="24"/>
              </w:rPr>
              <w:t>1-2人工作环境，电源和网络接入环境，用户、网络、系统配合</w:t>
            </w:r>
          </w:p>
        </w:tc>
      </w:tr>
      <w:tr w14:paraId="1234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4B2986C9">
            <w:pPr>
              <w:spacing w:line="560" w:lineRule="exact"/>
              <w:jc w:val="center"/>
              <w:rPr>
                <w:rFonts w:ascii="宋体" w:hAnsi="宋体" w:eastAsia="宋体" w:cs="宋体"/>
                <w:b/>
                <w:sz w:val="24"/>
                <w:szCs w:val="24"/>
              </w:rPr>
            </w:pPr>
            <w:r>
              <w:rPr>
                <w:rFonts w:hint="eastAsia" w:ascii="宋体" w:hAnsi="宋体" w:eastAsia="宋体" w:cs="宋体"/>
                <w:b/>
                <w:sz w:val="24"/>
                <w:szCs w:val="24"/>
              </w:rPr>
              <w:t>工作结果</w:t>
            </w:r>
          </w:p>
        </w:tc>
        <w:tc>
          <w:tcPr>
            <w:tcW w:w="7136" w:type="dxa"/>
            <w:shd w:val="clear" w:color="auto" w:fill="FFFFFF"/>
            <w:vAlign w:val="center"/>
          </w:tcPr>
          <w:p w14:paraId="34A083E4">
            <w:pPr>
              <w:spacing w:line="560" w:lineRule="exact"/>
              <w:rPr>
                <w:rFonts w:ascii="宋体" w:hAnsi="宋体" w:eastAsia="宋体" w:cs="宋体"/>
                <w:bCs/>
                <w:sz w:val="24"/>
                <w:szCs w:val="24"/>
              </w:rPr>
            </w:pPr>
            <w:r>
              <w:rPr>
                <w:rFonts w:hint="eastAsia" w:ascii="宋体" w:hAnsi="宋体" w:eastAsia="宋体" w:cs="宋体"/>
                <w:bCs/>
                <w:sz w:val="24"/>
                <w:szCs w:val="24"/>
              </w:rPr>
              <w:t>工具测试结果记录</w:t>
            </w:r>
          </w:p>
        </w:tc>
      </w:tr>
    </w:tbl>
    <w:p w14:paraId="2E9FB1D1">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2）配置检查</w:t>
      </w:r>
    </w:p>
    <w:p w14:paraId="76884358">
      <w:pPr>
        <w:spacing w:line="560" w:lineRule="exact"/>
        <w:ind w:firstLine="480"/>
        <w:rPr>
          <w:rFonts w:ascii="宋体" w:hAnsi="宋体" w:eastAsia="宋体" w:cs="宋体"/>
          <w:sz w:val="24"/>
          <w:szCs w:val="24"/>
        </w:rPr>
      </w:pPr>
      <w:r>
        <w:rPr>
          <w:rFonts w:hint="eastAsia" w:ascii="宋体" w:hAnsi="宋体" w:eastAsia="宋体" w:cs="宋体"/>
          <w:sz w:val="24"/>
          <w:szCs w:val="24"/>
        </w:rPr>
        <w:t>利用上机验证的方式检查主机、服务器、数据库、网络设备、安全设备、应用系统的配置是否正确，是否与文档、相关设备和部件保持一致，对文档审核的内容进行核实（包括日志审计等），测评其实施的正确性和有效性，检查配置的完整性，测试网络连接规则的一致性，从而测试系统是否达到可用性和可靠性的要求。</w:t>
      </w:r>
    </w:p>
    <w:p w14:paraId="4EDEEA64">
      <w:pPr>
        <w:keepNext/>
        <w:spacing w:line="560" w:lineRule="exact"/>
        <w:jc w:val="center"/>
        <w:rPr>
          <w:rFonts w:ascii="宋体" w:hAnsi="宋体" w:eastAsia="宋体" w:cs="宋体"/>
          <w:sz w:val="24"/>
          <w:szCs w:val="24"/>
        </w:rPr>
      </w:pPr>
      <w:r>
        <w:rPr>
          <w:rFonts w:hint="eastAsia" w:ascii="宋体" w:hAnsi="宋体" w:eastAsia="宋体" w:cs="宋体"/>
          <w:sz w:val="24"/>
          <w:szCs w:val="24"/>
        </w:rPr>
        <w:t>表3网络安全测评方法-配置检查</w:t>
      </w:r>
    </w:p>
    <w:tbl>
      <w:tblPr>
        <w:tblStyle w:val="9"/>
        <w:tblW w:w="83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55"/>
        <w:gridCol w:w="6747"/>
      </w:tblGrid>
      <w:tr w14:paraId="620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3CDE7C29">
            <w:pPr>
              <w:spacing w:line="560" w:lineRule="exact"/>
              <w:jc w:val="center"/>
              <w:rPr>
                <w:rFonts w:ascii="宋体" w:hAnsi="宋体" w:eastAsia="宋体" w:cs="宋体"/>
                <w:b/>
                <w:sz w:val="24"/>
                <w:szCs w:val="24"/>
              </w:rPr>
            </w:pPr>
            <w:r>
              <w:rPr>
                <w:rFonts w:hint="eastAsia" w:ascii="宋体" w:hAnsi="宋体" w:eastAsia="宋体" w:cs="宋体"/>
                <w:b/>
                <w:sz w:val="24"/>
                <w:szCs w:val="24"/>
              </w:rPr>
              <w:t>测评方法</w:t>
            </w:r>
          </w:p>
        </w:tc>
        <w:tc>
          <w:tcPr>
            <w:tcW w:w="6747" w:type="dxa"/>
            <w:shd w:val="clear" w:color="auto" w:fill="FFFFFF"/>
          </w:tcPr>
          <w:p w14:paraId="3A928FF2">
            <w:pPr>
              <w:spacing w:line="560" w:lineRule="exact"/>
              <w:jc w:val="center"/>
              <w:rPr>
                <w:rFonts w:ascii="宋体" w:hAnsi="宋体" w:eastAsia="宋体" w:cs="宋体"/>
                <w:b/>
                <w:sz w:val="24"/>
                <w:szCs w:val="24"/>
              </w:rPr>
            </w:pPr>
            <w:r>
              <w:rPr>
                <w:rFonts w:hint="eastAsia" w:ascii="宋体" w:hAnsi="宋体" w:eastAsia="宋体" w:cs="宋体"/>
                <w:b/>
                <w:sz w:val="24"/>
                <w:szCs w:val="24"/>
              </w:rPr>
              <w:t>配置检查</w:t>
            </w:r>
          </w:p>
        </w:tc>
      </w:tr>
      <w:tr w14:paraId="450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shd w:val="clear" w:color="auto" w:fill="E6E6E6"/>
            <w:vAlign w:val="center"/>
          </w:tcPr>
          <w:p w14:paraId="5965AAB8">
            <w:pPr>
              <w:spacing w:line="560" w:lineRule="exact"/>
              <w:jc w:val="center"/>
              <w:rPr>
                <w:rFonts w:ascii="宋体" w:hAnsi="宋体" w:eastAsia="宋体" w:cs="宋体"/>
                <w:b/>
                <w:sz w:val="24"/>
                <w:szCs w:val="24"/>
              </w:rPr>
            </w:pPr>
            <w:r>
              <w:rPr>
                <w:rFonts w:hint="eastAsia" w:ascii="宋体" w:hAnsi="宋体" w:eastAsia="宋体" w:cs="宋体"/>
                <w:b/>
                <w:sz w:val="24"/>
                <w:szCs w:val="24"/>
              </w:rPr>
              <w:t>简要描述</w:t>
            </w:r>
          </w:p>
        </w:tc>
        <w:tc>
          <w:tcPr>
            <w:tcW w:w="6747" w:type="dxa"/>
            <w:shd w:val="clear" w:color="auto" w:fill="FFFFFF"/>
            <w:vAlign w:val="center"/>
          </w:tcPr>
          <w:p w14:paraId="62C6A16A">
            <w:pPr>
              <w:spacing w:line="560" w:lineRule="exact"/>
              <w:rPr>
                <w:rFonts w:ascii="宋体" w:hAnsi="宋体" w:eastAsia="宋体" w:cs="宋体"/>
                <w:bCs/>
                <w:sz w:val="24"/>
                <w:szCs w:val="24"/>
              </w:rPr>
            </w:pPr>
            <w:r>
              <w:rPr>
                <w:rFonts w:hint="eastAsia" w:ascii="宋体" w:hAnsi="宋体" w:eastAsia="宋体" w:cs="宋体"/>
                <w:bCs/>
                <w:sz w:val="24"/>
                <w:szCs w:val="24"/>
              </w:rPr>
              <w:t>通过登录系统控制台的方式，人工核查和分析主机、服务器、数据库、网络设备、安全设备、应用系统的安全配置情况</w:t>
            </w:r>
          </w:p>
        </w:tc>
      </w:tr>
      <w:tr w14:paraId="2AE3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4E415700">
            <w:pPr>
              <w:spacing w:line="560" w:lineRule="exact"/>
              <w:jc w:val="center"/>
              <w:rPr>
                <w:rFonts w:ascii="宋体" w:hAnsi="宋体" w:eastAsia="宋体" w:cs="宋体"/>
                <w:b/>
                <w:sz w:val="24"/>
                <w:szCs w:val="24"/>
              </w:rPr>
            </w:pPr>
            <w:r>
              <w:rPr>
                <w:rFonts w:hint="eastAsia" w:ascii="宋体" w:hAnsi="宋体" w:eastAsia="宋体" w:cs="宋体"/>
                <w:b/>
                <w:sz w:val="24"/>
                <w:szCs w:val="24"/>
              </w:rPr>
              <w:t>达成目标</w:t>
            </w:r>
          </w:p>
        </w:tc>
        <w:tc>
          <w:tcPr>
            <w:tcW w:w="6747" w:type="dxa"/>
            <w:shd w:val="clear" w:color="auto" w:fill="FFFFFF"/>
            <w:vAlign w:val="center"/>
          </w:tcPr>
          <w:p w14:paraId="1CB15448">
            <w:pPr>
              <w:spacing w:line="560" w:lineRule="exact"/>
              <w:rPr>
                <w:rFonts w:ascii="宋体" w:hAnsi="宋体" w:eastAsia="宋体" w:cs="宋体"/>
                <w:bCs/>
                <w:sz w:val="24"/>
                <w:szCs w:val="24"/>
              </w:rPr>
            </w:pPr>
            <w:r>
              <w:rPr>
                <w:rFonts w:hint="eastAsia" w:ascii="宋体" w:hAnsi="宋体" w:eastAsia="宋体" w:cs="宋体"/>
                <w:bCs/>
                <w:sz w:val="24"/>
                <w:szCs w:val="24"/>
              </w:rPr>
              <w:t>发现配置的安全隐患</w:t>
            </w:r>
          </w:p>
        </w:tc>
      </w:tr>
      <w:tr w14:paraId="6463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7E9BB11B">
            <w:pPr>
              <w:spacing w:line="560" w:lineRule="exact"/>
              <w:jc w:val="center"/>
              <w:rPr>
                <w:rFonts w:ascii="宋体" w:hAnsi="宋体" w:eastAsia="宋体" w:cs="宋体"/>
                <w:b/>
                <w:sz w:val="24"/>
                <w:szCs w:val="24"/>
              </w:rPr>
            </w:pPr>
            <w:bookmarkStart w:id="24" w:name="_Hlk263550977"/>
            <w:r>
              <w:rPr>
                <w:rFonts w:hint="eastAsia" w:ascii="宋体" w:hAnsi="宋体" w:eastAsia="宋体" w:cs="宋体"/>
                <w:b/>
                <w:sz w:val="24"/>
                <w:szCs w:val="24"/>
              </w:rPr>
              <w:t>工作条件</w:t>
            </w:r>
          </w:p>
        </w:tc>
        <w:tc>
          <w:tcPr>
            <w:tcW w:w="6747" w:type="dxa"/>
            <w:shd w:val="clear" w:color="auto" w:fill="FFFFFF"/>
            <w:vAlign w:val="center"/>
          </w:tcPr>
          <w:p w14:paraId="6C1026FD">
            <w:pPr>
              <w:spacing w:line="560" w:lineRule="exact"/>
              <w:rPr>
                <w:rFonts w:ascii="宋体" w:hAnsi="宋体" w:eastAsia="宋体" w:cs="宋体"/>
                <w:bCs/>
                <w:sz w:val="24"/>
                <w:szCs w:val="24"/>
              </w:rPr>
            </w:pPr>
            <w:r>
              <w:rPr>
                <w:rFonts w:hint="eastAsia" w:ascii="宋体" w:hAnsi="宋体" w:eastAsia="宋体" w:cs="宋体"/>
                <w:bCs/>
                <w:sz w:val="24"/>
                <w:szCs w:val="24"/>
              </w:rPr>
              <w:t>1-2人工作环境，用户、网络、系统配合</w:t>
            </w:r>
          </w:p>
        </w:tc>
      </w:tr>
      <w:bookmarkEnd w:id="24"/>
      <w:tr w14:paraId="1BC1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3D7F8A62">
            <w:pPr>
              <w:spacing w:line="560" w:lineRule="exact"/>
              <w:jc w:val="center"/>
              <w:rPr>
                <w:rFonts w:ascii="宋体" w:hAnsi="宋体" w:eastAsia="宋体" w:cs="宋体"/>
                <w:b/>
                <w:sz w:val="24"/>
                <w:szCs w:val="24"/>
              </w:rPr>
            </w:pPr>
            <w:r>
              <w:rPr>
                <w:rFonts w:hint="eastAsia" w:ascii="宋体" w:hAnsi="宋体" w:eastAsia="宋体" w:cs="宋体"/>
                <w:b/>
                <w:sz w:val="24"/>
                <w:szCs w:val="24"/>
              </w:rPr>
              <w:t>工作结果</w:t>
            </w:r>
          </w:p>
        </w:tc>
        <w:tc>
          <w:tcPr>
            <w:tcW w:w="6747" w:type="dxa"/>
            <w:shd w:val="clear" w:color="auto" w:fill="FFFFFF"/>
            <w:vAlign w:val="center"/>
          </w:tcPr>
          <w:p w14:paraId="4924B224">
            <w:pPr>
              <w:spacing w:line="560" w:lineRule="exact"/>
              <w:rPr>
                <w:rFonts w:ascii="宋体" w:hAnsi="宋体" w:eastAsia="宋体" w:cs="宋体"/>
                <w:bCs/>
                <w:sz w:val="24"/>
                <w:szCs w:val="24"/>
              </w:rPr>
            </w:pPr>
            <w:r>
              <w:rPr>
                <w:rFonts w:hint="eastAsia" w:ascii="宋体" w:hAnsi="宋体" w:eastAsia="宋体" w:cs="宋体"/>
                <w:bCs/>
                <w:sz w:val="24"/>
                <w:szCs w:val="24"/>
              </w:rPr>
              <w:t>配置检查结果记录</w:t>
            </w:r>
          </w:p>
        </w:tc>
      </w:tr>
    </w:tbl>
    <w:p w14:paraId="606CBDDB">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3）人员访谈</w:t>
      </w:r>
    </w:p>
    <w:p w14:paraId="079BDFA5">
      <w:pPr>
        <w:spacing w:line="560" w:lineRule="exact"/>
        <w:ind w:firstLine="480"/>
        <w:rPr>
          <w:rFonts w:ascii="宋体" w:hAnsi="宋体" w:eastAsia="宋体" w:cs="宋体"/>
          <w:sz w:val="24"/>
          <w:szCs w:val="24"/>
        </w:rPr>
      </w:pPr>
      <w:r>
        <w:rPr>
          <w:rFonts w:hint="eastAsia" w:ascii="宋体" w:hAnsi="宋体" w:eastAsia="宋体" w:cs="宋体"/>
          <w:sz w:val="24"/>
          <w:szCs w:val="24"/>
        </w:rPr>
        <w:t>与被测系统有关人员（个人/群体）进行交流、讨论等活动，获取相关证据，了解有关信息。在访谈范围上，不同等级信息系统在测评时有不同的要求，一般应基本覆盖所有的安全相关人员类型，在数量上可以抽样。</w:t>
      </w:r>
    </w:p>
    <w:p w14:paraId="4E1F7670">
      <w:pPr>
        <w:keepNext/>
        <w:spacing w:line="560" w:lineRule="exact"/>
        <w:jc w:val="center"/>
        <w:rPr>
          <w:rFonts w:ascii="宋体" w:hAnsi="宋体" w:eastAsia="宋体" w:cs="宋体"/>
          <w:sz w:val="24"/>
          <w:szCs w:val="24"/>
        </w:rPr>
      </w:pPr>
      <w:r>
        <w:rPr>
          <w:rFonts w:hint="eastAsia" w:ascii="宋体" w:hAnsi="宋体" w:eastAsia="宋体" w:cs="宋体"/>
          <w:sz w:val="24"/>
          <w:szCs w:val="24"/>
        </w:rPr>
        <w:t>表4网络安全测评方法-人员访谈</w:t>
      </w:r>
    </w:p>
    <w:tbl>
      <w:tblPr>
        <w:tblStyle w:val="9"/>
        <w:tblW w:w="83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55"/>
        <w:gridCol w:w="6747"/>
      </w:tblGrid>
      <w:tr w14:paraId="4835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shd w:val="clear" w:color="auto" w:fill="E6E6E6"/>
            <w:vAlign w:val="center"/>
          </w:tcPr>
          <w:p w14:paraId="1A16389D">
            <w:pPr>
              <w:spacing w:line="560" w:lineRule="exact"/>
              <w:jc w:val="center"/>
              <w:rPr>
                <w:rFonts w:ascii="宋体" w:hAnsi="宋体" w:eastAsia="宋体" w:cs="宋体"/>
                <w:b/>
                <w:sz w:val="24"/>
                <w:szCs w:val="24"/>
              </w:rPr>
            </w:pPr>
            <w:r>
              <w:rPr>
                <w:rFonts w:hint="eastAsia" w:ascii="宋体" w:hAnsi="宋体" w:eastAsia="宋体" w:cs="宋体"/>
                <w:b/>
                <w:sz w:val="24"/>
                <w:szCs w:val="24"/>
              </w:rPr>
              <w:t>测评方法</w:t>
            </w:r>
          </w:p>
        </w:tc>
        <w:tc>
          <w:tcPr>
            <w:tcW w:w="6747" w:type="dxa"/>
            <w:shd w:val="clear" w:color="auto" w:fill="FFFFFF"/>
            <w:vAlign w:val="center"/>
          </w:tcPr>
          <w:p w14:paraId="1E100494">
            <w:pPr>
              <w:spacing w:line="560" w:lineRule="exact"/>
              <w:jc w:val="center"/>
              <w:rPr>
                <w:rFonts w:ascii="宋体" w:hAnsi="宋体" w:eastAsia="宋体" w:cs="宋体"/>
                <w:b/>
                <w:sz w:val="24"/>
                <w:szCs w:val="24"/>
              </w:rPr>
            </w:pPr>
            <w:r>
              <w:rPr>
                <w:rFonts w:hint="eastAsia" w:ascii="宋体" w:hAnsi="宋体" w:eastAsia="宋体" w:cs="宋体"/>
                <w:b/>
                <w:sz w:val="24"/>
                <w:szCs w:val="24"/>
              </w:rPr>
              <w:t>人员访谈</w:t>
            </w:r>
          </w:p>
        </w:tc>
      </w:tr>
      <w:tr w14:paraId="6623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0F70B2CB">
            <w:pPr>
              <w:spacing w:line="560" w:lineRule="exact"/>
              <w:jc w:val="center"/>
              <w:rPr>
                <w:rFonts w:ascii="宋体" w:hAnsi="宋体" w:eastAsia="宋体" w:cs="宋体"/>
                <w:b/>
                <w:sz w:val="24"/>
                <w:szCs w:val="24"/>
              </w:rPr>
            </w:pPr>
            <w:r>
              <w:rPr>
                <w:rFonts w:hint="eastAsia" w:ascii="宋体" w:hAnsi="宋体" w:eastAsia="宋体" w:cs="宋体"/>
                <w:b/>
                <w:sz w:val="24"/>
                <w:szCs w:val="24"/>
              </w:rPr>
              <w:t>简要描述</w:t>
            </w:r>
          </w:p>
        </w:tc>
        <w:tc>
          <w:tcPr>
            <w:tcW w:w="6747" w:type="dxa"/>
            <w:shd w:val="clear" w:color="auto" w:fill="FFFFFF"/>
            <w:vAlign w:val="center"/>
          </w:tcPr>
          <w:p w14:paraId="346E4616">
            <w:pPr>
              <w:spacing w:line="560" w:lineRule="exact"/>
              <w:rPr>
                <w:rFonts w:ascii="宋体" w:hAnsi="宋体" w:eastAsia="宋体" w:cs="宋体"/>
                <w:bCs/>
                <w:sz w:val="24"/>
                <w:szCs w:val="24"/>
              </w:rPr>
            </w:pPr>
            <w:r>
              <w:rPr>
                <w:rFonts w:hint="eastAsia" w:ascii="宋体" w:hAnsi="宋体" w:eastAsia="宋体" w:cs="宋体"/>
                <w:bCs/>
                <w:sz w:val="24"/>
                <w:szCs w:val="24"/>
              </w:rPr>
              <w:t>通过交流、讨论的方式，对技术和管理方面进行脆弱性检查和分析</w:t>
            </w:r>
          </w:p>
        </w:tc>
      </w:tr>
      <w:tr w14:paraId="3AC3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7CE0A448">
            <w:pPr>
              <w:spacing w:line="560" w:lineRule="exact"/>
              <w:jc w:val="center"/>
              <w:rPr>
                <w:rFonts w:ascii="宋体" w:hAnsi="宋体" w:eastAsia="宋体" w:cs="宋体"/>
                <w:b/>
                <w:sz w:val="24"/>
                <w:szCs w:val="24"/>
              </w:rPr>
            </w:pPr>
            <w:r>
              <w:rPr>
                <w:rFonts w:hint="eastAsia" w:ascii="宋体" w:hAnsi="宋体" w:eastAsia="宋体" w:cs="宋体"/>
                <w:b/>
                <w:sz w:val="24"/>
                <w:szCs w:val="24"/>
              </w:rPr>
              <w:t>达成目标</w:t>
            </w:r>
          </w:p>
        </w:tc>
        <w:tc>
          <w:tcPr>
            <w:tcW w:w="6747" w:type="dxa"/>
            <w:shd w:val="clear" w:color="auto" w:fill="FFFFFF"/>
            <w:vAlign w:val="center"/>
          </w:tcPr>
          <w:p w14:paraId="0A14FD1C">
            <w:pPr>
              <w:spacing w:line="560" w:lineRule="exact"/>
              <w:rPr>
                <w:rFonts w:ascii="宋体" w:hAnsi="宋体" w:eastAsia="宋体" w:cs="宋体"/>
                <w:bCs/>
                <w:sz w:val="24"/>
                <w:szCs w:val="24"/>
              </w:rPr>
            </w:pPr>
            <w:r>
              <w:rPr>
                <w:rFonts w:hint="eastAsia" w:ascii="宋体" w:hAnsi="宋体" w:eastAsia="宋体" w:cs="宋体"/>
                <w:bCs/>
                <w:sz w:val="24"/>
                <w:szCs w:val="24"/>
              </w:rPr>
              <w:t>发掘技术和管理方面存在的安全问题</w:t>
            </w:r>
          </w:p>
        </w:tc>
      </w:tr>
      <w:tr w14:paraId="389A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039F0F52">
            <w:pPr>
              <w:spacing w:line="560" w:lineRule="exact"/>
              <w:jc w:val="center"/>
              <w:rPr>
                <w:rFonts w:ascii="宋体" w:hAnsi="宋体" w:eastAsia="宋体" w:cs="宋体"/>
                <w:b/>
                <w:sz w:val="24"/>
                <w:szCs w:val="24"/>
              </w:rPr>
            </w:pPr>
            <w:r>
              <w:rPr>
                <w:rFonts w:hint="eastAsia" w:ascii="宋体" w:hAnsi="宋体" w:eastAsia="宋体" w:cs="宋体"/>
                <w:b/>
                <w:sz w:val="24"/>
                <w:szCs w:val="24"/>
              </w:rPr>
              <w:t>工作条件</w:t>
            </w:r>
          </w:p>
        </w:tc>
        <w:tc>
          <w:tcPr>
            <w:tcW w:w="6747" w:type="dxa"/>
            <w:shd w:val="clear" w:color="auto" w:fill="FFFFFF"/>
            <w:vAlign w:val="center"/>
          </w:tcPr>
          <w:p w14:paraId="0B46D6C8">
            <w:pPr>
              <w:spacing w:line="560" w:lineRule="exact"/>
              <w:rPr>
                <w:rFonts w:ascii="宋体" w:hAnsi="宋体" w:eastAsia="宋体" w:cs="宋体"/>
                <w:bCs/>
                <w:sz w:val="24"/>
                <w:szCs w:val="24"/>
              </w:rPr>
            </w:pPr>
            <w:r>
              <w:rPr>
                <w:rFonts w:hint="eastAsia" w:ascii="宋体" w:hAnsi="宋体" w:eastAsia="宋体" w:cs="宋体"/>
                <w:bCs/>
                <w:sz w:val="24"/>
                <w:szCs w:val="24"/>
              </w:rPr>
              <w:t>1-2人工作环境，用户配合</w:t>
            </w:r>
          </w:p>
        </w:tc>
      </w:tr>
      <w:tr w14:paraId="5B93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4F355F4F">
            <w:pPr>
              <w:spacing w:line="560" w:lineRule="exact"/>
              <w:jc w:val="center"/>
              <w:rPr>
                <w:rFonts w:ascii="宋体" w:hAnsi="宋体" w:eastAsia="宋体" w:cs="宋体"/>
                <w:b/>
                <w:sz w:val="24"/>
                <w:szCs w:val="24"/>
              </w:rPr>
            </w:pPr>
            <w:r>
              <w:rPr>
                <w:rFonts w:hint="eastAsia" w:ascii="宋体" w:hAnsi="宋体" w:eastAsia="宋体" w:cs="宋体"/>
                <w:b/>
                <w:sz w:val="24"/>
                <w:szCs w:val="24"/>
              </w:rPr>
              <w:t>工作结果</w:t>
            </w:r>
          </w:p>
        </w:tc>
        <w:tc>
          <w:tcPr>
            <w:tcW w:w="6747" w:type="dxa"/>
            <w:shd w:val="clear" w:color="auto" w:fill="FFFFFF"/>
            <w:vAlign w:val="center"/>
          </w:tcPr>
          <w:p w14:paraId="52AA5E16">
            <w:pPr>
              <w:spacing w:line="560" w:lineRule="exact"/>
              <w:rPr>
                <w:rFonts w:ascii="宋体" w:hAnsi="宋体" w:eastAsia="宋体" w:cs="宋体"/>
                <w:bCs/>
                <w:sz w:val="24"/>
                <w:szCs w:val="24"/>
              </w:rPr>
            </w:pPr>
            <w:r>
              <w:rPr>
                <w:rFonts w:hint="eastAsia" w:ascii="宋体" w:hAnsi="宋体" w:eastAsia="宋体" w:cs="宋体"/>
                <w:bCs/>
                <w:sz w:val="24"/>
                <w:szCs w:val="24"/>
              </w:rPr>
              <w:t>人员访谈结果记录</w:t>
            </w:r>
          </w:p>
        </w:tc>
      </w:tr>
    </w:tbl>
    <w:p w14:paraId="1165B57F">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4）文档审查</w:t>
      </w:r>
    </w:p>
    <w:p w14:paraId="00E14013">
      <w:pPr>
        <w:spacing w:line="560" w:lineRule="exact"/>
        <w:ind w:firstLine="480"/>
        <w:rPr>
          <w:rFonts w:ascii="宋体" w:hAnsi="宋体" w:eastAsia="宋体" w:cs="宋体"/>
          <w:sz w:val="24"/>
          <w:szCs w:val="24"/>
        </w:rPr>
      </w:pPr>
      <w:r>
        <w:rPr>
          <w:rFonts w:hint="eastAsia" w:ascii="宋体" w:hAnsi="宋体" w:eastAsia="宋体" w:cs="宋体"/>
          <w:sz w:val="24"/>
          <w:szCs w:val="24"/>
        </w:rPr>
        <w:t>检查制度、策略、操作规程、制度执行情况记录等文档（包括安全方针文件、安全管理人员、安全管理的执行过程文档、系统设计方案、网络设备的技术资料、系统和产品的实际配置说明、系统的各种运行记录文档、机房建设相关资料、机房出入记录等过程记录文档）的完整性，以及这些文件之间的内部一致性。</w:t>
      </w:r>
    </w:p>
    <w:p w14:paraId="0112C936">
      <w:pPr>
        <w:keepNext/>
        <w:spacing w:line="560" w:lineRule="exact"/>
        <w:jc w:val="center"/>
        <w:rPr>
          <w:rFonts w:ascii="宋体" w:hAnsi="宋体" w:eastAsia="宋体" w:cs="宋体"/>
          <w:sz w:val="24"/>
          <w:szCs w:val="24"/>
        </w:rPr>
      </w:pPr>
      <w:r>
        <w:rPr>
          <w:rFonts w:hint="eastAsia" w:ascii="宋体" w:hAnsi="宋体" w:eastAsia="宋体" w:cs="宋体"/>
          <w:sz w:val="24"/>
          <w:szCs w:val="24"/>
        </w:rPr>
        <w:t>表5网络安全测评方法-文档审查</w:t>
      </w:r>
    </w:p>
    <w:tbl>
      <w:tblPr>
        <w:tblStyle w:val="9"/>
        <w:tblW w:w="83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55"/>
        <w:gridCol w:w="6747"/>
      </w:tblGrid>
      <w:tr w14:paraId="2542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6D715826">
            <w:pPr>
              <w:spacing w:line="560" w:lineRule="exact"/>
              <w:jc w:val="center"/>
              <w:rPr>
                <w:rFonts w:ascii="宋体" w:hAnsi="宋体" w:eastAsia="宋体" w:cs="宋体"/>
                <w:b/>
                <w:sz w:val="24"/>
                <w:szCs w:val="24"/>
              </w:rPr>
            </w:pPr>
            <w:r>
              <w:rPr>
                <w:rFonts w:hint="eastAsia" w:ascii="宋体" w:hAnsi="宋体" w:eastAsia="宋体" w:cs="宋体"/>
                <w:b/>
                <w:sz w:val="24"/>
                <w:szCs w:val="24"/>
              </w:rPr>
              <w:t>测评方法</w:t>
            </w:r>
          </w:p>
        </w:tc>
        <w:tc>
          <w:tcPr>
            <w:tcW w:w="6747" w:type="dxa"/>
            <w:shd w:val="clear" w:color="auto" w:fill="FFFFFF"/>
            <w:vAlign w:val="center"/>
          </w:tcPr>
          <w:p w14:paraId="0B0B6424">
            <w:pPr>
              <w:spacing w:line="560" w:lineRule="exact"/>
              <w:jc w:val="center"/>
              <w:rPr>
                <w:rFonts w:ascii="宋体" w:hAnsi="宋体" w:eastAsia="宋体" w:cs="宋体"/>
                <w:b/>
                <w:sz w:val="24"/>
                <w:szCs w:val="24"/>
              </w:rPr>
            </w:pPr>
            <w:r>
              <w:rPr>
                <w:rFonts w:hint="eastAsia" w:ascii="宋体" w:hAnsi="宋体" w:eastAsia="宋体" w:cs="宋体"/>
                <w:b/>
                <w:sz w:val="24"/>
                <w:szCs w:val="24"/>
              </w:rPr>
              <w:t>文档审查</w:t>
            </w:r>
          </w:p>
        </w:tc>
      </w:tr>
      <w:tr w14:paraId="1574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41013E54">
            <w:pPr>
              <w:spacing w:line="560" w:lineRule="exact"/>
              <w:jc w:val="center"/>
              <w:rPr>
                <w:rFonts w:ascii="宋体" w:hAnsi="宋体" w:eastAsia="宋体" w:cs="宋体"/>
                <w:b/>
                <w:sz w:val="24"/>
                <w:szCs w:val="24"/>
              </w:rPr>
            </w:pPr>
            <w:r>
              <w:rPr>
                <w:rFonts w:hint="eastAsia" w:ascii="宋体" w:hAnsi="宋体" w:eastAsia="宋体" w:cs="宋体"/>
                <w:b/>
                <w:sz w:val="24"/>
                <w:szCs w:val="24"/>
              </w:rPr>
              <w:t>简要描述</w:t>
            </w:r>
          </w:p>
        </w:tc>
        <w:tc>
          <w:tcPr>
            <w:tcW w:w="6747" w:type="dxa"/>
            <w:shd w:val="clear" w:color="auto" w:fill="FFFFFF"/>
            <w:vAlign w:val="center"/>
          </w:tcPr>
          <w:p w14:paraId="45FA39F8">
            <w:pPr>
              <w:spacing w:line="560" w:lineRule="exact"/>
              <w:rPr>
                <w:rFonts w:ascii="宋体" w:hAnsi="宋体" w:eastAsia="宋体" w:cs="宋体"/>
                <w:bCs/>
                <w:sz w:val="24"/>
                <w:szCs w:val="24"/>
              </w:rPr>
            </w:pPr>
            <w:r>
              <w:rPr>
                <w:rFonts w:hint="eastAsia" w:ascii="宋体" w:hAnsi="宋体" w:eastAsia="宋体" w:cs="宋体"/>
                <w:bCs/>
                <w:sz w:val="24"/>
                <w:szCs w:val="24"/>
              </w:rPr>
              <w:t>通过文档审核与分析，检查制度、策略、操作规程、制度执行情况记录的完整性和内部一致性</w:t>
            </w:r>
          </w:p>
        </w:tc>
      </w:tr>
      <w:tr w14:paraId="0F2A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6467A8A3">
            <w:pPr>
              <w:spacing w:line="560" w:lineRule="exact"/>
              <w:jc w:val="center"/>
              <w:rPr>
                <w:rFonts w:ascii="宋体" w:hAnsi="宋体" w:eastAsia="宋体" w:cs="宋体"/>
                <w:b/>
                <w:sz w:val="24"/>
                <w:szCs w:val="24"/>
              </w:rPr>
            </w:pPr>
            <w:r>
              <w:rPr>
                <w:rFonts w:hint="eastAsia" w:ascii="宋体" w:hAnsi="宋体" w:eastAsia="宋体" w:cs="宋体"/>
                <w:b/>
                <w:sz w:val="24"/>
                <w:szCs w:val="24"/>
              </w:rPr>
              <w:t>达成目标</w:t>
            </w:r>
          </w:p>
        </w:tc>
        <w:tc>
          <w:tcPr>
            <w:tcW w:w="6747" w:type="dxa"/>
            <w:shd w:val="clear" w:color="auto" w:fill="FFFFFF"/>
            <w:vAlign w:val="center"/>
          </w:tcPr>
          <w:p w14:paraId="120D5E45">
            <w:pPr>
              <w:spacing w:line="560" w:lineRule="exact"/>
              <w:rPr>
                <w:rFonts w:ascii="宋体" w:hAnsi="宋体" w:eastAsia="宋体" w:cs="宋体"/>
                <w:bCs/>
                <w:sz w:val="24"/>
                <w:szCs w:val="24"/>
              </w:rPr>
            </w:pPr>
            <w:r>
              <w:rPr>
                <w:rFonts w:hint="eastAsia" w:ascii="宋体" w:hAnsi="宋体" w:eastAsia="宋体" w:cs="宋体"/>
                <w:bCs/>
                <w:sz w:val="24"/>
                <w:szCs w:val="24"/>
              </w:rPr>
              <w:t>发掘技术和管理方面存在的安全问题</w:t>
            </w:r>
          </w:p>
        </w:tc>
      </w:tr>
      <w:tr w14:paraId="1D76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2FBEE6B7">
            <w:pPr>
              <w:spacing w:line="560" w:lineRule="exact"/>
              <w:jc w:val="center"/>
              <w:rPr>
                <w:rFonts w:ascii="宋体" w:hAnsi="宋体" w:eastAsia="宋体" w:cs="宋体"/>
                <w:b/>
                <w:sz w:val="24"/>
                <w:szCs w:val="24"/>
              </w:rPr>
            </w:pPr>
            <w:r>
              <w:rPr>
                <w:rFonts w:hint="eastAsia" w:ascii="宋体" w:hAnsi="宋体" w:eastAsia="宋体" w:cs="宋体"/>
                <w:b/>
                <w:sz w:val="24"/>
                <w:szCs w:val="24"/>
              </w:rPr>
              <w:t>工作条件</w:t>
            </w:r>
          </w:p>
        </w:tc>
        <w:tc>
          <w:tcPr>
            <w:tcW w:w="6747" w:type="dxa"/>
            <w:shd w:val="clear" w:color="auto" w:fill="FFFFFF"/>
            <w:vAlign w:val="center"/>
          </w:tcPr>
          <w:p w14:paraId="54F196D4">
            <w:pPr>
              <w:spacing w:line="560" w:lineRule="exact"/>
              <w:rPr>
                <w:rFonts w:ascii="宋体" w:hAnsi="宋体" w:eastAsia="宋体" w:cs="宋体"/>
                <w:bCs/>
                <w:sz w:val="24"/>
                <w:szCs w:val="24"/>
              </w:rPr>
            </w:pPr>
            <w:r>
              <w:rPr>
                <w:rFonts w:hint="eastAsia" w:ascii="宋体" w:hAnsi="宋体" w:eastAsia="宋体" w:cs="宋体"/>
                <w:bCs/>
                <w:sz w:val="24"/>
                <w:szCs w:val="24"/>
              </w:rPr>
              <w:t>1-2人工作环境，用户、各类文档资料配合</w:t>
            </w:r>
          </w:p>
        </w:tc>
      </w:tr>
      <w:tr w14:paraId="6365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555" w:type="dxa"/>
            <w:shd w:val="clear" w:color="auto" w:fill="E6E6E6"/>
            <w:vAlign w:val="center"/>
          </w:tcPr>
          <w:p w14:paraId="6AFD8149">
            <w:pPr>
              <w:spacing w:line="560" w:lineRule="exact"/>
              <w:jc w:val="center"/>
              <w:rPr>
                <w:rFonts w:ascii="宋体" w:hAnsi="宋体" w:eastAsia="宋体" w:cs="宋体"/>
                <w:b/>
                <w:sz w:val="24"/>
                <w:szCs w:val="24"/>
              </w:rPr>
            </w:pPr>
            <w:r>
              <w:rPr>
                <w:rFonts w:hint="eastAsia" w:ascii="宋体" w:hAnsi="宋体" w:eastAsia="宋体" w:cs="宋体"/>
                <w:b/>
                <w:sz w:val="24"/>
                <w:szCs w:val="24"/>
              </w:rPr>
              <w:t>工作结果</w:t>
            </w:r>
          </w:p>
        </w:tc>
        <w:tc>
          <w:tcPr>
            <w:tcW w:w="6747" w:type="dxa"/>
            <w:shd w:val="clear" w:color="auto" w:fill="FFFFFF"/>
            <w:vAlign w:val="center"/>
          </w:tcPr>
          <w:p w14:paraId="13048A0B">
            <w:pPr>
              <w:spacing w:line="560" w:lineRule="exact"/>
              <w:rPr>
                <w:rFonts w:ascii="宋体" w:hAnsi="宋体" w:eastAsia="宋体" w:cs="宋体"/>
                <w:bCs/>
                <w:sz w:val="24"/>
                <w:szCs w:val="24"/>
              </w:rPr>
            </w:pPr>
            <w:r>
              <w:rPr>
                <w:rFonts w:hint="eastAsia" w:ascii="宋体" w:hAnsi="宋体" w:eastAsia="宋体" w:cs="宋体"/>
                <w:bCs/>
                <w:sz w:val="24"/>
                <w:szCs w:val="24"/>
              </w:rPr>
              <w:t>文档审查结果记录</w:t>
            </w:r>
          </w:p>
        </w:tc>
      </w:tr>
    </w:tbl>
    <w:p w14:paraId="272FCBD7">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5）实地查看</w:t>
      </w:r>
    </w:p>
    <w:p w14:paraId="6EC53A98">
      <w:pPr>
        <w:spacing w:line="560" w:lineRule="exact"/>
        <w:ind w:firstLine="480"/>
        <w:rPr>
          <w:rFonts w:ascii="宋体" w:hAnsi="宋体" w:eastAsia="宋体" w:cs="宋体"/>
          <w:sz w:val="24"/>
          <w:szCs w:val="24"/>
        </w:rPr>
      </w:pPr>
      <w:r>
        <w:rPr>
          <w:rFonts w:hint="eastAsia" w:ascii="宋体" w:hAnsi="宋体" w:eastAsia="宋体" w:cs="宋体"/>
          <w:sz w:val="24"/>
          <w:szCs w:val="24"/>
        </w:rPr>
        <w:t>通过实地的观察人员行为、技术设施和物理环境状况判断人员的安全意识、业务操作、管理程序和系统物理环境等方面的安全情况，测评其是否达到了相应等级的安全要求。</w:t>
      </w:r>
    </w:p>
    <w:p w14:paraId="403137B8">
      <w:pPr>
        <w:keepNext/>
        <w:spacing w:line="560" w:lineRule="exact"/>
        <w:jc w:val="center"/>
        <w:rPr>
          <w:rFonts w:ascii="宋体" w:hAnsi="宋体" w:eastAsia="宋体" w:cs="宋体"/>
          <w:sz w:val="24"/>
          <w:szCs w:val="24"/>
        </w:rPr>
      </w:pPr>
      <w:r>
        <w:rPr>
          <w:rFonts w:hint="eastAsia" w:ascii="宋体" w:hAnsi="宋体" w:eastAsia="宋体" w:cs="宋体"/>
          <w:sz w:val="24"/>
          <w:szCs w:val="24"/>
        </w:rPr>
        <w:t>表6网络安全测评方法-实地查看</w:t>
      </w:r>
    </w:p>
    <w:tbl>
      <w:tblPr>
        <w:tblStyle w:val="9"/>
        <w:tblW w:w="83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7"/>
      </w:tblGrid>
      <w:tr w14:paraId="421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14:paraId="195921B4">
            <w:pPr>
              <w:spacing w:line="560" w:lineRule="exact"/>
              <w:jc w:val="center"/>
              <w:rPr>
                <w:rFonts w:ascii="宋体" w:hAnsi="宋体" w:eastAsia="宋体" w:cs="宋体"/>
                <w:b/>
                <w:sz w:val="24"/>
                <w:szCs w:val="24"/>
              </w:rPr>
            </w:pPr>
            <w:r>
              <w:rPr>
                <w:rFonts w:hint="eastAsia" w:ascii="宋体" w:hAnsi="宋体" w:eastAsia="宋体" w:cs="宋体"/>
                <w:b/>
                <w:sz w:val="24"/>
                <w:szCs w:val="24"/>
              </w:rPr>
              <w:t>项目名称</w:t>
            </w:r>
          </w:p>
        </w:tc>
        <w:tc>
          <w:tcPr>
            <w:tcW w:w="6747" w:type="dxa"/>
            <w:tcBorders>
              <w:top w:val="single" w:color="auto" w:sz="4" w:space="0"/>
              <w:left w:val="single" w:color="auto" w:sz="4" w:space="0"/>
              <w:bottom w:val="single" w:color="auto" w:sz="4" w:space="0"/>
              <w:right w:val="single" w:color="auto" w:sz="4" w:space="0"/>
            </w:tcBorders>
            <w:vAlign w:val="center"/>
          </w:tcPr>
          <w:p w14:paraId="555B7697">
            <w:pPr>
              <w:spacing w:line="560" w:lineRule="exact"/>
              <w:jc w:val="center"/>
              <w:rPr>
                <w:rFonts w:ascii="宋体" w:hAnsi="宋体" w:eastAsia="宋体" w:cs="宋体"/>
                <w:b/>
                <w:sz w:val="24"/>
                <w:szCs w:val="24"/>
              </w:rPr>
            </w:pPr>
            <w:r>
              <w:rPr>
                <w:rFonts w:hint="eastAsia" w:ascii="宋体" w:hAnsi="宋体" w:eastAsia="宋体" w:cs="宋体"/>
                <w:b/>
                <w:sz w:val="24"/>
                <w:szCs w:val="24"/>
              </w:rPr>
              <w:t>实地查看</w:t>
            </w:r>
          </w:p>
        </w:tc>
      </w:tr>
      <w:tr w14:paraId="7DF2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14:paraId="7DD02211">
            <w:pPr>
              <w:spacing w:line="560" w:lineRule="exact"/>
              <w:jc w:val="center"/>
              <w:rPr>
                <w:rFonts w:ascii="宋体" w:hAnsi="宋体" w:eastAsia="宋体" w:cs="宋体"/>
                <w:b/>
                <w:sz w:val="24"/>
                <w:szCs w:val="24"/>
              </w:rPr>
            </w:pPr>
            <w:r>
              <w:rPr>
                <w:rFonts w:hint="eastAsia" w:ascii="宋体" w:hAnsi="宋体" w:eastAsia="宋体" w:cs="宋体"/>
                <w:b/>
                <w:sz w:val="24"/>
                <w:szCs w:val="24"/>
              </w:rPr>
              <w:t>简要描述</w:t>
            </w:r>
          </w:p>
        </w:tc>
        <w:tc>
          <w:tcPr>
            <w:tcW w:w="6747" w:type="dxa"/>
            <w:tcBorders>
              <w:top w:val="single" w:color="auto" w:sz="4" w:space="0"/>
              <w:left w:val="single" w:color="auto" w:sz="4" w:space="0"/>
              <w:bottom w:val="single" w:color="auto" w:sz="4" w:space="0"/>
              <w:right w:val="single" w:color="auto" w:sz="4" w:space="0"/>
            </w:tcBorders>
            <w:vAlign w:val="center"/>
          </w:tcPr>
          <w:p w14:paraId="59E6EB29">
            <w:pPr>
              <w:spacing w:line="560" w:lineRule="exact"/>
              <w:rPr>
                <w:rFonts w:ascii="宋体" w:hAnsi="宋体" w:eastAsia="宋体" w:cs="宋体"/>
                <w:bCs/>
                <w:sz w:val="24"/>
                <w:szCs w:val="24"/>
              </w:rPr>
            </w:pPr>
            <w:r>
              <w:rPr>
                <w:rFonts w:hint="eastAsia" w:ascii="宋体" w:hAnsi="宋体" w:eastAsia="宋体" w:cs="宋体"/>
                <w:bCs/>
                <w:sz w:val="24"/>
                <w:szCs w:val="24"/>
              </w:rPr>
              <w:t>通过现场查看人员行为、技术设施和物理环境状况，检查人员的安全意识、业务操作、管理程序和系统物理环境等方面的安全情况。</w:t>
            </w:r>
          </w:p>
        </w:tc>
      </w:tr>
      <w:tr w14:paraId="35EB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14:paraId="078E5F1D">
            <w:pPr>
              <w:spacing w:line="560" w:lineRule="exact"/>
              <w:jc w:val="center"/>
              <w:rPr>
                <w:rFonts w:ascii="宋体" w:hAnsi="宋体" w:eastAsia="宋体" w:cs="宋体"/>
                <w:b/>
                <w:sz w:val="24"/>
                <w:szCs w:val="24"/>
              </w:rPr>
            </w:pPr>
            <w:r>
              <w:rPr>
                <w:rFonts w:hint="eastAsia" w:ascii="宋体" w:hAnsi="宋体" w:eastAsia="宋体" w:cs="宋体"/>
                <w:b/>
                <w:sz w:val="24"/>
                <w:szCs w:val="24"/>
              </w:rPr>
              <w:t>达成目标</w:t>
            </w:r>
          </w:p>
        </w:tc>
        <w:tc>
          <w:tcPr>
            <w:tcW w:w="6747" w:type="dxa"/>
            <w:tcBorders>
              <w:top w:val="single" w:color="auto" w:sz="4" w:space="0"/>
              <w:left w:val="single" w:color="auto" w:sz="4" w:space="0"/>
              <w:bottom w:val="single" w:color="auto" w:sz="4" w:space="0"/>
              <w:right w:val="single" w:color="auto" w:sz="4" w:space="0"/>
            </w:tcBorders>
            <w:vAlign w:val="center"/>
          </w:tcPr>
          <w:p w14:paraId="268D51C0">
            <w:pPr>
              <w:spacing w:line="560" w:lineRule="exact"/>
              <w:rPr>
                <w:rFonts w:ascii="宋体" w:hAnsi="宋体" w:eastAsia="宋体" w:cs="宋体"/>
                <w:bCs/>
                <w:sz w:val="24"/>
                <w:szCs w:val="24"/>
              </w:rPr>
            </w:pPr>
            <w:r>
              <w:rPr>
                <w:rFonts w:hint="eastAsia" w:ascii="宋体" w:hAnsi="宋体" w:eastAsia="宋体" w:cs="宋体"/>
                <w:bCs/>
                <w:sz w:val="24"/>
                <w:szCs w:val="24"/>
              </w:rPr>
              <w:t>发掘技术和管理方面存在的安全问题</w:t>
            </w:r>
          </w:p>
        </w:tc>
      </w:tr>
      <w:tr w14:paraId="5BA7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14:paraId="0B3154A3">
            <w:pPr>
              <w:spacing w:line="560" w:lineRule="exact"/>
              <w:jc w:val="center"/>
              <w:rPr>
                <w:rFonts w:ascii="宋体" w:hAnsi="宋体" w:eastAsia="宋体" w:cs="宋体"/>
                <w:b/>
                <w:sz w:val="24"/>
                <w:szCs w:val="24"/>
              </w:rPr>
            </w:pPr>
            <w:r>
              <w:rPr>
                <w:rFonts w:hint="eastAsia" w:ascii="宋体" w:hAnsi="宋体" w:eastAsia="宋体" w:cs="宋体"/>
                <w:b/>
                <w:sz w:val="24"/>
                <w:szCs w:val="24"/>
              </w:rPr>
              <w:t>工作条件</w:t>
            </w:r>
          </w:p>
        </w:tc>
        <w:tc>
          <w:tcPr>
            <w:tcW w:w="6747" w:type="dxa"/>
            <w:tcBorders>
              <w:top w:val="single" w:color="auto" w:sz="4" w:space="0"/>
              <w:left w:val="single" w:color="auto" w:sz="4" w:space="0"/>
              <w:bottom w:val="single" w:color="auto" w:sz="4" w:space="0"/>
              <w:right w:val="single" w:color="auto" w:sz="4" w:space="0"/>
            </w:tcBorders>
            <w:vAlign w:val="center"/>
          </w:tcPr>
          <w:p w14:paraId="151D4FAA">
            <w:pPr>
              <w:spacing w:line="560" w:lineRule="exact"/>
              <w:rPr>
                <w:rFonts w:ascii="宋体" w:hAnsi="宋体" w:eastAsia="宋体" w:cs="宋体"/>
                <w:bCs/>
                <w:sz w:val="24"/>
                <w:szCs w:val="24"/>
              </w:rPr>
            </w:pPr>
            <w:r>
              <w:rPr>
                <w:rFonts w:hint="eastAsia" w:ascii="宋体" w:hAnsi="宋体" w:eastAsia="宋体" w:cs="宋体"/>
                <w:bCs/>
                <w:sz w:val="24"/>
                <w:szCs w:val="24"/>
              </w:rPr>
              <w:t>1-2人工作环境，甲方人员配合</w:t>
            </w:r>
          </w:p>
        </w:tc>
      </w:tr>
      <w:tr w14:paraId="36E9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14:paraId="5377922B">
            <w:pPr>
              <w:spacing w:line="560" w:lineRule="exact"/>
              <w:jc w:val="center"/>
              <w:rPr>
                <w:rFonts w:ascii="宋体" w:hAnsi="宋体" w:eastAsia="宋体" w:cs="宋体"/>
                <w:b/>
                <w:sz w:val="24"/>
                <w:szCs w:val="24"/>
              </w:rPr>
            </w:pPr>
            <w:r>
              <w:rPr>
                <w:rFonts w:hint="eastAsia" w:ascii="宋体" w:hAnsi="宋体" w:eastAsia="宋体" w:cs="宋体"/>
                <w:b/>
                <w:sz w:val="24"/>
                <w:szCs w:val="24"/>
              </w:rPr>
              <w:t>工作结果</w:t>
            </w:r>
          </w:p>
        </w:tc>
        <w:tc>
          <w:tcPr>
            <w:tcW w:w="6747" w:type="dxa"/>
            <w:tcBorders>
              <w:top w:val="single" w:color="auto" w:sz="4" w:space="0"/>
              <w:left w:val="single" w:color="auto" w:sz="4" w:space="0"/>
              <w:bottom w:val="single" w:color="auto" w:sz="4" w:space="0"/>
              <w:right w:val="single" w:color="auto" w:sz="4" w:space="0"/>
            </w:tcBorders>
            <w:vAlign w:val="center"/>
          </w:tcPr>
          <w:p w14:paraId="595CE8C3">
            <w:pPr>
              <w:spacing w:line="560" w:lineRule="exact"/>
              <w:rPr>
                <w:rFonts w:ascii="宋体" w:hAnsi="宋体" w:eastAsia="宋体" w:cs="宋体"/>
                <w:bCs/>
                <w:sz w:val="24"/>
                <w:szCs w:val="24"/>
              </w:rPr>
            </w:pPr>
            <w:r>
              <w:rPr>
                <w:rFonts w:hint="eastAsia" w:ascii="宋体" w:hAnsi="宋体" w:eastAsia="宋体" w:cs="宋体"/>
                <w:bCs/>
                <w:sz w:val="24"/>
                <w:szCs w:val="24"/>
              </w:rPr>
              <w:t>实地查看结果记录</w:t>
            </w:r>
          </w:p>
        </w:tc>
      </w:tr>
    </w:tbl>
    <w:p w14:paraId="6302D043">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6）网络安全测评工具</w:t>
      </w:r>
    </w:p>
    <w:p w14:paraId="1BBE9B63">
      <w:pPr>
        <w:spacing w:line="560" w:lineRule="exact"/>
        <w:ind w:firstLine="480"/>
        <w:rPr>
          <w:rFonts w:ascii="宋体" w:hAnsi="宋体" w:eastAsia="宋体" w:cs="宋体"/>
          <w:sz w:val="24"/>
          <w:szCs w:val="24"/>
        </w:rPr>
      </w:pPr>
      <w:r>
        <w:rPr>
          <w:rFonts w:hint="eastAsia" w:ascii="宋体" w:hAnsi="宋体" w:eastAsia="宋体" w:cs="宋体"/>
          <w:sz w:val="24"/>
          <w:szCs w:val="24"/>
        </w:rPr>
        <w:t>在等级保护测评过程中使用的测评工具严格遵循可控性原则，即所有使用的测评工具将事先提交进行检查确认，确保在双方认可的范围之内，而且测评过程中采用的技术手段确保已经过可靠的实际应用。</w:t>
      </w:r>
    </w:p>
    <w:p w14:paraId="79527038">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7）输出文档</w:t>
      </w:r>
    </w:p>
    <w:p w14:paraId="518DF898">
      <w:pPr>
        <w:spacing w:line="560" w:lineRule="exact"/>
        <w:ind w:firstLine="480"/>
        <w:rPr>
          <w:rFonts w:ascii="宋体" w:hAnsi="宋体" w:eastAsia="宋体" w:cs="宋体"/>
          <w:sz w:val="24"/>
          <w:szCs w:val="24"/>
        </w:rPr>
      </w:pPr>
      <w:r>
        <w:rPr>
          <w:rFonts w:hint="eastAsia" w:ascii="宋体" w:hAnsi="宋体" w:eastAsia="宋体" w:cs="宋体"/>
          <w:sz w:val="24"/>
          <w:szCs w:val="24"/>
        </w:rPr>
        <w:t>本项目测评输出的主要输出文档为：</w:t>
      </w:r>
    </w:p>
    <w:p w14:paraId="0C8A452C">
      <w:pPr>
        <w:spacing w:line="560" w:lineRule="exact"/>
        <w:ind w:firstLine="480"/>
        <w:rPr>
          <w:rFonts w:ascii="宋体" w:hAnsi="宋体" w:eastAsia="宋体" w:cs="宋体"/>
          <w:sz w:val="24"/>
          <w:szCs w:val="24"/>
        </w:rPr>
      </w:pPr>
      <w:r>
        <w:rPr>
          <w:rFonts w:hint="eastAsia" w:ascii="宋体" w:hAnsi="宋体" w:eastAsia="宋体" w:cs="宋体"/>
          <w:sz w:val="24"/>
          <w:szCs w:val="24"/>
        </w:rPr>
        <w:t>《等级保护测评实施方案（资产收集、测评表）》</w:t>
      </w:r>
    </w:p>
    <w:p w14:paraId="6E5AD477">
      <w:pPr>
        <w:spacing w:line="560" w:lineRule="exact"/>
        <w:ind w:firstLine="480"/>
        <w:rPr>
          <w:rFonts w:ascii="宋体" w:hAnsi="宋体" w:eastAsia="宋体" w:cs="宋体"/>
          <w:sz w:val="24"/>
          <w:szCs w:val="24"/>
        </w:rPr>
      </w:pPr>
      <w:r>
        <w:rPr>
          <w:rFonts w:hint="eastAsia" w:ascii="宋体" w:hAnsi="宋体" w:eastAsia="宋体" w:cs="宋体"/>
          <w:sz w:val="24"/>
          <w:szCs w:val="24"/>
        </w:rPr>
        <w:t>《等级保护测评差距分析报告》</w:t>
      </w:r>
    </w:p>
    <w:p w14:paraId="09A6DCD9">
      <w:pPr>
        <w:spacing w:line="560" w:lineRule="exact"/>
        <w:ind w:firstLine="480"/>
        <w:rPr>
          <w:rFonts w:ascii="宋体" w:hAnsi="宋体" w:eastAsia="宋体" w:cs="宋体"/>
          <w:sz w:val="24"/>
          <w:szCs w:val="24"/>
        </w:rPr>
      </w:pPr>
      <w:r>
        <w:rPr>
          <w:rFonts w:hint="eastAsia" w:ascii="宋体" w:hAnsi="宋体" w:eastAsia="宋体" w:cs="宋体"/>
          <w:sz w:val="24"/>
          <w:szCs w:val="24"/>
        </w:rPr>
        <w:t>《等级保护测评安全整改方案》</w:t>
      </w:r>
    </w:p>
    <w:p w14:paraId="78537D32">
      <w:pPr>
        <w:spacing w:line="560" w:lineRule="exact"/>
        <w:ind w:firstLine="480"/>
        <w:rPr>
          <w:rFonts w:ascii="宋体" w:hAnsi="宋体" w:eastAsia="宋体" w:cs="宋体"/>
          <w:sz w:val="24"/>
          <w:szCs w:val="24"/>
        </w:rPr>
      </w:pPr>
      <w:r>
        <w:rPr>
          <w:rFonts w:hint="eastAsia" w:ascii="宋体" w:hAnsi="宋体" w:eastAsia="宋体" w:cs="宋体"/>
          <w:sz w:val="24"/>
          <w:szCs w:val="24"/>
        </w:rPr>
        <w:t>《等级保护测评安全整改报告》</w:t>
      </w:r>
    </w:p>
    <w:p w14:paraId="585A0A9C">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8）时间安排</w:t>
      </w:r>
    </w:p>
    <w:p w14:paraId="29C26C9E">
      <w:pPr>
        <w:keepNext/>
        <w:spacing w:line="560" w:lineRule="exact"/>
        <w:jc w:val="center"/>
        <w:rPr>
          <w:rFonts w:ascii="宋体" w:hAnsi="宋体" w:eastAsia="宋体" w:cs="宋体"/>
          <w:sz w:val="24"/>
          <w:szCs w:val="24"/>
        </w:rPr>
      </w:pPr>
      <w:r>
        <w:rPr>
          <w:rFonts w:hint="eastAsia" w:ascii="宋体" w:hAnsi="宋体" w:eastAsia="宋体" w:cs="宋体"/>
          <w:sz w:val="24"/>
          <w:szCs w:val="24"/>
        </w:rPr>
        <w:t>表7网络安全测评时间安排</w:t>
      </w:r>
    </w:p>
    <w:tbl>
      <w:tblPr>
        <w:tblStyle w:val="9"/>
        <w:tblW w:w="8508" w:type="dxa"/>
        <w:jc w:val="center"/>
        <w:tblLayout w:type="fixed"/>
        <w:tblCellMar>
          <w:top w:w="0" w:type="dxa"/>
          <w:left w:w="108" w:type="dxa"/>
          <w:bottom w:w="0" w:type="dxa"/>
          <w:right w:w="108" w:type="dxa"/>
        </w:tblCellMar>
      </w:tblPr>
      <w:tblGrid>
        <w:gridCol w:w="846"/>
        <w:gridCol w:w="1984"/>
        <w:gridCol w:w="3261"/>
        <w:gridCol w:w="2417"/>
      </w:tblGrid>
      <w:tr w14:paraId="57AFC8D3">
        <w:tblPrEx>
          <w:tblCellMar>
            <w:top w:w="0" w:type="dxa"/>
            <w:left w:w="108" w:type="dxa"/>
            <w:bottom w:w="0" w:type="dxa"/>
            <w:right w:w="108" w:type="dxa"/>
          </w:tblCellMar>
        </w:tblPrEx>
        <w:trPr>
          <w:trHeight w:val="573" w:hRule="atLeast"/>
          <w:jc w:val="center"/>
        </w:trPr>
        <w:tc>
          <w:tcPr>
            <w:tcW w:w="846" w:type="dxa"/>
            <w:tcBorders>
              <w:top w:val="single" w:color="auto" w:sz="4" w:space="0"/>
              <w:left w:val="single" w:color="auto" w:sz="4" w:space="0"/>
              <w:bottom w:val="single" w:color="auto" w:sz="4" w:space="0"/>
              <w:right w:val="single" w:color="auto" w:sz="4" w:space="0"/>
            </w:tcBorders>
            <w:shd w:val="clear" w:color="000000" w:fill="DFE3E8"/>
            <w:vAlign w:val="center"/>
          </w:tcPr>
          <w:p w14:paraId="3803C50E">
            <w:pPr>
              <w:spacing w:line="560" w:lineRule="exact"/>
              <w:jc w:val="center"/>
              <w:rPr>
                <w:rFonts w:ascii="宋体" w:hAnsi="宋体" w:eastAsia="宋体" w:cs="宋体"/>
                <w:b/>
                <w:sz w:val="24"/>
                <w:szCs w:val="24"/>
                <w:lang w:eastAsia="en-US"/>
              </w:rPr>
            </w:pPr>
            <w:r>
              <w:rPr>
                <w:rFonts w:hint="eastAsia" w:ascii="宋体" w:hAnsi="宋体" w:eastAsia="宋体" w:cs="宋体"/>
                <w:b/>
                <w:sz w:val="24"/>
                <w:szCs w:val="24"/>
              </w:rPr>
              <w:t>序号</w:t>
            </w:r>
          </w:p>
        </w:tc>
        <w:tc>
          <w:tcPr>
            <w:tcW w:w="1984" w:type="dxa"/>
            <w:tcBorders>
              <w:top w:val="single" w:color="auto" w:sz="4" w:space="0"/>
              <w:left w:val="nil"/>
              <w:bottom w:val="single" w:color="auto" w:sz="4" w:space="0"/>
              <w:right w:val="single" w:color="auto" w:sz="4" w:space="0"/>
            </w:tcBorders>
            <w:shd w:val="clear" w:color="000000" w:fill="DFE3E8"/>
            <w:vAlign w:val="center"/>
          </w:tcPr>
          <w:p w14:paraId="18305539">
            <w:pPr>
              <w:spacing w:line="560" w:lineRule="exact"/>
              <w:jc w:val="center"/>
              <w:rPr>
                <w:rFonts w:ascii="宋体" w:hAnsi="宋体" w:eastAsia="宋体" w:cs="宋体"/>
                <w:b/>
                <w:sz w:val="24"/>
                <w:szCs w:val="24"/>
                <w:lang w:eastAsia="en-US"/>
              </w:rPr>
            </w:pPr>
            <w:r>
              <w:rPr>
                <w:rFonts w:hint="eastAsia" w:ascii="宋体" w:hAnsi="宋体" w:eastAsia="宋体" w:cs="宋体"/>
                <w:b/>
                <w:sz w:val="24"/>
                <w:szCs w:val="24"/>
              </w:rPr>
              <w:t>任务名称</w:t>
            </w:r>
          </w:p>
        </w:tc>
        <w:tc>
          <w:tcPr>
            <w:tcW w:w="3261" w:type="dxa"/>
            <w:tcBorders>
              <w:top w:val="single" w:color="auto" w:sz="4" w:space="0"/>
              <w:left w:val="nil"/>
              <w:bottom w:val="single" w:color="auto" w:sz="4" w:space="0"/>
              <w:right w:val="single" w:color="auto" w:sz="4" w:space="0"/>
            </w:tcBorders>
            <w:shd w:val="clear" w:color="000000" w:fill="DFE3E8"/>
            <w:vAlign w:val="center"/>
          </w:tcPr>
          <w:p w14:paraId="70C547E2">
            <w:pPr>
              <w:spacing w:line="560" w:lineRule="exact"/>
              <w:jc w:val="center"/>
              <w:rPr>
                <w:rFonts w:ascii="宋体" w:hAnsi="宋体" w:eastAsia="宋体" w:cs="宋体"/>
                <w:b/>
                <w:sz w:val="24"/>
                <w:szCs w:val="24"/>
                <w:lang w:eastAsia="en-US"/>
              </w:rPr>
            </w:pPr>
            <w:r>
              <w:rPr>
                <w:rFonts w:hint="eastAsia" w:ascii="宋体" w:hAnsi="宋体" w:eastAsia="宋体" w:cs="宋体"/>
                <w:b/>
                <w:sz w:val="24"/>
                <w:szCs w:val="24"/>
              </w:rPr>
              <w:t>工作内容</w:t>
            </w:r>
          </w:p>
        </w:tc>
        <w:tc>
          <w:tcPr>
            <w:tcW w:w="2417" w:type="dxa"/>
            <w:tcBorders>
              <w:top w:val="single" w:color="auto" w:sz="4" w:space="0"/>
              <w:left w:val="nil"/>
              <w:bottom w:val="single" w:color="auto" w:sz="4" w:space="0"/>
              <w:right w:val="single" w:color="auto" w:sz="4" w:space="0"/>
            </w:tcBorders>
            <w:shd w:val="clear" w:color="000000" w:fill="DFE3E8"/>
            <w:vAlign w:val="center"/>
          </w:tcPr>
          <w:p w14:paraId="5DD4D5B1">
            <w:pPr>
              <w:spacing w:line="560" w:lineRule="exact"/>
              <w:jc w:val="center"/>
              <w:rPr>
                <w:rFonts w:ascii="宋体" w:hAnsi="宋体" w:eastAsia="宋体" w:cs="宋体"/>
                <w:b/>
                <w:sz w:val="24"/>
                <w:szCs w:val="24"/>
                <w:lang w:eastAsia="en-US"/>
              </w:rPr>
            </w:pPr>
            <w:r>
              <w:rPr>
                <w:rFonts w:hint="eastAsia" w:ascii="宋体" w:hAnsi="宋体" w:eastAsia="宋体" w:cs="宋体"/>
                <w:b/>
                <w:sz w:val="24"/>
                <w:szCs w:val="24"/>
              </w:rPr>
              <w:t>阶段完成标志</w:t>
            </w:r>
          </w:p>
        </w:tc>
      </w:tr>
      <w:tr w14:paraId="77FE8DA9">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64ADD243">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1</w:t>
            </w:r>
          </w:p>
        </w:tc>
        <w:tc>
          <w:tcPr>
            <w:tcW w:w="1984" w:type="dxa"/>
            <w:vMerge w:val="restart"/>
            <w:tcBorders>
              <w:top w:val="nil"/>
              <w:left w:val="single" w:color="auto" w:sz="4" w:space="0"/>
              <w:bottom w:val="single" w:color="auto" w:sz="4" w:space="0"/>
              <w:right w:val="single" w:color="auto" w:sz="4" w:space="0"/>
            </w:tcBorders>
            <w:vAlign w:val="center"/>
          </w:tcPr>
          <w:p w14:paraId="168AA836">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项目准备阶段</w:t>
            </w:r>
          </w:p>
        </w:tc>
        <w:tc>
          <w:tcPr>
            <w:tcW w:w="3261" w:type="dxa"/>
            <w:tcBorders>
              <w:top w:val="nil"/>
              <w:left w:val="nil"/>
              <w:bottom w:val="single" w:color="auto" w:sz="4" w:space="0"/>
              <w:right w:val="single" w:color="auto" w:sz="4" w:space="0"/>
            </w:tcBorders>
            <w:vAlign w:val="center"/>
          </w:tcPr>
          <w:p w14:paraId="61237A7C">
            <w:pPr>
              <w:spacing w:line="560" w:lineRule="exact"/>
              <w:rPr>
                <w:rFonts w:ascii="宋体" w:hAnsi="宋体" w:eastAsia="宋体" w:cs="宋体"/>
                <w:bCs/>
                <w:sz w:val="24"/>
                <w:szCs w:val="24"/>
                <w:lang w:eastAsia="en-US"/>
              </w:rPr>
            </w:pPr>
            <w:r>
              <w:rPr>
                <w:rFonts w:hint="eastAsia" w:ascii="宋体" w:hAnsi="宋体" w:eastAsia="宋体" w:cs="宋体"/>
                <w:bCs/>
                <w:sz w:val="24"/>
                <w:szCs w:val="24"/>
              </w:rPr>
              <w:t>编制实施方案</w:t>
            </w:r>
          </w:p>
        </w:tc>
        <w:tc>
          <w:tcPr>
            <w:tcW w:w="2417" w:type="dxa"/>
            <w:tcBorders>
              <w:top w:val="nil"/>
              <w:left w:val="nil"/>
              <w:bottom w:val="single" w:color="auto" w:sz="4" w:space="0"/>
              <w:right w:val="single" w:color="auto" w:sz="4" w:space="0"/>
            </w:tcBorders>
            <w:vAlign w:val="center"/>
          </w:tcPr>
          <w:p w14:paraId="43B5E837">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《实施方案》</w:t>
            </w:r>
          </w:p>
        </w:tc>
      </w:tr>
      <w:tr w14:paraId="407150C1">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24D02438">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2</w:t>
            </w:r>
          </w:p>
        </w:tc>
        <w:tc>
          <w:tcPr>
            <w:tcW w:w="1984" w:type="dxa"/>
            <w:vMerge w:val="continue"/>
            <w:tcBorders>
              <w:top w:val="nil"/>
              <w:left w:val="single" w:color="auto" w:sz="4" w:space="0"/>
              <w:bottom w:val="single" w:color="auto" w:sz="4" w:space="0"/>
              <w:right w:val="single" w:color="auto" w:sz="4" w:space="0"/>
            </w:tcBorders>
            <w:vAlign w:val="center"/>
          </w:tcPr>
          <w:p w14:paraId="34FF67B3">
            <w:pPr>
              <w:spacing w:line="560" w:lineRule="exact"/>
              <w:jc w:val="center"/>
              <w:rPr>
                <w:rFonts w:ascii="宋体" w:hAnsi="宋体" w:eastAsia="宋体" w:cs="宋体"/>
                <w:bCs/>
                <w:sz w:val="24"/>
                <w:szCs w:val="24"/>
                <w:lang w:eastAsia="en-US"/>
              </w:rPr>
            </w:pPr>
          </w:p>
        </w:tc>
        <w:tc>
          <w:tcPr>
            <w:tcW w:w="3261" w:type="dxa"/>
            <w:tcBorders>
              <w:top w:val="nil"/>
              <w:left w:val="nil"/>
              <w:bottom w:val="single" w:color="auto" w:sz="4" w:space="0"/>
              <w:right w:val="single" w:color="auto" w:sz="4" w:space="0"/>
            </w:tcBorders>
            <w:vAlign w:val="center"/>
          </w:tcPr>
          <w:p w14:paraId="5A05CDDD">
            <w:pPr>
              <w:spacing w:line="560" w:lineRule="exact"/>
              <w:rPr>
                <w:rFonts w:ascii="宋体" w:hAnsi="宋体" w:eastAsia="宋体" w:cs="宋体"/>
                <w:bCs/>
                <w:sz w:val="24"/>
                <w:szCs w:val="24"/>
                <w:lang w:eastAsia="en-US"/>
              </w:rPr>
            </w:pPr>
            <w:r>
              <w:rPr>
                <w:rFonts w:hint="eastAsia" w:ascii="宋体" w:hAnsi="宋体" w:eastAsia="宋体" w:cs="宋体"/>
                <w:bCs/>
                <w:sz w:val="24"/>
                <w:szCs w:val="24"/>
              </w:rPr>
              <w:t>编制资产收集</w:t>
            </w:r>
          </w:p>
        </w:tc>
        <w:tc>
          <w:tcPr>
            <w:tcW w:w="2417" w:type="dxa"/>
            <w:tcBorders>
              <w:top w:val="nil"/>
              <w:left w:val="nil"/>
              <w:bottom w:val="single" w:color="auto" w:sz="4" w:space="0"/>
              <w:right w:val="single" w:color="auto" w:sz="4" w:space="0"/>
            </w:tcBorders>
            <w:vAlign w:val="center"/>
          </w:tcPr>
          <w:p w14:paraId="1B6B5A88">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资产收集表</w:t>
            </w:r>
          </w:p>
        </w:tc>
      </w:tr>
      <w:tr w14:paraId="155C3267">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28FAACE1">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3</w:t>
            </w:r>
          </w:p>
        </w:tc>
        <w:tc>
          <w:tcPr>
            <w:tcW w:w="1984" w:type="dxa"/>
            <w:vMerge w:val="continue"/>
            <w:tcBorders>
              <w:top w:val="nil"/>
              <w:left w:val="single" w:color="auto" w:sz="4" w:space="0"/>
              <w:bottom w:val="single" w:color="auto" w:sz="4" w:space="0"/>
              <w:right w:val="single" w:color="auto" w:sz="4" w:space="0"/>
            </w:tcBorders>
            <w:vAlign w:val="center"/>
          </w:tcPr>
          <w:p w14:paraId="0949A792">
            <w:pPr>
              <w:spacing w:line="560" w:lineRule="exact"/>
              <w:jc w:val="center"/>
              <w:rPr>
                <w:rFonts w:ascii="宋体" w:hAnsi="宋体" w:eastAsia="宋体" w:cs="宋体"/>
                <w:bCs/>
                <w:sz w:val="24"/>
                <w:szCs w:val="24"/>
                <w:lang w:eastAsia="en-US"/>
              </w:rPr>
            </w:pPr>
          </w:p>
        </w:tc>
        <w:tc>
          <w:tcPr>
            <w:tcW w:w="3261" w:type="dxa"/>
            <w:tcBorders>
              <w:top w:val="nil"/>
              <w:left w:val="nil"/>
              <w:bottom w:val="single" w:color="auto" w:sz="4" w:space="0"/>
              <w:right w:val="single" w:color="auto" w:sz="4" w:space="0"/>
            </w:tcBorders>
            <w:vAlign w:val="center"/>
          </w:tcPr>
          <w:p w14:paraId="2597DC41">
            <w:pPr>
              <w:spacing w:line="560" w:lineRule="exact"/>
              <w:rPr>
                <w:rFonts w:ascii="宋体" w:hAnsi="宋体" w:eastAsia="宋体" w:cs="宋体"/>
                <w:bCs/>
                <w:sz w:val="24"/>
                <w:szCs w:val="24"/>
                <w:lang w:eastAsia="en-US"/>
              </w:rPr>
            </w:pPr>
            <w:r>
              <w:rPr>
                <w:rFonts w:hint="eastAsia" w:ascii="宋体" w:hAnsi="宋体" w:eastAsia="宋体" w:cs="宋体"/>
                <w:bCs/>
                <w:sz w:val="24"/>
                <w:szCs w:val="24"/>
              </w:rPr>
              <w:t>编制测评表</w:t>
            </w:r>
          </w:p>
        </w:tc>
        <w:tc>
          <w:tcPr>
            <w:tcW w:w="2417" w:type="dxa"/>
            <w:tcBorders>
              <w:top w:val="nil"/>
              <w:left w:val="nil"/>
              <w:bottom w:val="single" w:color="auto" w:sz="4" w:space="0"/>
              <w:right w:val="single" w:color="auto" w:sz="4" w:space="0"/>
            </w:tcBorders>
            <w:vAlign w:val="center"/>
          </w:tcPr>
          <w:p w14:paraId="0A6FE326">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测评表</w:t>
            </w:r>
          </w:p>
        </w:tc>
      </w:tr>
      <w:tr w14:paraId="728A0EC5">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2CA87319">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4</w:t>
            </w:r>
          </w:p>
        </w:tc>
        <w:tc>
          <w:tcPr>
            <w:tcW w:w="1984" w:type="dxa"/>
            <w:tcBorders>
              <w:top w:val="nil"/>
              <w:left w:val="nil"/>
              <w:bottom w:val="single" w:color="auto" w:sz="4" w:space="0"/>
              <w:right w:val="single" w:color="auto" w:sz="4" w:space="0"/>
            </w:tcBorders>
            <w:vAlign w:val="center"/>
          </w:tcPr>
          <w:p w14:paraId="1391FD63">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前期调研</w:t>
            </w:r>
          </w:p>
        </w:tc>
        <w:tc>
          <w:tcPr>
            <w:tcW w:w="3261" w:type="dxa"/>
            <w:tcBorders>
              <w:top w:val="nil"/>
              <w:left w:val="nil"/>
              <w:bottom w:val="single" w:color="auto" w:sz="4" w:space="0"/>
              <w:right w:val="single" w:color="auto" w:sz="4" w:space="0"/>
            </w:tcBorders>
            <w:vAlign w:val="center"/>
          </w:tcPr>
          <w:p w14:paraId="6B81EBFD">
            <w:pPr>
              <w:spacing w:line="560" w:lineRule="exact"/>
              <w:rPr>
                <w:rFonts w:ascii="宋体" w:hAnsi="宋体" w:eastAsia="宋体" w:cs="宋体"/>
                <w:bCs/>
                <w:sz w:val="24"/>
                <w:szCs w:val="24"/>
                <w:lang w:eastAsia="en-US"/>
              </w:rPr>
            </w:pPr>
            <w:r>
              <w:rPr>
                <w:rFonts w:hint="eastAsia" w:ascii="宋体" w:hAnsi="宋体" w:eastAsia="宋体" w:cs="宋体"/>
                <w:bCs/>
                <w:sz w:val="24"/>
                <w:szCs w:val="24"/>
              </w:rPr>
              <w:t>资产收集</w:t>
            </w:r>
          </w:p>
        </w:tc>
        <w:tc>
          <w:tcPr>
            <w:tcW w:w="2417" w:type="dxa"/>
            <w:tcBorders>
              <w:top w:val="nil"/>
              <w:left w:val="nil"/>
              <w:bottom w:val="single" w:color="auto" w:sz="4" w:space="0"/>
              <w:right w:val="single" w:color="auto" w:sz="4" w:space="0"/>
            </w:tcBorders>
            <w:vAlign w:val="center"/>
          </w:tcPr>
          <w:p w14:paraId="5918C08E">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完成</w:t>
            </w:r>
          </w:p>
          <w:p w14:paraId="48030381">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资产收集表</w:t>
            </w:r>
          </w:p>
        </w:tc>
      </w:tr>
      <w:tr w14:paraId="06AFD691">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69A4F18B">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5</w:t>
            </w:r>
          </w:p>
        </w:tc>
        <w:tc>
          <w:tcPr>
            <w:tcW w:w="1984" w:type="dxa"/>
            <w:tcBorders>
              <w:top w:val="nil"/>
              <w:left w:val="nil"/>
              <w:bottom w:val="single" w:color="auto" w:sz="4" w:space="0"/>
              <w:right w:val="single" w:color="auto" w:sz="4" w:space="0"/>
            </w:tcBorders>
            <w:vAlign w:val="center"/>
          </w:tcPr>
          <w:p w14:paraId="2E2F8BCC">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差距测评</w:t>
            </w:r>
          </w:p>
        </w:tc>
        <w:tc>
          <w:tcPr>
            <w:tcW w:w="3261" w:type="dxa"/>
            <w:tcBorders>
              <w:top w:val="nil"/>
              <w:left w:val="nil"/>
              <w:bottom w:val="single" w:color="auto" w:sz="4" w:space="0"/>
              <w:right w:val="single" w:color="auto" w:sz="4" w:space="0"/>
            </w:tcBorders>
            <w:vAlign w:val="center"/>
          </w:tcPr>
          <w:p w14:paraId="52F3905E">
            <w:pPr>
              <w:spacing w:line="560" w:lineRule="exact"/>
              <w:rPr>
                <w:rFonts w:ascii="宋体" w:hAnsi="宋体" w:eastAsia="宋体" w:cs="宋体"/>
                <w:bCs/>
                <w:sz w:val="24"/>
                <w:szCs w:val="24"/>
                <w:lang w:eastAsia="en-US"/>
              </w:rPr>
            </w:pPr>
            <w:r>
              <w:rPr>
                <w:rFonts w:hint="eastAsia" w:ascii="宋体" w:hAnsi="宋体" w:eastAsia="宋体" w:cs="宋体"/>
                <w:bCs/>
                <w:sz w:val="24"/>
                <w:szCs w:val="24"/>
              </w:rPr>
              <w:t>技术和管理单项测评</w:t>
            </w:r>
          </w:p>
        </w:tc>
        <w:tc>
          <w:tcPr>
            <w:tcW w:w="2417" w:type="dxa"/>
            <w:tcBorders>
              <w:top w:val="nil"/>
              <w:left w:val="nil"/>
              <w:bottom w:val="single" w:color="auto" w:sz="4" w:space="0"/>
              <w:right w:val="single" w:color="auto" w:sz="4" w:space="0"/>
            </w:tcBorders>
            <w:vAlign w:val="center"/>
          </w:tcPr>
          <w:p w14:paraId="54CDE59F">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完成信息</w:t>
            </w:r>
          </w:p>
          <w:p w14:paraId="78D94D68">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系统测评表</w:t>
            </w:r>
          </w:p>
        </w:tc>
      </w:tr>
      <w:tr w14:paraId="0A59FF2A">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2584FD34">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6</w:t>
            </w:r>
          </w:p>
        </w:tc>
        <w:tc>
          <w:tcPr>
            <w:tcW w:w="1984" w:type="dxa"/>
            <w:tcBorders>
              <w:top w:val="nil"/>
              <w:left w:val="nil"/>
              <w:bottom w:val="single" w:color="auto" w:sz="4" w:space="0"/>
              <w:right w:val="single" w:color="auto" w:sz="4" w:space="0"/>
            </w:tcBorders>
            <w:vAlign w:val="center"/>
          </w:tcPr>
          <w:p w14:paraId="37E63BC5">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差距测评报告编制</w:t>
            </w:r>
          </w:p>
        </w:tc>
        <w:tc>
          <w:tcPr>
            <w:tcW w:w="3261" w:type="dxa"/>
            <w:tcBorders>
              <w:top w:val="nil"/>
              <w:left w:val="nil"/>
              <w:bottom w:val="single" w:color="auto" w:sz="4" w:space="0"/>
              <w:right w:val="single" w:color="auto" w:sz="4" w:space="0"/>
            </w:tcBorders>
            <w:vAlign w:val="center"/>
          </w:tcPr>
          <w:p w14:paraId="4213CF92">
            <w:pPr>
              <w:spacing w:line="560" w:lineRule="exact"/>
              <w:rPr>
                <w:rFonts w:ascii="宋体" w:hAnsi="宋体" w:eastAsia="宋体" w:cs="宋体"/>
                <w:bCs/>
                <w:sz w:val="24"/>
                <w:szCs w:val="24"/>
              </w:rPr>
            </w:pPr>
            <w:r>
              <w:rPr>
                <w:rFonts w:hint="eastAsia" w:ascii="宋体" w:hAnsi="宋体" w:eastAsia="宋体" w:cs="宋体"/>
                <w:bCs/>
                <w:sz w:val="24"/>
                <w:szCs w:val="24"/>
              </w:rPr>
              <w:t>单元测评、整体测评、</w:t>
            </w:r>
            <w:r>
              <w:rPr>
                <w:rFonts w:hint="eastAsia" w:ascii="宋体" w:hAnsi="宋体" w:eastAsia="宋体" w:cs="宋体"/>
                <w:bCs/>
                <w:sz w:val="24"/>
                <w:szCs w:val="24"/>
              </w:rPr>
              <w:cr/>
            </w:r>
            <w:r>
              <w:rPr>
                <w:rFonts w:hint="eastAsia" w:ascii="宋体" w:hAnsi="宋体" w:eastAsia="宋体" w:cs="宋体"/>
                <w:bCs/>
                <w:sz w:val="24"/>
                <w:szCs w:val="24"/>
              </w:rPr>
              <w:t>风险分析、报告编制</w:t>
            </w:r>
          </w:p>
        </w:tc>
        <w:tc>
          <w:tcPr>
            <w:tcW w:w="2417" w:type="dxa"/>
            <w:tcBorders>
              <w:top w:val="nil"/>
              <w:left w:val="nil"/>
              <w:bottom w:val="single" w:color="auto" w:sz="4" w:space="0"/>
              <w:right w:val="single" w:color="auto" w:sz="4" w:space="0"/>
            </w:tcBorders>
            <w:vAlign w:val="center"/>
          </w:tcPr>
          <w:p w14:paraId="26299D2D">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《差距测评报告》</w:t>
            </w:r>
          </w:p>
        </w:tc>
      </w:tr>
      <w:tr w14:paraId="1EDC37DF">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0A9F9945">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7</w:t>
            </w:r>
          </w:p>
        </w:tc>
        <w:tc>
          <w:tcPr>
            <w:tcW w:w="1984" w:type="dxa"/>
            <w:tcBorders>
              <w:top w:val="nil"/>
              <w:left w:val="nil"/>
              <w:bottom w:val="single" w:color="auto" w:sz="4" w:space="0"/>
              <w:right w:val="single" w:color="auto" w:sz="4" w:space="0"/>
            </w:tcBorders>
            <w:vAlign w:val="center"/>
          </w:tcPr>
          <w:p w14:paraId="595C654E">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安全整改建议</w:t>
            </w:r>
          </w:p>
        </w:tc>
        <w:tc>
          <w:tcPr>
            <w:tcW w:w="3261" w:type="dxa"/>
            <w:tcBorders>
              <w:top w:val="nil"/>
              <w:left w:val="nil"/>
              <w:bottom w:val="single" w:color="auto" w:sz="4" w:space="0"/>
              <w:right w:val="single" w:color="auto" w:sz="4" w:space="0"/>
            </w:tcBorders>
            <w:vAlign w:val="center"/>
          </w:tcPr>
          <w:p w14:paraId="28678511">
            <w:pPr>
              <w:spacing w:line="560" w:lineRule="exact"/>
              <w:rPr>
                <w:rFonts w:ascii="宋体" w:hAnsi="宋体" w:eastAsia="宋体" w:cs="宋体"/>
                <w:bCs/>
                <w:sz w:val="24"/>
                <w:szCs w:val="24"/>
              </w:rPr>
            </w:pPr>
            <w:r>
              <w:rPr>
                <w:rFonts w:hint="eastAsia" w:ascii="宋体" w:hAnsi="宋体" w:eastAsia="宋体" w:cs="宋体"/>
                <w:bCs/>
                <w:sz w:val="24"/>
                <w:szCs w:val="24"/>
              </w:rPr>
              <w:t>对部分风险较高的</w:t>
            </w:r>
            <w:r>
              <w:rPr>
                <w:rFonts w:hint="eastAsia" w:ascii="宋体" w:hAnsi="宋体" w:eastAsia="宋体" w:cs="宋体"/>
                <w:bCs/>
                <w:sz w:val="24"/>
                <w:szCs w:val="24"/>
              </w:rPr>
              <w:cr/>
            </w:r>
            <w:r>
              <w:rPr>
                <w:rFonts w:hint="eastAsia" w:ascii="宋体" w:hAnsi="宋体" w:eastAsia="宋体" w:cs="宋体"/>
                <w:bCs/>
                <w:sz w:val="24"/>
                <w:szCs w:val="24"/>
              </w:rPr>
              <w:t>不符合项给出整改报告</w:t>
            </w:r>
          </w:p>
        </w:tc>
        <w:tc>
          <w:tcPr>
            <w:tcW w:w="2417" w:type="dxa"/>
            <w:tcBorders>
              <w:top w:val="nil"/>
              <w:left w:val="nil"/>
              <w:bottom w:val="single" w:color="auto" w:sz="4" w:space="0"/>
              <w:right w:val="single" w:color="auto" w:sz="4" w:space="0"/>
            </w:tcBorders>
            <w:vAlign w:val="center"/>
          </w:tcPr>
          <w:p w14:paraId="4CE11151">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《整改方案》</w:t>
            </w:r>
          </w:p>
        </w:tc>
      </w:tr>
      <w:tr w14:paraId="7768B4FB">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52A6988B">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8</w:t>
            </w:r>
          </w:p>
        </w:tc>
        <w:tc>
          <w:tcPr>
            <w:tcW w:w="1984" w:type="dxa"/>
            <w:tcBorders>
              <w:top w:val="nil"/>
              <w:left w:val="nil"/>
              <w:bottom w:val="single" w:color="auto" w:sz="4" w:space="0"/>
              <w:right w:val="single" w:color="auto" w:sz="4" w:space="0"/>
            </w:tcBorders>
            <w:vAlign w:val="center"/>
          </w:tcPr>
          <w:p w14:paraId="072CAFF1">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安全加固与检查</w:t>
            </w:r>
          </w:p>
        </w:tc>
        <w:tc>
          <w:tcPr>
            <w:tcW w:w="3261" w:type="dxa"/>
            <w:tcBorders>
              <w:top w:val="nil"/>
              <w:left w:val="nil"/>
              <w:bottom w:val="single" w:color="auto" w:sz="4" w:space="0"/>
              <w:right w:val="single" w:color="auto" w:sz="4" w:space="0"/>
            </w:tcBorders>
            <w:vAlign w:val="center"/>
          </w:tcPr>
          <w:p w14:paraId="1FA54CF0">
            <w:pPr>
              <w:spacing w:line="560" w:lineRule="exact"/>
              <w:rPr>
                <w:rFonts w:ascii="宋体" w:hAnsi="宋体" w:eastAsia="宋体" w:cs="宋体"/>
                <w:bCs/>
                <w:sz w:val="24"/>
                <w:szCs w:val="24"/>
              </w:rPr>
            </w:pPr>
            <w:r>
              <w:rPr>
                <w:rFonts w:hint="eastAsia" w:ascii="宋体" w:hAnsi="宋体" w:eastAsia="宋体" w:cs="宋体"/>
                <w:bCs/>
                <w:sz w:val="24"/>
                <w:szCs w:val="24"/>
              </w:rPr>
              <w:t>对整改部分内容进行复检</w:t>
            </w:r>
          </w:p>
        </w:tc>
        <w:tc>
          <w:tcPr>
            <w:tcW w:w="2417" w:type="dxa"/>
            <w:tcBorders>
              <w:top w:val="nil"/>
              <w:left w:val="nil"/>
              <w:bottom w:val="single" w:color="auto" w:sz="4" w:space="0"/>
              <w:right w:val="single" w:color="auto" w:sz="4" w:space="0"/>
            </w:tcBorders>
            <w:vAlign w:val="center"/>
          </w:tcPr>
          <w:p w14:paraId="76E36F8B">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《整改报告》</w:t>
            </w:r>
          </w:p>
        </w:tc>
      </w:tr>
      <w:tr w14:paraId="0EAF87CF">
        <w:tblPrEx>
          <w:tblCellMar>
            <w:top w:w="0" w:type="dxa"/>
            <w:left w:w="108" w:type="dxa"/>
            <w:bottom w:w="0" w:type="dxa"/>
            <w:right w:w="108" w:type="dxa"/>
          </w:tblCellMar>
        </w:tblPrEx>
        <w:trPr>
          <w:trHeight w:val="645" w:hRule="atLeast"/>
          <w:jc w:val="center"/>
        </w:trPr>
        <w:tc>
          <w:tcPr>
            <w:tcW w:w="846" w:type="dxa"/>
            <w:tcBorders>
              <w:top w:val="nil"/>
              <w:left w:val="single" w:color="auto" w:sz="4" w:space="0"/>
              <w:bottom w:val="single" w:color="auto" w:sz="4" w:space="0"/>
              <w:right w:val="single" w:color="auto" w:sz="4" w:space="0"/>
            </w:tcBorders>
            <w:noWrap/>
            <w:vAlign w:val="center"/>
          </w:tcPr>
          <w:p w14:paraId="7651A10C">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9</w:t>
            </w:r>
          </w:p>
        </w:tc>
        <w:tc>
          <w:tcPr>
            <w:tcW w:w="1984" w:type="dxa"/>
            <w:tcBorders>
              <w:top w:val="nil"/>
              <w:left w:val="nil"/>
              <w:bottom w:val="single" w:color="auto" w:sz="4" w:space="0"/>
              <w:right w:val="single" w:color="auto" w:sz="4" w:space="0"/>
            </w:tcBorders>
            <w:vAlign w:val="center"/>
          </w:tcPr>
          <w:p w14:paraId="7EFED878">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等级保护验收测评</w:t>
            </w:r>
          </w:p>
        </w:tc>
        <w:tc>
          <w:tcPr>
            <w:tcW w:w="3261" w:type="dxa"/>
            <w:tcBorders>
              <w:top w:val="nil"/>
              <w:left w:val="nil"/>
              <w:bottom w:val="single" w:color="auto" w:sz="4" w:space="0"/>
              <w:right w:val="single" w:color="auto" w:sz="4" w:space="0"/>
            </w:tcBorders>
            <w:vAlign w:val="center"/>
          </w:tcPr>
          <w:p w14:paraId="35049382">
            <w:pPr>
              <w:spacing w:line="560" w:lineRule="exact"/>
              <w:rPr>
                <w:rFonts w:ascii="宋体" w:hAnsi="宋体" w:eastAsia="宋体" w:cs="宋体"/>
                <w:bCs/>
                <w:sz w:val="24"/>
                <w:szCs w:val="24"/>
              </w:rPr>
            </w:pPr>
            <w:r>
              <w:rPr>
                <w:rFonts w:hint="eastAsia" w:ascii="宋体" w:hAnsi="宋体" w:eastAsia="宋体" w:cs="宋体"/>
                <w:bCs/>
                <w:sz w:val="24"/>
                <w:szCs w:val="24"/>
              </w:rPr>
              <w:t>协助中心通过第三方测评</w:t>
            </w:r>
          </w:p>
        </w:tc>
        <w:tc>
          <w:tcPr>
            <w:tcW w:w="2417" w:type="dxa"/>
            <w:tcBorders>
              <w:top w:val="nil"/>
              <w:left w:val="nil"/>
              <w:bottom w:val="single" w:color="auto" w:sz="4" w:space="0"/>
              <w:right w:val="single" w:color="auto" w:sz="4" w:space="0"/>
            </w:tcBorders>
            <w:vAlign w:val="center"/>
          </w:tcPr>
          <w:p w14:paraId="4F5D27FD">
            <w:pPr>
              <w:spacing w:line="560" w:lineRule="exact"/>
              <w:jc w:val="center"/>
              <w:rPr>
                <w:rFonts w:ascii="宋体" w:hAnsi="宋体" w:eastAsia="宋体" w:cs="宋体"/>
                <w:bCs/>
                <w:sz w:val="24"/>
                <w:szCs w:val="24"/>
                <w:lang w:eastAsia="en-US"/>
              </w:rPr>
            </w:pPr>
            <w:r>
              <w:rPr>
                <w:rFonts w:hint="eastAsia" w:ascii="宋体" w:hAnsi="宋体" w:eastAsia="宋体" w:cs="宋体"/>
                <w:bCs/>
                <w:sz w:val="24"/>
                <w:szCs w:val="24"/>
              </w:rPr>
              <w:t>获得测评证书</w:t>
            </w:r>
          </w:p>
        </w:tc>
      </w:tr>
    </w:tbl>
    <w:p w14:paraId="2611B56A">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人员安排</w:t>
      </w:r>
    </w:p>
    <w:p w14:paraId="6A7DE126">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工作分工</w:t>
      </w:r>
    </w:p>
    <w:p w14:paraId="7F8CDA5A">
      <w:pPr>
        <w:spacing w:line="560" w:lineRule="exact"/>
        <w:ind w:firstLine="480"/>
        <w:rPr>
          <w:rFonts w:ascii="宋体" w:hAnsi="宋体" w:eastAsia="宋体" w:cs="宋体"/>
          <w:sz w:val="24"/>
          <w:szCs w:val="24"/>
        </w:rPr>
      </w:pPr>
      <w:r>
        <w:rPr>
          <w:rFonts w:hint="eastAsia" w:ascii="宋体" w:hAnsi="宋体" w:eastAsia="宋体" w:cs="宋体"/>
          <w:sz w:val="24"/>
          <w:szCs w:val="24"/>
        </w:rPr>
        <w:t>为确保网络安全测聘工作顺利进行，将于服务商协商组建项目测评小组，并对组织机构如下规划。</w:t>
      </w:r>
    </w:p>
    <w:p w14:paraId="6DBF7CC3">
      <w:pPr>
        <w:keepNext/>
        <w:spacing w:line="560" w:lineRule="exact"/>
        <w:jc w:val="center"/>
        <w:rPr>
          <w:rFonts w:ascii="宋体" w:hAnsi="宋体" w:eastAsia="宋体" w:cs="宋体"/>
          <w:sz w:val="24"/>
          <w:szCs w:val="24"/>
        </w:rPr>
      </w:pPr>
      <w:r>
        <w:rPr>
          <w:rFonts w:hint="eastAsia" w:ascii="宋体" w:hAnsi="宋体" w:eastAsia="宋体" w:cs="宋体"/>
          <w:sz w:val="24"/>
          <w:szCs w:val="24"/>
        </w:rPr>
        <w:t>表8网络安全测评-工作分工</w:t>
      </w:r>
    </w:p>
    <w:tbl>
      <w:tblPr>
        <w:tblStyle w:val="9"/>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88"/>
      </w:tblGrid>
      <w:tr w14:paraId="6F83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40" w:type="dxa"/>
            <w:shd w:val="clear" w:color="auto" w:fill="C0C0C0"/>
            <w:vAlign w:val="center"/>
          </w:tcPr>
          <w:p w14:paraId="4423B655">
            <w:pPr>
              <w:spacing w:line="560" w:lineRule="exact"/>
              <w:jc w:val="center"/>
              <w:rPr>
                <w:rFonts w:ascii="宋体" w:hAnsi="宋体" w:eastAsia="宋体" w:cs="宋体"/>
                <w:b/>
                <w:sz w:val="24"/>
                <w:szCs w:val="24"/>
              </w:rPr>
            </w:pPr>
            <w:r>
              <w:rPr>
                <w:rFonts w:hint="eastAsia" w:ascii="宋体" w:hAnsi="宋体" w:eastAsia="宋体" w:cs="宋体"/>
                <w:b/>
                <w:sz w:val="24"/>
                <w:szCs w:val="24"/>
              </w:rPr>
              <w:t>名称</w:t>
            </w:r>
          </w:p>
        </w:tc>
        <w:tc>
          <w:tcPr>
            <w:tcW w:w="7088" w:type="dxa"/>
            <w:shd w:val="clear" w:color="auto" w:fill="C0C0C0"/>
            <w:vAlign w:val="center"/>
          </w:tcPr>
          <w:p w14:paraId="085174F7">
            <w:pPr>
              <w:spacing w:line="560" w:lineRule="exact"/>
              <w:jc w:val="center"/>
              <w:rPr>
                <w:rFonts w:ascii="宋体" w:hAnsi="宋体" w:eastAsia="宋体" w:cs="宋体"/>
                <w:b/>
                <w:sz w:val="24"/>
                <w:szCs w:val="24"/>
              </w:rPr>
            </w:pPr>
            <w:r>
              <w:rPr>
                <w:rFonts w:hint="eastAsia" w:ascii="宋体" w:hAnsi="宋体" w:eastAsia="宋体" w:cs="宋体"/>
                <w:b/>
                <w:sz w:val="24"/>
                <w:szCs w:val="24"/>
              </w:rPr>
              <w:t>职责</w:t>
            </w:r>
          </w:p>
        </w:tc>
      </w:tr>
      <w:tr w14:paraId="7413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BC5AC2D">
            <w:pPr>
              <w:spacing w:line="560" w:lineRule="exact"/>
              <w:jc w:val="center"/>
              <w:rPr>
                <w:rFonts w:ascii="宋体" w:hAnsi="宋体" w:eastAsia="宋体" w:cs="宋体"/>
                <w:bCs/>
                <w:sz w:val="24"/>
                <w:szCs w:val="24"/>
              </w:rPr>
            </w:pPr>
            <w:r>
              <w:rPr>
                <w:rFonts w:hint="eastAsia" w:ascii="宋体" w:hAnsi="宋体" w:eastAsia="宋体" w:cs="宋体"/>
                <w:bCs/>
                <w:sz w:val="24"/>
                <w:szCs w:val="24"/>
              </w:rPr>
              <w:t>项目负责人</w:t>
            </w:r>
          </w:p>
        </w:tc>
        <w:tc>
          <w:tcPr>
            <w:tcW w:w="7088" w:type="dxa"/>
          </w:tcPr>
          <w:p w14:paraId="65190CC5">
            <w:pPr>
              <w:spacing w:line="560" w:lineRule="exact"/>
              <w:rPr>
                <w:rFonts w:ascii="宋体" w:hAnsi="宋体" w:eastAsia="宋体" w:cs="宋体"/>
                <w:bCs/>
                <w:sz w:val="24"/>
                <w:szCs w:val="24"/>
              </w:rPr>
            </w:pPr>
            <w:r>
              <w:rPr>
                <w:rFonts w:hint="eastAsia" w:ascii="宋体" w:hAnsi="宋体" w:eastAsia="宋体" w:cs="宋体"/>
                <w:bCs/>
                <w:sz w:val="24"/>
                <w:szCs w:val="24"/>
              </w:rPr>
              <w:t>项目总体负责人，负责组织等级保护测评和评估实施队伍，做好整体日常资源管理、分配与协调工作，并直接控制整体项目管理的各个要素，具体包括：</w:t>
            </w:r>
          </w:p>
          <w:p w14:paraId="7CF517F4">
            <w:pPr>
              <w:spacing w:line="560" w:lineRule="exact"/>
              <w:rPr>
                <w:rFonts w:ascii="宋体" w:hAnsi="宋体" w:eastAsia="宋体" w:cs="宋体"/>
                <w:bCs/>
                <w:sz w:val="24"/>
                <w:szCs w:val="24"/>
              </w:rPr>
            </w:pPr>
            <w:r>
              <w:rPr>
                <w:rFonts w:hint="eastAsia" w:ascii="宋体" w:hAnsi="宋体" w:eastAsia="宋体" w:cs="宋体"/>
                <w:bCs/>
                <w:sz w:val="24"/>
                <w:szCs w:val="24"/>
              </w:rPr>
              <w:t>项目方案设计</w:t>
            </w:r>
          </w:p>
          <w:p w14:paraId="148599A4">
            <w:pPr>
              <w:spacing w:line="560" w:lineRule="exact"/>
              <w:rPr>
                <w:rFonts w:ascii="宋体" w:hAnsi="宋体" w:eastAsia="宋体" w:cs="宋体"/>
                <w:bCs/>
                <w:sz w:val="24"/>
                <w:szCs w:val="24"/>
              </w:rPr>
            </w:pPr>
            <w:r>
              <w:rPr>
                <w:rFonts w:hint="eastAsia" w:ascii="宋体" w:hAnsi="宋体" w:eastAsia="宋体" w:cs="宋体"/>
                <w:bCs/>
                <w:sz w:val="24"/>
                <w:szCs w:val="24"/>
              </w:rPr>
              <w:t>项目计划与组织</w:t>
            </w:r>
          </w:p>
          <w:p w14:paraId="0E2DC3F6">
            <w:pPr>
              <w:spacing w:line="560" w:lineRule="exact"/>
              <w:rPr>
                <w:rFonts w:ascii="宋体" w:hAnsi="宋体" w:eastAsia="宋体" w:cs="宋体"/>
                <w:bCs/>
                <w:sz w:val="24"/>
                <w:szCs w:val="24"/>
              </w:rPr>
            </w:pPr>
            <w:r>
              <w:rPr>
                <w:rFonts w:hint="eastAsia" w:ascii="宋体" w:hAnsi="宋体" w:eastAsia="宋体" w:cs="宋体"/>
                <w:bCs/>
                <w:sz w:val="24"/>
                <w:szCs w:val="24"/>
              </w:rPr>
              <w:t>项目协调与沟通（含召集项目周例会）</w:t>
            </w:r>
          </w:p>
          <w:p w14:paraId="79B33E59">
            <w:pPr>
              <w:spacing w:line="560" w:lineRule="exact"/>
              <w:rPr>
                <w:rFonts w:ascii="宋体" w:hAnsi="宋体" w:eastAsia="宋体" w:cs="宋体"/>
                <w:bCs/>
                <w:sz w:val="24"/>
                <w:szCs w:val="24"/>
              </w:rPr>
            </w:pPr>
            <w:r>
              <w:rPr>
                <w:rFonts w:hint="eastAsia" w:ascii="宋体" w:hAnsi="宋体" w:eastAsia="宋体" w:cs="宋体"/>
                <w:bCs/>
                <w:sz w:val="24"/>
                <w:szCs w:val="24"/>
              </w:rPr>
              <w:t>项目进度管理（含编写项目周报）</w:t>
            </w:r>
          </w:p>
          <w:p w14:paraId="119240C6">
            <w:pPr>
              <w:spacing w:line="560" w:lineRule="exact"/>
              <w:rPr>
                <w:rFonts w:ascii="宋体" w:hAnsi="宋体" w:eastAsia="宋体" w:cs="宋体"/>
                <w:bCs/>
                <w:sz w:val="24"/>
                <w:szCs w:val="24"/>
              </w:rPr>
            </w:pPr>
            <w:r>
              <w:rPr>
                <w:rFonts w:hint="eastAsia" w:ascii="宋体" w:hAnsi="宋体" w:eastAsia="宋体" w:cs="宋体"/>
                <w:bCs/>
                <w:sz w:val="24"/>
                <w:szCs w:val="24"/>
              </w:rPr>
              <w:t>项目质量控制</w:t>
            </w:r>
          </w:p>
        </w:tc>
      </w:tr>
      <w:tr w14:paraId="7FBA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909D06E">
            <w:pPr>
              <w:spacing w:line="560" w:lineRule="exact"/>
              <w:jc w:val="center"/>
              <w:rPr>
                <w:rFonts w:ascii="宋体" w:hAnsi="宋体" w:eastAsia="宋体" w:cs="宋体"/>
                <w:bCs/>
                <w:sz w:val="24"/>
                <w:szCs w:val="24"/>
              </w:rPr>
            </w:pPr>
            <w:r>
              <w:rPr>
                <w:rFonts w:hint="eastAsia" w:ascii="宋体" w:hAnsi="宋体" w:eastAsia="宋体" w:cs="宋体"/>
                <w:bCs/>
                <w:sz w:val="24"/>
                <w:szCs w:val="24"/>
              </w:rPr>
              <w:t>项目</w:t>
            </w:r>
          </w:p>
          <w:p w14:paraId="2555BF27">
            <w:pPr>
              <w:spacing w:line="560" w:lineRule="exact"/>
              <w:jc w:val="center"/>
              <w:rPr>
                <w:rFonts w:ascii="宋体" w:hAnsi="宋体" w:eastAsia="宋体" w:cs="宋体"/>
                <w:bCs/>
                <w:sz w:val="24"/>
                <w:szCs w:val="24"/>
              </w:rPr>
            </w:pPr>
            <w:r>
              <w:rPr>
                <w:rFonts w:hint="eastAsia" w:ascii="宋体" w:hAnsi="宋体" w:eastAsia="宋体" w:cs="宋体"/>
                <w:bCs/>
                <w:sz w:val="24"/>
                <w:szCs w:val="24"/>
              </w:rPr>
              <w:t>技术人员</w:t>
            </w:r>
          </w:p>
        </w:tc>
        <w:tc>
          <w:tcPr>
            <w:tcW w:w="7088" w:type="dxa"/>
          </w:tcPr>
          <w:p w14:paraId="36FF4816">
            <w:pPr>
              <w:spacing w:line="560" w:lineRule="exact"/>
              <w:rPr>
                <w:rFonts w:ascii="宋体" w:hAnsi="宋体" w:eastAsia="宋体" w:cs="宋体"/>
                <w:bCs/>
                <w:sz w:val="24"/>
                <w:szCs w:val="24"/>
              </w:rPr>
            </w:pPr>
            <w:r>
              <w:rPr>
                <w:rFonts w:hint="eastAsia" w:ascii="宋体" w:hAnsi="宋体" w:eastAsia="宋体" w:cs="宋体"/>
                <w:bCs/>
                <w:sz w:val="24"/>
                <w:szCs w:val="24"/>
              </w:rPr>
              <w:t>项目技术人员，包括项目分组组长和实施人员，在项目经理的带领、分工和控制下，负责按照项目技术方案和项目计划实施测评和评估工作，需要提交：</w:t>
            </w:r>
          </w:p>
          <w:p w14:paraId="12C8231D">
            <w:pPr>
              <w:spacing w:line="560" w:lineRule="exact"/>
              <w:rPr>
                <w:rFonts w:ascii="宋体" w:hAnsi="宋体" w:eastAsia="宋体" w:cs="宋体"/>
                <w:bCs/>
                <w:sz w:val="24"/>
                <w:szCs w:val="24"/>
              </w:rPr>
            </w:pPr>
            <w:r>
              <w:rPr>
                <w:rFonts w:hint="eastAsia" w:ascii="宋体" w:hAnsi="宋体" w:eastAsia="宋体" w:cs="宋体"/>
                <w:bCs/>
                <w:sz w:val="24"/>
                <w:szCs w:val="24"/>
              </w:rPr>
              <w:t>每天工作日报</w:t>
            </w:r>
          </w:p>
          <w:p w14:paraId="135C3516">
            <w:pPr>
              <w:spacing w:line="560" w:lineRule="exact"/>
              <w:rPr>
                <w:rFonts w:ascii="宋体" w:hAnsi="宋体" w:eastAsia="宋体" w:cs="宋体"/>
                <w:bCs/>
                <w:sz w:val="24"/>
                <w:szCs w:val="24"/>
              </w:rPr>
            </w:pPr>
            <w:r>
              <w:rPr>
                <w:rFonts w:hint="eastAsia" w:ascii="宋体" w:hAnsi="宋体" w:eastAsia="宋体" w:cs="宋体"/>
                <w:bCs/>
                <w:sz w:val="24"/>
                <w:szCs w:val="24"/>
              </w:rPr>
              <w:t>单项测评结果记录</w:t>
            </w:r>
          </w:p>
          <w:p w14:paraId="20D4E467">
            <w:pPr>
              <w:spacing w:line="560" w:lineRule="exact"/>
              <w:rPr>
                <w:rFonts w:ascii="宋体" w:hAnsi="宋体" w:eastAsia="宋体" w:cs="宋体"/>
                <w:bCs/>
                <w:sz w:val="24"/>
                <w:szCs w:val="24"/>
              </w:rPr>
            </w:pPr>
            <w:r>
              <w:rPr>
                <w:rFonts w:hint="eastAsia" w:ascii="宋体" w:hAnsi="宋体" w:eastAsia="宋体" w:cs="宋体"/>
                <w:bCs/>
                <w:sz w:val="24"/>
                <w:szCs w:val="24"/>
              </w:rPr>
              <w:t>单项安全整改建议</w:t>
            </w:r>
          </w:p>
        </w:tc>
      </w:tr>
    </w:tbl>
    <w:p w14:paraId="4F12B632">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人员配置表</w:t>
      </w:r>
    </w:p>
    <w:p w14:paraId="4AC092BC">
      <w:pPr>
        <w:keepNext/>
        <w:spacing w:line="560" w:lineRule="exact"/>
        <w:jc w:val="center"/>
        <w:rPr>
          <w:rFonts w:ascii="宋体" w:hAnsi="宋体" w:eastAsia="宋体" w:cs="宋体"/>
          <w:sz w:val="24"/>
          <w:szCs w:val="24"/>
        </w:rPr>
      </w:pPr>
      <w:r>
        <w:rPr>
          <w:rFonts w:hint="eastAsia" w:ascii="宋体" w:hAnsi="宋体" w:eastAsia="宋体" w:cs="宋体"/>
          <w:sz w:val="24"/>
          <w:szCs w:val="24"/>
        </w:rPr>
        <w:t>网络安全测评-人员配置表</w:t>
      </w:r>
    </w:p>
    <w:tbl>
      <w:tblPr>
        <w:tblStyle w:val="9"/>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062"/>
        <w:gridCol w:w="1880"/>
      </w:tblGrid>
      <w:tr w14:paraId="66C8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86" w:type="dxa"/>
            <w:shd w:val="clear" w:color="auto" w:fill="C0C0C0"/>
            <w:vAlign w:val="center"/>
          </w:tcPr>
          <w:p w14:paraId="43DD35D0">
            <w:pPr>
              <w:spacing w:line="560" w:lineRule="exact"/>
              <w:jc w:val="center"/>
              <w:rPr>
                <w:rFonts w:ascii="宋体" w:hAnsi="宋体" w:eastAsia="宋体" w:cs="宋体"/>
                <w:b/>
                <w:sz w:val="24"/>
                <w:szCs w:val="24"/>
              </w:rPr>
            </w:pPr>
            <w:r>
              <w:rPr>
                <w:rFonts w:hint="eastAsia" w:ascii="宋体" w:hAnsi="宋体" w:eastAsia="宋体" w:cs="宋体"/>
                <w:b/>
                <w:sz w:val="24"/>
                <w:szCs w:val="24"/>
              </w:rPr>
              <w:t>名称</w:t>
            </w:r>
          </w:p>
        </w:tc>
        <w:tc>
          <w:tcPr>
            <w:tcW w:w="5062" w:type="dxa"/>
            <w:shd w:val="clear" w:color="auto" w:fill="C0C0C0"/>
            <w:vAlign w:val="center"/>
          </w:tcPr>
          <w:p w14:paraId="0A48B2DA">
            <w:pPr>
              <w:spacing w:line="560" w:lineRule="exact"/>
              <w:jc w:val="center"/>
              <w:rPr>
                <w:rFonts w:ascii="宋体" w:hAnsi="宋体" w:eastAsia="宋体" w:cs="宋体"/>
                <w:b/>
                <w:sz w:val="24"/>
                <w:szCs w:val="24"/>
              </w:rPr>
            </w:pPr>
            <w:r>
              <w:rPr>
                <w:rFonts w:hint="eastAsia" w:ascii="宋体" w:hAnsi="宋体" w:eastAsia="宋体" w:cs="宋体"/>
                <w:b/>
                <w:sz w:val="24"/>
                <w:szCs w:val="24"/>
              </w:rPr>
              <w:t>职责</w:t>
            </w:r>
          </w:p>
        </w:tc>
        <w:tc>
          <w:tcPr>
            <w:tcW w:w="1880" w:type="dxa"/>
            <w:shd w:val="clear" w:color="auto" w:fill="C0C0C0"/>
            <w:vAlign w:val="center"/>
          </w:tcPr>
          <w:p w14:paraId="2C626FDF">
            <w:pPr>
              <w:spacing w:line="560" w:lineRule="exact"/>
              <w:jc w:val="center"/>
              <w:rPr>
                <w:rFonts w:ascii="宋体" w:hAnsi="宋体" w:eastAsia="宋体" w:cs="宋体"/>
                <w:b/>
                <w:sz w:val="24"/>
                <w:szCs w:val="24"/>
              </w:rPr>
            </w:pPr>
            <w:r>
              <w:rPr>
                <w:rFonts w:hint="eastAsia" w:ascii="宋体" w:hAnsi="宋体" w:eastAsia="宋体" w:cs="宋体"/>
                <w:b/>
                <w:sz w:val="24"/>
                <w:szCs w:val="24"/>
              </w:rPr>
              <w:t>人员</w:t>
            </w:r>
          </w:p>
        </w:tc>
      </w:tr>
      <w:tr w14:paraId="7FEC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1BF0491B">
            <w:pPr>
              <w:spacing w:line="560" w:lineRule="exact"/>
              <w:jc w:val="center"/>
              <w:rPr>
                <w:rFonts w:ascii="宋体" w:hAnsi="宋体" w:eastAsia="宋体" w:cs="宋体"/>
                <w:bCs/>
                <w:sz w:val="24"/>
                <w:szCs w:val="24"/>
              </w:rPr>
            </w:pPr>
            <w:r>
              <w:rPr>
                <w:rFonts w:hint="eastAsia" w:ascii="宋体" w:hAnsi="宋体" w:eastAsia="宋体" w:cs="宋体"/>
                <w:bCs/>
                <w:sz w:val="24"/>
                <w:szCs w:val="24"/>
              </w:rPr>
              <w:t>项目</w:t>
            </w:r>
          </w:p>
          <w:p w14:paraId="1E9C65D2">
            <w:pPr>
              <w:spacing w:line="560" w:lineRule="exact"/>
              <w:jc w:val="center"/>
              <w:rPr>
                <w:rFonts w:ascii="宋体" w:hAnsi="宋体" w:eastAsia="宋体" w:cs="宋体"/>
                <w:bCs/>
                <w:sz w:val="24"/>
                <w:szCs w:val="24"/>
              </w:rPr>
            </w:pPr>
            <w:r>
              <w:rPr>
                <w:rFonts w:hint="eastAsia" w:ascii="宋体" w:hAnsi="宋体" w:eastAsia="宋体" w:cs="宋体"/>
                <w:bCs/>
                <w:sz w:val="24"/>
                <w:szCs w:val="24"/>
              </w:rPr>
              <w:t>负责人</w:t>
            </w:r>
          </w:p>
        </w:tc>
        <w:tc>
          <w:tcPr>
            <w:tcW w:w="5062" w:type="dxa"/>
          </w:tcPr>
          <w:p w14:paraId="319C8242">
            <w:pPr>
              <w:spacing w:line="560" w:lineRule="exact"/>
              <w:rPr>
                <w:rFonts w:ascii="宋体" w:hAnsi="宋体" w:eastAsia="宋体" w:cs="宋体"/>
                <w:bCs/>
                <w:sz w:val="24"/>
                <w:szCs w:val="24"/>
              </w:rPr>
            </w:pPr>
            <w:r>
              <w:rPr>
                <w:rFonts w:hint="eastAsia" w:ascii="宋体" w:hAnsi="宋体" w:eastAsia="宋体" w:cs="宋体"/>
                <w:bCs/>
                <w:sz w:val="24"/>
                <w:szCs w:val="24"/>
              </w:rPr>
              <w:t>项目总体负责人，负责组织等级保护测评和评估实施队伍，做好整体日常资源管理、分配与协调工作，并直接控制整体项目管理的各个要素，具体包括：</w:t>
            </w:r>
          </w:p>
          <w:p w14:paraId="3D9617CC">
            <w:pPr>
              <w:spacing w:line="560" w:lineRule="exact"/>
              <w:rPr>
                <w:rFonts w:ascii="宋体" w:hAnsi="宋体" w:eastAsia="宋体" w:cs="宋体"/>
                <w:bCs/>
                <w:sz w:val="24"/>
                <w:szCs w:val="24"/>
              </w:rPr>
            </w:pPr>
            <w:r>
              <w:rPr>
                <w:rFonts w:hint="eastAsia" w:ascii="宋体" w:hAnsi="宋体" w:eastAsia="宋体" w:cs="宋体"/>
                <w:bCs/>
                <w:sz w:val="24"/>
                <w:szCs w:val="24"/>
              </w:rPr>
              <w:t>项目方案设计</w:t>
            </w:r>
          </w:p>
          <w:p w14:paraId="17B71869">
            <w:pPr>
              <w:spacing w:line="560" w:lineRule="exact"/>
              <w:rPr>
                <w:rFonts w:ascii="宋体" w:hAnsi="宋体" w:eastAsia="宋体" w:cs="宋体"/>
                <w:bCs/>
                <w:sz w:val="24"/>
                <w:szCs w:val="24"/>
              </w:rPr>
            </w:pPr>
            <w:r>
              <w:rPr>
                <w:rFonts w:hint="eastAsia" w:ascii="宋体" w:hAnsi="宋体" w:eastAsia="宋体" w:cs="宋体"/>
                <w:bCs/>
                <w:sz w:val="24"/>
                <w:szCs w:val="24"/>
              </w:rPr>
              <w:t>项目计划与组织</w:t>
            </w:r>
          </w:p>
          <w:p w14:paraId="4A6F4567">
            <w:pPr>
              <w:spacing w:line="560" w:lineRule="exact"/>
              <w:rPr>
                <w:rFonts w:ascii="宋体" w:hAnsi="宋体" w:eastAsia="宋体" w:cs="宋体"/>
                <w:bCs/>
                <w:sz w:val="24"/>
                <w:szCs w:val="24"/>
              </w:rPr>
            </w:pPr>
            <w:r>
              <w:rPr>
                <w:rFonts w:hint="eastAsia" w:ascii="宋体" w:hAnsi="宋体" w:eastAsia="宋体" w:cs="宋体"/>
                <w:bCs/>
                <w:sz w:val="24"/>
                <w:szCs w:val="24"/>
              </w:rPr>
              <w:t>项目协调与沟通（含召集项目周例会）</w:t>
            </w:r>
          </w:p>
          <w:p w14:paraId="21CD196D">
            <w:pPr>
              <w:spacing w:line="560" w:lineRule="exact"/>
              <w:rPr>
                <w:rFonts w:ascii="宋体" w:hAnsi="宋体" w:eastAsia="宋体" w:cs="宋体"/>
                <w:bCs/>
                <w:sz w:val="24"/>
                <w:szCs w:val="24"/>
              </w:rPr>
            </w:pPr>
            <w:r>
              <w:rPr>
                <w:rFonts w:hint="eastAsia" w:ascii="宋体" w:hAnsi="宋体" w:eastAsia="宋体" w:cs="宋体"/>
                <w:bCs/>
                <w:sz w:val="24"/>
                <w:szCs w:val="24"/>
              </w:rPr>
              <w:t>项目进度管理（含编写项目周报）</w:t>
            </w:r>
          </w:p>
          <w:p w14:paraId="4F2F3147">
            <w:pPr>
              <w:spacing w:line="560" w:lineRule="exact"/>
              <w:rPr>
                <w:rFonts w:ascii="宋体" w:hAnsi="宋体" w:eastAsia="宋体" w:cs="宋体"/>
                <w:bCs/>
                <w:sz w:val="24"/>
                <w:szCs w:val="24"/>
              </w:rPr>
            </w:pPr>
            <w:r>
              <w:rPr>
                <w:rFonts w:hint="eastAsia" w:ascii="宋体" w:hAnsi="宋体" w:eastAsia="宋体" w:cs="宋体"/>
                <w:bCs/>
                <w:sz w:val="24"/>
                <w:szCs w:val="24"/>
              </w:rPr>
              <w:t>项目质量控制</w:t>
            </w:r>
          </w:p>
        </w:tc>
        <w:tc>
          <w:tcPr>
            <w:tcW w:w="1880" w:type="dxa"/>
            <w:vAlign w:val="center"/>
          </w:tcPr>
          <w:p w14:paraId="3AEC1287">
            <w:pPr>
              <w:spacing w:line="560" w:lineRule="exact"/>
              <w:jc w:val="center"/>
              <w:rPr>
                <w:rFonts w:ascii="宋体" w:hAnsi="宋体" w:eastAsia="宋体" w:cs="宋体"/>
                <w:bCs/>
                <w:sz w:val="24"/>
                <w:szCs w:val="24"/>
              </w:rPr>
            </w:pPr>
            <w:r>
              <w:rPr>
                <w:rFonts w:hint="eastAsia" w:ascii="宋体" w:hAnsi="宋体" w:eastAsia="宋体" w:cs="宋体"/>
                <w:bCs/>
                <w:sz w:val="24"/>
                <w:szCs w:val="24"/>
              </w:rPr>
              <w:t>1人</w:t>
            </w:r>
          </w:p>
        </w:tc>
      </w:tr>
      <w:tr w14:paraId="6D1C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69AFED06">
            <w:pPr>
              <w:spacing w:line="560" w:lineRule="exact"/>
              <w:jc w:val="center"/>
              <w:rPr>
                <w:rFonts w:ascii="宋体" w:hAnsi="宋体" w:eastAsia="宋体" w:cs="宋体"/>
                <w:bCs/>
                <w:sz w:val="24"/>
                <w:szCs w:val="24"/>
              </w:rPr>
            </w:pPr>
            <w:r>
              <w:rPr>
                <w:rFonts w:hint="eastAsia" w:ascii="宋体" w:hAnsi="宋体" w:eastAsia="宋体" w:cs="宋体"/>
                <w:bCs/>
                <w:sz w:val="24"/>
                <w:szCs w:val="24"/>
              </w:rPr>
              <w:t>项目</w:t>
            </w:r>
          </w:p>
          <w:p w14:paraId="43E9693E">
            <w:pPr>
              <w:spacing w:line="560" w:lineRule="exact"/>
              <w:jc w:val="center"/>
              <w:rPr>
                <w:rFonts w:ascii="宋体" w:hAnsi="宋体" w:eastAsia="宋体" w:cs="宋体"/>
                <w:bCs/>
                <w:sz w:val="24"/>
                <w:szCs w:val="24"/>
              </w:rPr>
            </w:pPr>
            <w:r>
              <w:rPr>
                <w:rFonts w:hint="eastAsia" w:ascii="宋体" w:hAnsi="宋体" w:eastAsia="宋体" w:cs="宋体"/>
                <w:bCs/>
                <w:sz w:val="24"/>
                <w:szCs w:val="24"/>
              </w:rPr>
              <w:t>技术人员</w:t>
            </w:r>
          </w:p>
        </w:tc>
        <w:tc>
          <w:tcPr>
            <w:tcW w:w="5062" w:type="dxa"/>
          </w:tcPr>
          <w:p w14:paraId="04165225">
            <w:pPr>
              <w:spacing w:line="560" w:lineRule="exact"/>
              <w:rPr>
                <w:rFonts w:ascii="宋体" w:hAnsi="宋体" w:eastAsia="宋体" w:cs="宋体"/>
                <w:bCs/>
                <w:sz w:val="24"/>
                <w:szCs w:val="24"/>
              </w:rPr>
            </w:pPr>
            <w:r>
              <w:rPr>
                <w:rFonts w:hint="eastAsia" w:ascii="宋体" w:hAnsi="宋体" w:eastAsia="宋体" w:cs="宋体"/>
                <w:bCs/>
                <w:sz w:val="24"/>
                <w:szCs w:val="24"/>
              </w:rPr>
              <w:t>负责按照项目技术方案和项目计划实施测评工作，需要提交：</w:t>
            </w:r>
          </w:p>
          <w:p w14:paraId="3DC0F9DC">
            <w:pPr>
              <w:spacing w:line="560" w:lineRule="exact"/>
              <w:rPr>
                <w:rFonts w:ascii="宋体" w:hAnsi="宋体" w:eastAsia="宋体" w:cs="宋体"/>
                <w:bCs/>
                <w:sz w:val="24"/>
                <w:szCs w:val="24"/>
              </w:rPr>
            </w:pPr>
            <w:r>
              <w:rPr>
                <w:rFonts w:hint="eastAsia" w:ascii="宋体" w:hAnsi="宋体" w:eastAsia="宋体" w:cs="宋体"/>
                <w:bCs/>
                <w:sz w:val="24"/>
                <w:szCs w:val="24"/>
              </w:rPr>
              <w:t>每天工作日报</w:t>
            </w:r>
          </w:p>
          <w:p w14:paraId="0A64C29D">
            <w:pPr>
              <w:spacing w:line="560" w:lineRule="exact"/>
              <w:rPr>
                <w:rFonts w:ascii="宋体" w:hAnsi="宋体" w:eastAsia="宋体" w:cs="宋体"/>
                <w:bCs/>
                <w:sz w:val="24"/>
                <w:szCs w:val="24"/>
              </w:rPr>
            </w:pPr>
            <w:r>
              <w:rPr>
                <w:rFonts w:hint="eastAsia" w:ascii="宋体" w:hAnsi="宋体" w:eastAsia="宋体" w:cs="宋体"/>
                <w:bCs/>
                <w:sz w:val="24"/>
                <w:szCs w:val="24"/>
              </w:rPr>
              <w:t>单项测评结果记录</w:t>
            </w:r>
          </w:p>
          <w:p w14:paraId="6E9C1857">
            <w:pPr>
              <w:spacing w:line="560" w:lineRule="exact"/>
              <w:rPr>
                <w:rFonts w:ascii="宋体" w:hAnsi="宋体" w:eastAsia="宋体" w:cs="宋体"/>
                <w:bCs/>
                <w:sz w:val="24"/>
                <w:szCs w:val="24"/>
              </w:rPr>
            </w:pPr>
            <w:r>
              <w:rPr>
                <w:rFonts w:hint="eastAsia" w:ascii="宋体" w:hAnsi="宋体" w:eastAsia="宋体" w:cs="宋体"/>
                <w:bCs/>
                <w:sz w:val="24"/>
                <w:szCs w:val="24"/>
              </w:rPr>
              <w:t>单项安全整改建议</w:t>
            </w:r>
          </w:p>
        </w:tc>
        <w:tc>
          <w:tcPr>
            <w:tcW w:w="1880" w:type="dxa"/>
            <w:vAlign w:val="center"/>
          </w:tcPr>
          <w:p w14:paraId="1799A719">
            <w:pPr>
              <w:spacing w:line="560" w:lineRule="exact"/>
              <w:jc w:val="center"/>
              <w:rPr>
                <w:rFonts w:ascii="宋体" w:hAnsi="宋体" w:eastAsia="宋体" w:cs="宋体"/>
                <w:bCs/>
                <w:sz w:val="24"/>
                <w:szCs w:val="24"/>
              </w:rPr>
            </w:pPr>
            <w:r>
              <w:rPr>
                <w:rFonts w:hint="eastAsia" w:ascii="宋体" w:hAnsi="宋体" w:eastAsia="宋体" w:cs="宋体"/>
                <w:bCs/>
                <w:sz w:val="24"/>
                <w:szCs w:val="24"/>
              </w:rPr>
              <w:t>每个测评项不少于2人</w:t>
            </w:r>
          </w:p>
        </w:tc>
      </w:tr>
    </w:tbl>
    <w:p w14:paraId="68167915">
      <w:pPr>
        <w:keepNext/>
        <w:keepLines/>
        <w:numPr>
          <w:ilvl w:val="5"/>
          <w:numId w:val="0"/>
        </w:numPr>
        <w:spacing w:before="240" w:after="64" w:line="560" w:lineRule="exact"/>
        <w:outlineLvl w:val="5"/>
        <w:rPr>
          <w:rFonts w:ascii="宋体" w:hAnsi="宋体" w:eastAsia="宋体" w:cs="宋体"/>
          <w:b/>
          <w:sz w:val="24"/>
          <w:szCs w:val="24"/>
        </w:rPr>
      </w:pPr>
      <w:r>
        <w:rPr>
          <w:rFonts w:hint="eastAsia" w:ascii="宋体" w:hAnsi="宋体" w:eastAsia="宋体" w:cs="宋体"/>
          <w:b/>
          <w:sz w:val="24"/>
          <w:szCs w:val="24"/>
        </w:rPr>
        <w:t>工作配合</w:t>
      </w:r>
    </w:p>
    <w:p w14:paraId="280D552F">
      <w:pPr>
        <w:spacing w:line="560" w:lineRule="exact"/>
        <w:ind w:firstLine="480"/>
        <w:rPr>
          <w:rFonts w:ascii="宋体" w:hAnsi="宋体" w:eastAsia="宋体" w:cs="宋体"/>
          <w:sz w:val="24"/>
          <w:szCs w:val="24"/>
        </w:rPr>
      </w:pPr>
      <w:r>
        <w:rPr>
          <w:rFonts w:hint="eastAsia" w:ascii="宋体" w:hAnsi="宋体" w:eastAsia="宋体" w:cs="宋体"/>
          <w:sz w:val="24"/>
          <w:szCs w:val="24"/>
        </w:rPr>
        <w:t>为保证本项目的顺利实施，对现场测评阶段的各项工作点提出与服务商工作配合：</w:t>
      </w:r>
    </w:p>
    <w:p w14:paraId="7CB251CD">
      <w:pPr>
        <w:keepNext/>
        <w:spacing w:line="560" w:lineRule="exact"/>
        <w:jc w:val="center"/>
        <w:rPr>
          <w:rFonts w:ascii="宋体" w:hAnsi="宋体" w:eastAsia="宋体" w:cs="宋体"/>
          <w:sz w:val="24"/>
          <w:szCs w:val="24"/>
        </w:rPr>
      </w:pPr>
      <w:r>
        <w:rPr>
          <w:rFonts w:hint="eastAsia" w:ascii="宋体" w:hAnsi="宋体" w:eastAsia="宋体" w:cs="宋体"/>
          <w:sz w:val="24"/>
          <w:szCs w:val="24"/>
        </w:rPr>
        <w:t>表9网络安全测评-工作配合</w:t>
      </w:r>
    </w:p>
    <w:tbl>
      <w:tblPr>
        <w:tblStyle w:val="9"/>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94"/>
        <w:gridCol w:w="4255"/>
        <w:gridCol w:w="2037"/>
      </w:tblGrid>
      <w:tr w14:paraId="0648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2" w:type="dxa"/>
          </w:tcPr>
          <w:p w14:paraId="5008789C">
            <w:pPr>
              <w:spacing w:line="560" w:lineRule="exact"/>
              <w:jc w:val="center"/>
              <w:rPr>
                <w:rFonts w:ascii="宋体" w:hAnsi="宋体" w:eastAsia="宋体" w:cs="宋体"/>
                <w:b/>
                <w:sz w:val="24"/>
                <w:szCs w:val="24"/>
              </w:rPr>
            </w:pPr>
            <w:r>
              <w:rPr>
                <w:rFonts w:hint="eastAsia" w:ascii="宋体" w:hAnsi="宋体" w:eastAsia="宋体" w:cs="宋体"/>
                <w:b/>
                <w:sz w:val="24"/>
                <w:szCs w:val="24"/>
              </w:rPr>
              <w:t>序号</w:t>
            </w:r>
          </w:p>
        </w:tc>
        <w:tc>
          <w:tcPr>
            <w:tcW w:w="1394" w:type="dxa"/>
          </w:tcPr>
          <w:p w14:paraId="5C17D7EA">
            <w:pPr>
              <w:spacing w:line="560" w:lineRule="exact"/>
              <w:jc w:val="center"/>
              <w:rPr>
                <w:rFonts w:ascii="宋体" w:hAnsi="宋体" w:eastAsia="宋体" w:cs="宋体"/>
                <w:b/>
                <w:sz w:val="24"/>
                <w:szCs w:val="24"/>
              </w:rPr>
            </w:pPr>
            <w:r>
              <w:rPr>
                <w:rFonts w:hint="eastAsia" w:ascii="宋体" w:hAnsi="宋体" w:eastAsia="宋体" w:cs="宋体"/>
                <w:b/>
                <w:sz w:val="24"/>
                <w:szCs w:val="24"/>
              </w:rPr>
              <w:t>工作点</w:t>
            </w:r>
          </w:p>
        </w:tc>
        <w:tc>
          <w:tcPr>
            <w:tcW w:w="4255" w:type="dxa"/>
          </w:tcPr>
          <w:p w14:paraId="4D41CB67">
            <w:pPr>
              <w:spacing w:line="560" w:lineRule="exact"/>
              <w:jc w:val="center"/>
              <w:rPr>
                <w:rFonts w:ascii="宋体" w:hAnsi="宋体" w:eastAsia="宋体" w:cs="宋体"/>
                <w:b/>
                <w:sz w:val="24"/>
                <w:szCs w:val="24"/>
              </w:rPr>
            </w:pPr>
            <w:r>
              <w:rPr>
                <w:rFonts w:hint="eastAsia" w:ascii="宋体" w:hAnsi="宋体" w:eastAsia="宋体" w:cs="宋体"/>
                <w:b/>
                <w:sz w:val="24"/>
                <w:szCs w:val="24"/>
              </w:rPr>
              <w:t>前期准备</w:t>
            </w:r>
          </w:p>
        </w:tc>
        <w:tc>
          <w:tcPr>
            <w:tcW w:w="2037" w:type="dxa"/>
          </w:tcPr>
          <w:p w14:paraId="612DDA56">
            <w:pPr>
              <w:spacing w:line="560" w:lineRule="exact"/>
              <w:jc w:val="center"/>
              <w:rPr>
                <w:rFonts w:ascii="宋体" w:hAnsi="宋体" w:eastAsia="宋体" w:cs="宋体"/>
                <w:b/>
                <w:sz w:val="24"/>
                <w:szCs w:val="24"/>
              </w:rPr>
            </w:pPr>
            <w:r>
              <w:rPr>
                <w:rFonts w:hint="eastAsia" w:ascii="宋体" w:hAnsi="宋体" w:eastAsia="宋体" w:cs="宋体"/>
                <w:b/>
                <w:sz w:val="24"/>
                <w:szCs w:val="24"/>
              </w:rPr>
              <w:t>服务商配合</w:t>
            </w:r>
          </w:p>
        </w:tc>
      </w:tr>
      <w:tr w14:paraId="009D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57F698EC">
            <w:pPr>
              <w:spacing w:line="56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1394" w:type="dxa"/>
            <w:vAlign w:val="center"/>
          </w:tcPr>
          <w:p w14:paraId="25B8BEBE">
            <w:pPr>
              <w:spacing w:line="560" w:lineRule="exact"/>
              <w:jc w:val="center"/>
              <w:rPr>
                <w:rFonts w:ascii="宋体" w:hAnsi="宋体" w:eastAsia="宋体" w:cs="宋体"/>
                <w:bCs/>
                <w:sz w:val="24"/>
                <w:szCs w:val="24"/>
              </w:rPr>
            </w:pPr>
            <w:r>
              <w:rPr>
                <w:rFonts w:hint="eastAsia" w:ascii="宋体" w:hAnsi="宋体" w:eastAsia="宋体" w:cs="宋体"/>
                <w:bCs/>
                <w:sz w:val="24"/>
                <w:szCs w:val="24"/>
              </w:rPr>
              <w:t>现场工具测评</w:t>
            </w:r>
          </w:p>
        </w:tc>
        <w:tc>
          <w:tcPr>
            <w:tcW w:w="4255" w:type="dxa"/>
          </w:tcPr>
          <w:p w14:paraId="2DE91B23">
            <w:pPr>
              <w:spacing w:line="560" w:lineRule="exact"/>
              <w:rPr>
                <w:rFonts w:ascii="宋体" w:hAnsi="宋体" w:eastAsia="宋体" w:cs="宋体"/>
                <w:bCs/>
                <w:sz w:val="24"/>
                <w:szCs w:val="24"/>
              </w:rPr>
            </w:pPr>
            <w:r>
              <w:rPr>
                <w:rFonts w:hint="eastAsia" w:ascii="宋体" w:hAnsi="宋体" w:eastAsia="宋体" w:cs="宋体"/>
                <w:bCs/>
                <w:sz w:val="24"/>
                <w:szCs w:val="24"/>
              </w:rPr>
              <w:t>1、人员要求</w:t>
            </w:r>
          </w:p>
          <w:p w14:paraId="10B72C3C">
            <w:pPr>
              <w:spacing w:line="560" w:lineRule="exact"/>
              <w:rPr>
                <w:rFonts w:ascii="宋体" w:hAnsi="宋体" w:eastAsia="宋体" w:cs="宋体"/>
                <w:bCs/>
                <w:sz w:val="24"/>
                <w:szCs w:val="24"/>
              </w:rPr>
            </w:pPr>
            <w:r>
              <w:rPr>
                <w:rFonts w:hint="eastAsia" w:ascii="宋体" w:hAnsi="宋体" w:eastAsia="宋体" w:cs="宋体"/>
                <w:bCs/>
                <w:sz w:val="24"/>
                <w:szCs w:val="24"/>
              </w:rPr>
              <w:t>系统管理员</w:t>
            </w:r>
          </w:p>
          <w:p w14:paraId="49432E4B">
            <w:pPr>
              <w:spacing w:line="560" w:lineRule="exact"/>
              <w:rPr>
                <w:rFonts w:ascii="宋体" w:hAnsi="宋体" w:eastAsia="宋体" w:cs="宋体"/>
                <w:bCs/>
                <w:sz w:val="24"/>
                <w:szCs w:val="24"/>
              </w:rPr>
            </w:pPr>
            <w:r>
              <w:rPr>
                <w:rFonts w:hint="eastAsia" w:ascii="宋体" w:hAnsi="宋体" w:eastAsia="宋体" w:cs="宋体"/>
                <w:bCs/>
                <w:sz w:val="24"/>
                <w:szCs w:val="24"/>
              </w:rPr>
              <w:t>*前期提供系统软硬件配置，相关系统检收文档。</w:t>
            </w:r>
          </w:p>
          <w:p w14:paraId="4BFB05D8">
            <w:pPr>
              <w:spacing w:line="560" w:lineRule="exact"/>
              <w:rPr>
                <w:rFonts w:ascii="宋体" w:hAnsi="宋体" w:eastAsia="宋体" w:cs="宋体"/>
                <w:bCs/>
                <w:sz w:val="24"/>
                <w:szCs w:val="24"/>
              </w:rPr>
            </w:pPr>
            <w:r>
              <w:rPr>
                <w:rFonts w:hint="eastAsia" w:ascii="宋体" w:hAnsi="宋体" w:eastAsia="宋体" w:cs="宋体"/>
                <w:bCs/>
                <w:sz w:val="24"/>
                <w:szCs w:val="24"/>
              </w:rPr>
              <w:t>*现场登录设备运行检查脚本工具</w:t>
            </w:r>
          </w:p>
          <w:p w14:paraId="2B9FABCE">
            <w:pPr>
              <w:spacing w:line="560" w:lineRule="exact"/>
              <w:rPr>
                <w:rFonts w:ascii="宋体" w:hAnsi="宋体" w:eastAsia="宋体" w:cs="宋体"/>
                <w:bCs/>
                <w:sz w:val="24"/>
                <w:szCs w:val="24"/>
              </w:rPr>
            </w:pPr>
            <w:r>
              <w:rPr>
                <w:rFonts w:hint="eastAsia" w:ascii="宋体" w:hAnsi="宋体" w:eastAsia="宋体" w:cs="宋体"/>
                <w:bCs/>
                <w:sz w:val="24"/>
                <w:szCs w:val="24"/>
              </w:rPr>
              <w:t>*登录设备查看安全配置</w:t>
            </w:r>
          </w:p>
          <w:p w14:paraId="2EF84A4B">
            <w:pPr>
              <w:spacing w:line="560" w:lineRule="exact"/>
              <w:rPr>
                <w:rFonts w:ascii="宋体" w:hAnsi="宋体" w:eastAsia="宋体" w:cs="宋体"/>
                <w:bCs/>
                <w:sz w:val="24"/>
                <w:szCs w:val="24"/>
              </w:rPr>
            </w:pPr>
            <w:r>
              <w:rPr>
                <w:rFonts w:hint="eastAsia" w:ascii="宋体" w:hAnsi="宋体" w:eastAsia="宋体" w:cs="宋体"/>
                <w:bCs/>
                <w:sz w:val="24"/>
                <w:szCs w:val="24"/>
              </w:rPr>
              <w:t>2、环境要求</w:t>
            </w:r>
          </w:p>
          <w:p w14:paraId="4C5D7D6B">
            <w:pPr>
              <w:spacing w:line="560" w:lineRule="exact"/>
              <w:rPr>
                <w:rFonts w:ascii="宋体" w:hAnsi="宋体" w:eastAsia="宋体" w:cs="宋体"/>
                <w:bCs/>
                <w:sz w:val="24"/>
                <w:szCs w:val="24"/>
              </w:rPr>
            </w:pPr>
            <w:r>
              <w:rPr>
                <w:rFonts w:hint="eastAsia" w:ascii="宋体" w:hAnsi="宋体" w:eastAsia="宋体" w:cs="宋体"/>
                <w:bCs/>
                <w:sz w:val="24"/>
                <w:szCs w:val="24"/>
              </w:rPr>
              <w:t>*提供可以访问网络设备及测评系统的2个IP地址</w:t>
            </w:r>
          </w:p>
          <w:p w14:paraId="4A9B29B3">
            <w:pPr>
              <w:spacing w:line="560" w:lineRule="exact"/>
              <w:rPr>
                <w:rFonts w:ascii="宋体" w:hAnsi="宋体" w:eastAsia="宋体" w:cs="宋体"/>
                <w:bCs/>
                <w:sz w:val="24"/>
                <w:szCs w:val="24"/>
              </w:rPr>
            </w:pPr>
            <w:r>
              <w:rPr>
                <w:rFonts w:hint="eastAsia" w:ascii="宋体" w:hAnsi="宋体" w:eastAsia="宋体" w:cs="宋体"/>
                <w:bCs/>
                <w:sz w:val="24"/>
                <w:szCs w:val="24"/>
              </w:rPr>
              <w:t>*关闭测评IP与系统之间的防火墙。</w:t>
            </w:r>
          </w:p>
        </w:tc>
        <w:tc>
          <w:tcPr>
            <w:tcW w:w="2037" w:type="dxa"/>
          </w:tcPr>
          <w:p w14:paraId="4936AD7E">
            <w:pPr>
              <w:spacing w:line="560" w:lineRule="exact"/>
              <w:rPr>
                <w:rFonts w:ascii="宋体" w:hAnsi="宋体" w:eastAsia="宋体" w:cs="宋体"/>
                <w:bCs/>
                <w:sz w:val="24"/>
                <w:szCs w:val="24"/>
              </w:rPr>
            </w:pPr>
            <w:r>
              <w:rPr>
                <w:rFonts w:hint="eastAsia" w:ascii="宋体" w:hAnsi="宋体" w:eastAsia="宋体" w:cs="宋体"/>
                <w:bCs/>
                <w:sz w:val="24"/>
                <w:szCs w:val="24"/>
              </w:rPr>
              <w:t>1、准备测评工具及接入方案</w:t>
            </w:r>
          </w:p>
          <w:p w14:paraId="30598A9B">
            <w:pPr>
              <w:spacing w:line="560" w:lineRule="exact"/>
              <w:rPr>
                <w:rFonts w:ascii="宋体" w:hAnsi="宋体" w:eastAsia="宋体" w:cs="宋体"/>
                <w:bCs/>
                <w:sz w:val="24"/>
                <w:szCs w:val="24"/>
              </w:rPr>
            </w:pPr>
            <w:r>
              <w:rPr>
                <w:rFonts w:hint="eastAsia" w:ascii="宋体" w:hAnsi="宋体" w:eastAsia="宋体" w:cs="宋体"/>
                <w:bCs/>
                <w:sz w:val="24"/>
                <w:szCs w:val="24"/>
              </w:rPr>
              <w:t>2、测评技术人员</w:t>
            </w:r>
          </w:p>
        </w:tc>
      </w:tr>
      <w:tr w14:paraId="0CC0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0865A802">
            <w:pPr>
              <w:spacing w:line="56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1394" w:type="dxa"/>
            <w:vAlign w:val="center"/>
          </w:tcPr>
          <w:p w14:paraId="13B53ED6">
            <w:pPr>
              <w:spacing w:line="560" w:lineRule="exact"/>
              <w:jc w:val="center"/>
              <w:rPr>
                <w:rFonts w:ascii="宋体" w:hAnsi="宋体" w:eastAsia="宋体" w:cs="宋体"/>
                <w:bCs/>
                <w:sz w:val="24"/>
                <w:szCs w:val="24"/>
              </w:rPr>
            </w:pPr>
            <w:r>
              <w:rPr>
                <w:rFonts w:hint="eastAsia" w:ascii="宋体" w:hAnsi="宋体" w:eastAsia="宋体" w:cs="宋体"/>
                <w:bCs/>
                <w:sz w:val="24"/>
                <w:szCs w:val="24"/>
              </w:rPr>
              <w:t>现场配置检查</w:t>
            </w:r>
          </w:p>
        </w:tc>
        <w:tc>
          <w:tcPr>
            <w:tcW w:w="4255" w:type="dxa"/>
          </w:tcPr>
          <w:p w14:paraId="7EF6342C">
            <w:pPr>
              <w:spacing w:line="560" w:lineRule="exact"/>
              <w:rPr>
                <w:rFonts w:ascii="宋体" w:hAnsi="宋体" w:eastAsia="宋体" w:cs="宋体"/>
                <w:bCs/>
                <w:sz w:val="24"/>
                <w:szCs w:val="24"/>
              </w:rPr>
            </w:pPr>
            <w:r>
              <w:rPr>
                <w:rFonts w:hint="eastAsia" w:ascii="宋体" w:hAnsi="宋体" w:eastAsia="宋体" w:cs="宋体"/>
                <w:bCs/>
                <w:sz w:val="24"/>
                <w:szCs w:val="24"/>
              </w:rPr>
              <w:t>1、人员要求</w:t>
            </w:r>
          </w:p>
          <w:p w14:paraId="1F45B769">
            <w:pPr>
              <w:spacing w:line="560" w:lineRule="exact"/>
              <w:rPr>
                <w:rFonts w:ascii="宋体" w:hAnsi="宋体" w:eastAsia="宋体" w:cs="宋体"/>
                <w:bCs/>
                <w:sz w:val="24"/>
                <w:szCs w:val="24"/>
              </w:rPr>
            </w:pPr>
            <w:r>
              <w:rPr>
                <w:rFonts w:hint="eastAsia" w:ascii="宋体" w:hAnsi="宋体" w:eastAsia="宋体" w:cs="宋体"/>
                <w:bCs/>
                <w:sz w:val="24"/>
                <w:szCs w:val="24"/>
              </w:rPr>
              <w:t>网络管理员</w:t>
            </w:r>
          </w:p>
          <w:p w14:paraId="1C818FA4">
            <w:pPr>
              <w:spacing w:line="560" w:lineRule="exact"/>
              <w:rPr>
                <w:rFonts w:ascii="宋体" w:hAnsi="宋体" w:eastAsia="宋体" w:cs="宋体"/>
                <w:bCs/>
                <w:sz w:val="24"/>
                <w:szCs w:val="24"/>
              </w:rPr>
            </w:pPr>
            <w:r>
              <w:rPr>
                <w:rFonts w:hint="eastAsia" w:ascii="宋体" w:hAnsi="宋体" w:eastAsia="宋体" w:cs="宋体"/>
                <w:bCs/>
                <w:sz w:val="24"/>
                <w:szCs w:val="24"/>
              </w:rPr>
              <w:t>*前期提供网络拓扑图。</w:t>
            </w:r>
          </w:p>
          <w:p w14:paraId="6C712D97">
            <w:pPr>
              <w:spacing w:line="560" w:lineRule="exact"/>
              <w:rPr>
                <w:rFonts w:ascii="宋体" w:hAnsi="宋体" w:eastAsia="宋体" w:cs="宋体"/>
                <w:bCs/>
                <w:sz w:val="24"/>
                <w:szCs w:val="24"/>
              </w:rPr>
            </w:pPr>
            <w:r>
              <w:rPr>
                <w:rFonts w:hint="eastAsia" w:ascii="宋体" w:hAnsi="宋体" w:eastAsia="宋体" w:cs="宋体"/>
                <w:bCs/>
                <w:sz w:val="24"/>
                <w:szCs w:val="24"/>
              </w:rPr>
              <w:t>*登录网络设备，配合测评人员检查设备配置。</w:t>
            </w:r>
          </w:p>
          <w:p w14:paraId="08ED9FDA">
            <w:pPr>
              <w:spacing w:line="560" w:lineRule="exact"/>
              <w:rPr>
                <w:rFonts w:ascii="宋体" w:hAnsi="宋体" w:eastAsia="宋体" w:cs="宋体"/>
                <w:bCs/>
                <w:sz w:val="24"/>
                <w:szCs w:val="24"/>
              </w:rPr>
            </w:pPr>
            <w:r>
              <w:rPr>
                <w:rFonts w:hint="eastAsia" w:ascii="宋体" w:hAnsi="宋体" w:eastAsia="宋体" w:cs="宋体"/>
                <w:bCs/>
                <w:sz w:val="24"/>
                <w:szCs w:val="24"/>
              </w:rPr>
              <w:t>系统管理员</w:t>
            </w:r>
          </w:p>
          <w:p w14:paraId="0CE002EB">
            <w:pPr>
              <w:spacing w:line="560" w:lineRule="exact"/>
              <w:rPr>
                <w:rFonts w:ascii="宋体" w:hAnsi="宋体" w:eastAsia="宋体" w:cs="宋体"/>
                <w:bCs/>
                <w:sz w:val="24"/>
                <w:szCs w:val="24"/>
              </w:rPr>
            </w:pPr>
            <w:r>
              <w:rPr>
                <w:rFonts w:hint="eastAsia" w:ascii="宋体" w:hAnsi="宋体" w:eastAsia="宋体" w:cs="宋体"/>
                <w:bCs/>
                <w:sz w:val="24"/>
                <w:szCs w:val="24"/>
              </w:rPr>
              <w:t>*登录网络设备，配合测评人员检查设备配置。</w:t>
            </w:r>
          </w:p>
          <w:p w14:paraId="716F081A">
            <w:pPr>
              <w:spacing w:line="560" w:lineRule="exact"/>
              <w:rPr>
                <w:rFonts w:ascii="宋体" w:hAnsi="宋体" w:eastAsia="宋体" w:cs="宋体"/>
                <w:bCs/>
                <w:sz w:val="24"/>
                <w:szCs w:val="24"/>
              </w:rPr>
            </w:pPr>
            <w:r>
              <w:rPr>
                <w:rFonts w:hint="eastAsia" w:ascii="宋体" w:hAnsi="宋体" w:eastAsia="宋体" w:cs="宋体"/>
                <w:bCs/>
                <w:sz w:val="24"/>
                <w:szCs w:val="24"/>
              </w:rPr>
              <w:t>2、环境要求</w:t>
            </w:r>
          </w:p>
          <w:p w14:paraId="4A955A1A">
            <w:pPr>
              <w:spacing w:line="560" w:lineRule="exact"/>
              <w:rPr>
                <w:rFonts w:ascii="宋体" w:hAnsi="宋体" w:eastAsia="宋体" w:cs="宋体"/>
                <w:bCs/>
                <w:sz w:val="24"/>
                <w:szCs w:val="24"/>
              </w:rPr>
            </w:pPr>
            <w:r>
              <w:rPr>
                <w:rFonts w:hint="eastAsia" w:ascii="宋体" w:hAnsi="宋体" w:eastAsia="宋体" w:cs="宋体"/>
                <w:bCs/>
                <w:sz w:val="24"/>
                <w:szCs w:val="24"/>
              </w:rPr>
              <w:t>可登录系统及网络设备</w:t>
            </w:r>
          </w:p>
          <w:p w14:paraId="330F7FF9">
            <w:pPr>
              <w:spacing w:line="560" w:lineRule="exact"/>
              <w:rPr>
                <w:rFonts w:ascii="宋体" w:hAnsi="宋体" w:eastAsia="宋体" w:cs="宋体"/>
                <w:bCs/>
                <w:sz w:val="24"/>
                <w:szCs w:val="24"/>
              </w:rPr>
            </w:pPr>
          </w:p>
        </w:tc>
        <w:tc>
          <w:tcPr>
            <w:tcW w:w="2037" w:type="dxa"/>
          </w:tcPr>
          <w:p w14:paraId="0150F9A7">
            <w:pPr>
              <w:spacing w:line="560" w:lineRule="exact"/>
              <w:rPr>
                <w:rFonts w:ascii="宋体" w:hAnsi="宋体" w:eastAsia="宋体" w:cs="宋体"/>
                <w:bCs/>
                <w:sz w:val="24"/>
                <w:szCs w:val="24"/>
              </w:rPr>
            </w:pPr>
            <w:r>
              <w:rPr>
                <w:rFonts w:hint="eastAsia" w:ascii="宋体" w:hAnsi="宋体" w:eastAsia="宋体" w:cs="宋体"/>
                <w:bCs/>
                <w:sz w:val="24"/>
                <w:szCs w:val="24"/>
              </w:rPr>
              <w:t>1、准备配合检查方案</w:t>
            </w:r>
          </w:p>
          <w:p w14:paraId="3FBDFB8B">
            <w:pPr>
              <w:spacing w:line="560" w:lineRule="exact"/>
              <w:rPr>
                <w:rFonts w:ascii="宋体" w:hAnsi="宋体" w:eastAsia="宋体" w:cs="宋体"/>
                <w:bCs/>
                <w:sz w:val="24"/>
                <w:szCs w:val="24"/>
              </w:rPr>
            </w:pPr>
            <w:r>
              <w:rPr>
                <w:rFonts w:hint="eastAsia" w:ascii="宋体" w:hAnsi="宋体" w:eastAsia="宋体" w:cs="宋体"/>
                <w:bCs/>
                <w:sz w:val="24"/>
                <w:szCs w:val="24"/>
              </w:rPr>
              <w:t>2、测评技术人员</w:t>
            </w:r>
          </w:p>
        </w:tc>
      </w:tr>
      <w:tr w14:paraId="1F71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4D9AE465">
            <w:pPr>
              <w:spacing w:line="56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1394" w:type="dxa"/>
            <w:vAlign w:val="center"/>
          </w:tcPr>
          <w:p w14:paraId="3E972420">
            <w:pPr>
              <w:spacing w:line="560" w:lineRule="exact"/>
              <w:jc w:val="center"/>
              <w:rPr>
                <w:rFonts w:ascii="宋体" w:hAnsi="宋体" w:eastAsia="宋体" w:cs="宋体"/>
                <w:bCs/>
                <w:sz w:val="24"/>
                <w:szCs w:val="24"/>
              </w:rPr>
            </w:pPr>
            <w:r>
              <w:rPr>
                <w:rFonts w:hint="eastAsia" w:ascii="宋体" w:hAnsi="宋体" w:eastAsia="宋体" w:cs="宋体"/>
                <w:bCs/>
                <w:sz w:val="24"/>
                <w:szCs w:val="24"/>
              </w:rPr>
              <w:t>人员访谈</w:t>
            </w:r>
          </w:p>
        </w:tc>
        <w:tc>
          <w:tcPr>
            <w:tcW w:w="4255" w:type="dxa"/>
          </w:tcPr>
          <w:p w14:paraId="71C33ED8">
            <w:pPr>
              <w:spacing w:line="560" w:lineRule="exact"/>
              <w:rPr>
                <w:rFonts w:ascii="宋体" w:hAnsi="宋体" w:eastAsia="宋体" w:cs="宋体"/>
                <w:bCs/>
                <w:sz w:val="24"/>
                <w:szCs w:val="24"/>
              </w:rPr>
            </w:pPr>
            <w:r>
              <w:rPr>
                <w:rFonts w:hint="eastAsia" w:ascii="宋体" w:hAnsi="宋体" w:eastAsia="宋体" w:cs="宋体"/>
                <w:bCs/>
                <w:sz w:val="24"/>
                <w:szCs w:val="24"/>
              </w:rPr>
              <w:t>1、访谈对象要求</w:t>
            </w:r>
          </w:p>
          <w:p w14:paraId="5F232F91">
            <w:pPr>
              <w:spacing w:line="560" w:lineRule="exact"/>
              <w:rPr>
                <w:rFonts w:ascii="宋体" w:hAnsi="宋体" w:eastAsia="宋体" w:cs="宋体"/>
                <w:bCs/>
                <w:sz w:val="24"/>
                <w:szCs w:val="24"/>
              </w:rPr>
            </w:pPr>
            <w:r>
              <w:rPr>
                <w:rFonts w:hint="eastAsia" w:ascii="宋体" w:hAnsi="宋体" w:eastAsia="宋体" w:cs="宋体"/>
                <w:bCs/>
                <w:sz w:val="24"/>
                <w:szCs w:val="24"/>
              </w:rPr>
              <w:t>信息部管理人员</w:t>
            </w:r>
          </w:p>
          <w:p w14:paraId="0459A45E">
            <w:pPr>
              <w:spacing w:line="560" w:lineRule="exact"/>
              <w:rPr>
                <w:rFonts w:ascii="宋体" w:hAnsi="宋体" w:eastAsia="宋体" w:cs="宋体"/>
                <w:bCs/>
                <w:sz w:val="24"/>
                <w:szCs w:val="24"/>
              </w:rPr>
            </w:pPr>
            <w:r>
              <w:rPr>
                <w:rFonts w:hint="eastAsia" w:ascii="宋体" w:hAnsi="宋体" w:eastAsia="宋体" w:cs="宋体"/>
                <w:bCs/>
                <w:sz w:val="24"/>
                <w:szCs w:val="24"/>
              </w:rPr>
              <w:t>*配合调查表的访谈</w:t>
            </w:r>
          </w:p>
          <w:p w14:paraId="5FAF4362">
            <w:pPr>
              <w:spacing w:line="560" w:lineRule="exact"/>
              <w:rPr>
                <w:rFonts w:ascii="宋体" w:hAnsi="宋体" w:eastAsia="宋体" w:cs="宋体"/>
                <w:bCs/>
                <w:sz w:val="24"/>
                <w:szCs w:val="24"/>
              </w:rPr>
            </w:pPr>
            <w:r>
              <w:rPr>
                <w:rFonts w:hint="eastAsia" w:ascii="宋体" w:hAnsi="宋体" w:eastAsia="宋体" w:cs="宋体"/>
                <w:bCs/>
                <w:sz w:val="24"/>
                <w:szCs w:val="24"/>
              </w:rPr>
              <w:t>系统开发&amp;管理人员</w:t>
            </w:r>
          </w:p>
          <w:p w14:paraId="71CABB2B">
            <w:pPr>
              <w:spacing w:line="560" w:lineRule="exact"/>
              <w:rPr>
                <w:rFonts w:ascii="宋体" w:hAnsi="宋体" w:eastAsia="宋体" w:cs="宋体"/>
                <w:bCs/>
                <w:sz w:val="24"/>
                <w:szCs w:val="24"/>
              </w:rPr>
            </w:pPr>
            <w:r>
              <w:rPr>
                <w:rFonts w:hint="eastAsia" w:ascii="宋体" w:hAnsi="宋体" w:eastAsia="宋体" w:cs="宋体"/>
                <w:bCs/>
                <w:sz w:val="24"/>
                <w:szCs w:val="24"/>
              </w:rPr>
              <w:t>*配合测评回答应用系统操作相关问题</w:t>
            </w:r>
          </w:p>
          <w:p w14:paraId="0BD520E1">
            <w:pPr>
              <w:spacing w:line="560" w:lineRule="exact"/>
              <w:rPr>
                <w:rFonts w:ascii="宋体" w:hAnsi="宋体" w:eastAsia="宋体" w:cs="宋体"/>
                <w:bCs/>
                <w:sz w:val="24"/>
                <w:szCs w:val="24"/>
              </w:rPr>
            </w:pPr>
            <w:r>
              <w:rPr>
                <w:rFonts w:hint="eastAsia" w:ascii="宋体" w:hAnsi="宋体" w:eastAsia="宋体" w:cs="宋体"/>
                <w:bCs/>
                <w:sz w:val="24"/>
                <w:szCs w:val="24"/>
              </w:rPr>
              <w:t>网络管理人员</w:t>
            </w:r>
          </w:p>
          <w:p w14:paraId="1D04BB79">
            <w:pPr>
              <w:spacing w:line="560" w:lineRule="exact"/>
              <w:rPr>
                <w:rFonts w:ascii="宋体" w:hAnsi="宋体" w:eastAsia="宋体" w:cs="宋体"/>
                <w:bCs/>
                <w:sz w:val="24"/>
                <w:szCs w:val="24"/>
              </w:rPr>
            </w:pPr>
            <w:r>
              <w:rPr>
                <w:rFonts w:hint="eastAsia" w:ascii="宋体" w:hAnsi="宋体" w:eastAsia="宋体" w:cs="宋体"/>
                <w:bCs/>
                <w:sz w:val="24"/>
                <w:szCs w:val="24"/>
              </w:rPr>
              <w:t>*配合测评回答网络架构，及设备配置操作的相关问题</w:t>
            </w:r>
          </w:p>
          <w:p w14:paraId="01561F10">
            <w:pPr>
              <w:spacing w:line="560" w:lineRule="exact"/>
              <w:rPr>
                <w:rFonts w:ascii="宋体" w:hAnsi="宋体" w:eastAsia="宋体" w:cs="宋体"/>
                <w:bCs/>
                <w:sz w:val="24"/>
                <w:szCs w:val="24"/>
              </w:rPr>
            </w:pPr>
            <w:r>
              <w:rPr>
                <w:rFonts w:hint="eastAsia" w:ascii="宋体" w:hAnsi="宋体" w:eastAsia="宋体" w:cs="宋体"/>
                <w:bCs/>
                <w:sz w:val="24"/>
                <w:szCs w:val="24"/>
              </w:rPr>
              <w:t>2、环境要求</w:t>
            </w:r>
          </w:p>
          <w:p w14:paraId="23D3328E">
            <w:pPr>
              <w:spacing w:line="560" w:lineRule="exact"/>
              <w:rPr>
                <w:rFonts w:ascii="宋体" w:hAnsi="宋体" w:eastAsia="宋体" w:cs="宋体"/>
                <w:bCs/>
                <w:sz w:val="24"/>
                <w:szCs w:val="24"/>
              </w:rPr>
            </w:pPr>
            <w:r>
              <w:rPr>
                <w:rFonts w:hint="eastAsia" w:ascii="宋体" w:hAnsi="宋体" w:eastAsia="宋体" w:cs="宋体"/>
                <w:bCs/>
                <w:sz w:val="24"/>
                <w:szCs w:val="24"/>
              </w:rPr>
              <w:t>提供会议室</w:t>
            </w:r>
          </w:p>
        </w:tc>
        <w:tc>
          <w:tcPr>
            <w:tcW w:w="2037" w:type="dxa"/>
          </w:tcPr>
          <w:p w14:paraId="62CFF9AE">
            <w:pPr>
              <w:spacing w:line="560" w:lineRule="exact"/>
              <w:rPr>
                <w:rFonts w:ascii="宋体" w:hAnsi="宋体" w:eastAsia="宋体" w:cs="宋体"/>
                <w:bCs/>
                <w:sz w:val="24"/>
                <w:szCs w:val="24"/>
              </w:rPr>
            </w:pPr>
            <w:r>
              <w:rPr>
                <w:rFonts w:hint="eastAsia" w:ascii="宋体" w:hAnsi="宋体" w:eastAsia="宋体" w:cs="宋体"/>
                <w:bCs/>
                <w:sz w:val="24"/>
                <w:szCs w:val="24"/>
              </w:rPr>
              <w:t>1、准备访谈安排及访谈大纲</w:t>
            </w:r>
          </w:p>
          <w:p w14:paraId="2387D37E">
            <w:pPr>
              <w:spacing w:line="560" w:lineRule="exact"/>
              <w:rPr>
                <w:rFonts w:ascii="宋体" w:hAnsi="宋体" w:eastAsia="宋体" w:cs="宋体"/>
                <w:bCs/>
                <w:sz w:val="24"/>
                <w:szCs w:val="24"/>
              </w:rPr>
            </w:pPr>
            <w:r>
              <w:rPr>
                <w:rFonts w:hint="eastAsia" w:ascii="宋体" w:hAnsi="宋体" w:eastAsia="宋体" w:cs="宋体"/>
                <w:bCs/>
                <w:sz w:val="24"/>
                <w:szCs w:val="24"/>
              </w:rPr>
              <w:t>2、测评技术人员</w:t>
            </w:r>
          </w:p>
        </w:tc>
      </w:tr>
      <w:tr w14:paraId="4C76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826DC53">
            <w:pPr>
              <w:spacing w:line="56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1394" w:type="dxa"/>
            <w:vAlign w:val="center"/>
          </w:tcPr>
          <w:p w14:paraId="740D7DCD">
            <w:pPr>
              <w:spacing w:line="560" w:lineRule="exact"/>
              <w:jc w:val="center"/>
              <w:rPr>
                <w:rFonts w:ascii="宋体" w:hAnsi="宋体" w:eastAsia="宋体" w:cs="宋体"/>
                <w:bCs/>
                <w:sz w:val="24"/>
                <w:szCs w:val="24"/>
              </w:rPr>
            </w:pPr>
            <w:r>
              <w:rPr>
                <w:rFonts w:hint="eastAsia" w:ascii="宋体" w:hAnsi="宋体" w:eastAsia="宋体" w:cs="宋体"/>
                <w:bCs/>
                <w:sz w:val="24"/>
                <w:szCs w:val="24"/>
              </w:rPr>
              <w:t>文档审查</w:t>
            </w:r>
          </w:p>
        </w:tc>
        <w:tc>
          <w:tcPr>
            <w:tcW w:w="4255" w:type="dxa"/>
          </w:tcPr>
          <w:p w14:paraId="73DA8813">
            <w:pPr>
              <w:spacing w:line="560" w:lineRule="exact"/>
              <w:rPr>
                <w:rFonts w:ascii="宋体" w:hAnsi="宋体" w:eastAsia="宋体" w:cs="宋体"/>
                <w:bCs/>
                <w:sz w:val="24"/>
                <w:szCs w:val="24"/>
              </w:rPr>
            </w:pPr>
            <w:r>
              <w:rPr>
                <w:rFonts w:hint="eastAsia" w:ascii="宋体" w:hAnsi="宋体" w:eastAsia="宋体" w:cs="宋体"/>
                <w:bCs/>
                <w:sz w:val="24"/>
                <w:szCs w:val="24"/>
              </w:rPr>
              <w:t>1、人员要求</w:t>
            </w:r>
          </w:p>
          <w:p w14:paraId="581F8E3B">
            <w:pPr>
              <w:spacing w:line="560" w:lineRule="exact"/>
              <w:rPr>
                <w:rFonts w:ascii="宋体" w:hAnsi="宋体" w:eastAsia="宋体" w:cs="宋体"/>
                <w:bCs/>
                <w:sz w:val="24"/>
                <w:szCs w:val="24"/>
              </w:rPr>
            </w:pPr>
            <w:r>
              <w:rPr>
                <w:rFonts w:hint="eastAsia" w:ascii="宋体" w:hAnsi="宋体" w:eastAsia="宋体" w:cs="宋体"/>
                <w:bCs/>
                <w:sz w:val="24"/>
                <w:szCs w:val="24"/>
              </w:rPr>
              <w:t>信息部管理人员</w:t>
            </w:r>
          </w:p>
          <w:p w14:paraId="75BDDCAF">
            <w:pPr>
              <w:spacing w:line="560" w:lineRule="exact"/>
              <w:rPr>
                <w:rFonts w:ascii="宋体" w:hAnsi="宋体" w:eastAsia="宋体" w:cs="宋体"/>
                <w:bCs/>
                <w:sz w:val="24"/>
                <w:szCs w:val="24"/>
              </w:rPr>
            </w:pPr>
            <w:r>
              <w:rPr>
                <w:rFonts w:hint="eastAsia" w:ascii="宋体" w:hAnsi="宋体" w:eastAsia="宋体" w:cs="宋体"/>
                <w:bCs/>
                <w:sz w:val="24"/>
                <w:szCs w:val="24"/>
              </w:rPr>
              <w:t>*提供等保相关的管理制度</w:t>
            </w:r>
          </w:p>
          <w:p w14:paraId="230FD4B5">
            <w:pPr>
              <w:spacing w:line="560" w:lineRule="exact"/>
              <w:rPr>
                <w:rFonts w:ascii="宋体" w:hAnsi="宋体" w:eastAsia="宋体" w:cs="宋体"/>
                <w:bCs/>
                <w:sz w:val="24"/>
                <w:szCs w:val="24"/>
              </w:rPr>
            </w:pPr>
            <w:r>
              <w:rPr>
                <w:rFonts w:hint="eastAsia" w:ascii="宋体" w:hAnsi="宋体" w:eastAsia="宋体" w:cs="宋体"/>
                <w:bCs/>
                <w:sz w:val="24"/>
                <w:szCs w:val="24"/>
              </w:rPr>
              <w:t>系统开发&amp;管理人员</w:t>
            </w:r>
          </w:p>
          <w:p w14:paraId="76CFCB4E">
            <w:pPr>
              <w:spacing w:line="560" w:lineRule="exact"/>
              <w:rPr>
                <w:rFonts w:ascii="宋体" w:hAnsi="宋体" w:eastAsia="宋体" w:cs="宋体"/>
                <w:bCs/>
                <w:sz w:val="24"/>
                <w:szCs w:val="24"/>
              </w:rPr>
            </w:pPr>
            <w:r>
              <w:rPr>
                <w:rFonts w:hint="eastAsia" w:ascii="宋体" w:hAnsi="宋体" w:eastAsia="宋体" w:cs="宋体"/>
                <w:bCs/>
                <w:sz w:val="24"/>
                <w:szCs w:val="24"/>
              </w:rPr>
              <w:t>*提供相应系统建设方案及验收文档</w:t>
            </w:r>
          </w:p>
          <w:p w14:paraId="50FC0895">
            <w:pPr>
              <w:spacing w:line="560" w:lineRule="exact"/>
              <w:rPr>
                <w:rFonts w:ascii="宋体" w:hAnsi="宋体" w:eastAsia="宋体" w:cs="宋体"/>
                <w:bCs/>
                <w:sz w:val="24"/>
                <w:szCs w:val="24"/>
              </w:rPr>
            </w:pPr>
            <w:r>
              <w:rPr>
                <w:rFonts w:hint="eastAsia" w:ascii="宋体" w:hAnsi="宋体" w:eastAsia="宋体" w:cs="宋体"/>
                <w:bCs/>
                <w:sz w:val="24"/>
                <w:szCs w:val="24"/>
              </w:rPr>
              <w:t>网络管理人员</w:t>
            </w:r>
          </w:p>
          <w:p w14:paraId="59318745">
            <w:pPr>
              <w:spacing w:line="560" w:lineRule="exact"/>
              <w:rPr>
                <w:rFonts w:ascii="宋体" w:hAnsi="宋体" w:eastAsia="宋体" w:cs="宋体"/>
                <w:bCs/>
                <w:sz w:val="24"/>
                <w:szCs w:val="24"/>
              </w:rPr>
            </w:pPr>
            <w:r>
              <w:rPr>
                <w:rFonts w:hint="eastAsia" w:ascii="宋体" w:hAnsi="宋体" w:eastAsia="宋体" w:cs="宋体"/>
                <w:bCs/>
                <w:sz w:val="24"/>
                <w:szCs w:val="24"/>
              </w:rPr>
              <w:t>*提供网络系统建设方案及验收文档</w:t>
            </w:r>
          </w:p>
          <w:p w14:paraId="6BFF48BD">
            <w:pPr>
              <w:spacing w:line="560" w:lineRule="exact"/>
              <w:rPr>
                <w:rFonts w:ascii="宋体" w:hAnsi="宋体" w:eastAsia="宋体" w:cs="宋体"/>
                <w:bCs/>
                <w:sz w:val="24"/>
                <w:szCs w:val="24"/>
              </w:rPr>
            </w:pPr>
            <w:r>
              <w:rPr>
                <w:rFonts w:hint="eastAsia" w:ascii="宋体" w:hAnsi="宋体" w:eastAsia="宋体" w:cs="宋体"/>
                <w:bCs/>
                <w:sz w:val="24"/>
                <w:szCs w:val="24"/>
              </w:rPr>
              <w:t>*IP规划文档等</w:t>
            </w:r>
          </w:p>
          <w:p w14:paraId="55615B63">
            <w:pPr>
              <w:spacing w:line="560" w:lineRule="exact"/>
              <w:rPr>
                <w:rFonts w:ascii="宋体" w:hAnsi="宋体" w:eastAsia="宋体" w:cs="宋体"/>
                <w:bCs/>
                <w:sz w:val="24"/>
                <w:szCs w:val="24"/>
              </w:rPr>
            </w:pPr>
            <w:r>
              <w:rPr>
                <w:rFonts w:hint="eastAsia" w:ascii="宋体" w:hAnsi="宋体" w:eastAsia="宋体" w:cs="宋体"/>
                <w:bCs/>
                <w:sz w:val="24"/>
                <w:szCs w:val="24"/>
              </w:rPr>
              <w:t>2、环境要求</w:t>
            </w:r>
          </w:p>
          <w:p w14:paraId="0ECB4F1C">
            <w:pPr>
              <w:spacing w:line="560" w:lineRule="exact"/>
              <w:rPr>
                <w:rFonts w:ascii="宋体" w:hAnsi="宋体" w:eastAsia="宋体" w:cs="宋体"/>
                <w:bCs/>
                <w:sz w:val="24"/>
                <w:szCs w:val="24"/>
              </w:rPr>
            </w:pPr>
            <w:r>
              <w:rPr>
                <w:rFonts w:hint="eastAsia" w:ascii="宋体" w:hAnsi="宋体" w:eastAsia="宋体" w:cs="宋体"/>
                <w:bCs/>
                <w:sz w:val="24"/>
                <w:szCs w:val="24"/>
              </w:rPr>
              <w:t>提供办公场所</w:t>
            </w:r>
          </w:p>
        </w:tc>
        <w:tc>
          <w:tcPr>
            <w:tcW w:w="2037" w:type="dxa"/>
          </w:tcPr>
          <w:p w14:paraId="76182235">
            <w:pPr>
              <w:spacing w:line="560" w:lineRule="exact"/>
              <w:rPr>
                <w:rFonts w:ascii="宋体" w:hAnsi="宋体" w:eastAsia="宋体" w:cs="宋体"/>
                <w:bCs/>
                <w:sz w:val="24"/>
                <w:szCs w:val="24"/>
              </w:rPr>
            </w:pPr>
            <w:r>
              <w:rPr>
                <w:rFonts w:hint="eastAsia" w:ascii="宋体" w:hAnsi="宋体" w:eastAsia="宋体" w:cs="宋体"/>
                <w:bCs/>
                <w:sz w:val="24"/>
                <w:szCs w:val="24"/>
              </w:rPr>
              <w:t>1、准备测评表</w:t>
            </w:r>
          </w:p>
          <w:p w14:paraId="560C7BAB">
            <w:pPr>
              <w:spacing w:line="560" w:lineRule="exact"/>
              <w:rPr>
                <w:rFonts w:ascii="宋体" w:hAnsi="宋体" w:eastAsia="宋体" w:cs="宋体"/>
                <w:bCs/>
                <w:sz w:val="24"/>
                <w:szCs w:val="24"/>
              </w:rPr>
            </w:pPr>
            <w:r>
              <w:rPr>
                <w:rFonts w:hint="eastAsia" w:ascii="宋体" w:hAnsi="宋体" w:eastAsia="宋体" w:cs="宋体"/>
                <w:bCs/>
                <w:sz w:val="24"/>
                <w:szCs w:val="24"/>
              </w:rPr>
              <w:t>2、测评技术人员</w:t>
            </w:r>
          </w:p>
        </w:tc>
      </w:tr>
      <w:tr w14:paraId="45CC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6E847DF3">
            <w:pPr>
              <w:spacing w:line="56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1394" w:type="dxa"/>
            <w:vAlign w:val="center"/>
          </w:tcPr>
          <w:p w14:paraId="792BB039">
            <w:pPr>
              <w:spacing w:line="560" w:lineRule="exact"/>
              <w:jc w:val="center"/>
              <w:rPr>
                <w:rFonts w:ascii="宋体" w:hAnsi="宋体" w:eastAsia="宋体" w:cs="宋体"/>
                <w:bCs/>
                <w:sz w:val="24"/>
                <w:szCs w:val="24"/>
              </w:rPr>
            </w:pPr>
            <w:r>
              <w:rPr>
                <w:rFonts w:hint="eastAsia" w:ascii="宋体" w:hAnsi="宋体" w:eastAsia="宋体" w:cs="宋体"/>
                <w:bCs/>
                <w:sz w:val="24"/>
                <w:szCs w:val="24"/>
              </w:rPr>
              <w:t>实地查看</w:t>
            </w:r>
          </w:p>
        </w:tc>
        <w:tc>
          <w:tcPr>
            <w:tcW w:w="4255" w:type="dxa"/>
          </w:tcPr>
          <w:p w14:paraId="7D7C784A">
            <w:pPr>
              <w:spacing w:line="560" w:lineRule="exact"/>
              <w:rPr>
                <w:rFonts w:ascii="宋体" w:hAnsi="宋体" w:eastAsia="宋体" w:cs="宋体"/>
                <w:bCs/>
                <w:sz w:val="24"/>
                <w:szCs w:val="24"/>
              </w:rPr>
            </w:pPr>
            <w:r>
              <w:rPr>
                <w:rFonts w:hint="eastAsia" w:ascii="宋体" w:hAnsi="宋体" w:eastAsia="宋体" w:cs="宋体"/>
                <w:bCs/>
                <w:sz w:val="24"/>
                <w:szCs w:val="24"/>
              </w:rPr>
              <w:t>1、人员要求</w:t>
            </w:r>
          </w:p>
          <w:p w14:paraId="3CF8F49C">
            <w:pPr>
              <w:spacing w:line="560" w:lineRule="exact"/>
              <w:rPr>
                <w:rFonts w:ascii="宋体" w:hAnsi="宋体" w:eastAsia="宋体" w:cs="宋体"/>
                <w:bCs/>
                <w:sz w:val="24"/>
                <w:szCs w:val="24"/>
              </w:rPr>
            </w:pPr>
            <w:r>
              <w:rPr>
                <w:rFonts w:hint="eastAsia" w:ascii="宋体" w:hAnsi="宋体" w:eastAsia="宋体" w:cs="宋体"/>
                <w:bCs/>
                <w:sz w:val="24"/>
                <w:szCs w:val="24"/>
              </w:rPr>
              <w:t>机房管理员</w:t>
            </w:r>
          </w:p>
          <w:p w14:paraId="30FA1C99">
            <w:pPr>
              <w:spacing w:line="560" w:lineRule="exact"/>
              <w:rPr>
                <w:rFonts w:ascii="宋体" w:hAnsi="宋体" w:eastAsia="宋体" w:cs="宋体"/>
                <w:bCs/>
                <w:sz w:val="24"/>
                <w:szCs w:val="24"/>
              </w:rPr>
            </w:pPr>
            <w:r>
              <w:rPr>
                <w:rFonts w:hint="eastAsia" w:ascii="宋体" w:hAnsi="宋体" w:eastAsia="宋体" w:cs="宋体"/>
                <w:bCs/>
                <w:sz w:val="24"/>
                <w:szCs w:val="24"/>
              </w:rPr>
              <w:t>*配合测评人员检查机房物理环境。</w:t>
            </w:r>
          </w:p>
          <w:p w14:paraId="517A9BEB">
            <w:pPr>
              <w:spacing w:line="560" w:lineRule="exact"/>
              <w:rPr>
                <w:rFonts w:ascii="宋体" w:hAnsi="宋体" w:eastAsia="宋体" w:cs="宋体"/>
                <w:bCs/>
                <w:sz w:val="24"/>
                <w:szCs w:val="24"/>
              </w:rPr>
            </w:pPr>
            <w:r>
              <w:rPr>
                <w:rFonts w:hint="eastAsia" w:ascii="宋体" w:hAnsi="宋体" w:eastAsia="宋体" w:cs="宋体"/>
                <w:bCs/>
                <w:sz w:val="24"/>
                <w:szCs w:val="24"/>
              </w:rPr>
              <w:t>2、环境要求</w:t>
            </w:r>
          </w:p>
          <w:p w14:paraId="53F7A9CE">
            <w:pPr>
              <w:spacing w:line="560" w:lineRule="exact"/>
              <w:rPr>
                <w:rFonts w:ascii="宋体" w:hAnsi="宋体" w:eastAsia="宋体" w:cs="宋体"/>
                <w:bCs/>
                <w:sz w:val="24"/>
                <w:szCs w:val="24"/>
              </w:rPr>
            </w:pPr>
            <w:r>
              <w:rPr>
                <w:rFonts w:hint="eastAsia" w:ascii="宋体" w:hAnsi="宋体" w:eastAsia="宋体" w:cs="宋体"/>
                <w:bCs/>
                <w:sz w:val="24"/>
                <w:szCs w:val="24"/>
              </w:rPr>
              <w:t>*可访问机房、办公等物理区域</w:t>
            </w:r>
          </w:p>
        </w:tc>
        <w:tc>
          <w:tcPr>
            <w:tcW w:w="2037" w:type="dxa"/>
          </w:tcPr>
          <w:p w14:paraId="321563F4">
            <w:pPr>
              <w:spacing w:line="560" w:lineRule="exact"/>
              <w:rPr>
                <w:rFonts w:ascii="宋体" w:hAnsi="宋体" w:eastAsia="宋体" w:cs="宋体"/>
                <w:bCs/>
                <w:sz w:val="24"/>
                <w:szCs w:val="24"/>
              </w:rPr>
            </w:pPr>
            <w:r>
              <w:rPr>
                <w:rFonts w:hint="eastAsia" w:ascii="宋体" w:hAnsi="宋体" w:eastAsia="宋体" w:cs="宋体"/>
                <w:bCs/>
                <w:sz w:val="24"/>
                <w:szCs w:val="24"/>
              </w:rPr>
              <w:t>1、准备测评表</w:t>
            </w:r>
          </w:p>
          <w:p w14:paraId="34B6026D">
            <w:pPr>
              <w:spacing w:line="560" w:lineRule="exact"/>
              <w:rPr>
                <w:rFonts w:ascii="宋体" w:hAnsi="宋体" w:eastAsia="宋体" w:cs="宋体"/>
                <w:bCs/>
                <w:sz w:val="24"/>
                <w:szCs w:val="24"/>
              </w:rPr>
            </w:pPr>
            <w:r>
              <w:rPr>
                <w:rFonts w:hint="eastAsia" w:ascii="宋体" w:hAnsi="宋体" w:eastAsia="宋体" w:cs="宋体"/>
                <w:bCs/>
                <w:sz w:val="24"/>
                <w:szCs w:val="24"/>
              </w:rPr>
              <w:t>2、测评技术人员</w:t>
            </w:r>
          </w:p>
        </w:tc>
      </w:tr>
    </w:tbl>
    <w:p w14:paraId="6D477D74">
      <w:pPr>
        <w:keepNext/>
        <w:keepLines/>
        <w:numPr>
          <w:ilvl w:val="4"/>
          <w:numId w:val="0"/>
        </w:numPr>
        <w:spacing w:before="240" w:after="120" w:line="560" w:lineRule="exact"/>
        <w:outlineLvl w:val="4"/>
        <w:rPr>
          <w:rFonts w:ascii="宋体" w:hAnsi="宋体" w:eastAsia="宋体" w:cs="宋体"/>
          <w:b/>
          <w:sz w:val="24"/>
          <w:szCs w:val="24"/>
        </w:rPr>
      </w:pPr>
      <w:r>
        <w:rPr>
          <w:rFonts w:hint="eastAsia" w:ascii="宋体" w:hAnsi="宋体" w:eastAsia="宋体" w:cs="宋体"/>
          <w:b/>
          <w:sz w:val="24"/>
          <w:szCs w:val="24"/>
        </w:rPr>
        <w:t>风险规避</w:t>
      </w:r>
    </w:p>
    <w:p w14:paraId="7A3395B2">
      <w:pPr>
        <w:spacing w:line="560" w:lineRule="exact"/>
        <w:ind w:firstLine="480"/>
        <w:rPr>
          <w:rFonts w:ascii="宋体" w:hAnsi="宋体" w:eastAsia="宋体" w:cs="宋体"/>
          <w:sz w:val="24"/>
          <w:szCs w:val="24"/>
        </w:rPr>
      </w:pPr>
      <w:r>
        <w:rPr>
          <w:rFonts w:hint="eastAsia" w:ascii="宋体" w:hAnsi="宋体" w:eastAsia="宋体" w:cs="宋体"/>
          <w:sz w:val="24"/>
          <w:szCs w:val="24"/>
        </w:rPr>
        <w:t>在测评过程中，可能会对被测系统造成影响，相应地会造成各种损失。这些影响包括信息泄露、业务停顿或处理能力受损等。因此，必须充分考虑各种可能的影响及其危害并准备好相应的应对措施，尽可能减小对目标系统正常运行的干扰，从而减小损失。</w:t>
      </w:r>
    </w:p>
    <w:p w14:paraId="3A9393AA">
      <w:pPr>
        <w:spacing w:line="560" w:lineRule="exact"/>
        <w:ind w:firstLine="480"/>
        <w:rPr>
          <w:rFonts w:ascii="宋体" w:hAnsi="宋体" w:eastAsia="宋体" w:cs="宋体"/>
          <w:sz w:val="24"/>
          <w:szCs w:val="24"/>
        </w:rPr>
      </w:pPr>
      <w:r>
        <w:rPr>
          <w:rFonts w:hint="eastAsia" w:ascii="宋体" w:hAnsi="宋体" w:eastAsia="宋体" w:cs="宋体"/>
          <w:sz w:val="24"/>
          <w:szCs w:val="24"/>
        </w:rPr>
        <w:t>下表给出了测评过程中可能存在的风险与控制措施。</w:t>
      </w:r>
    </w:p>
    <w:p w14:paraId="5B7B1B0A">
      <w:pPr>
        <w:keepNext/>
        <w:spacing w:line="560" w:lineRule="exact"/>
        <w:jc w:val="center"/>
        <w:rPr>
          <w:rFonts w:ascii="宋体" w:hAnsi="宋体" w:eastAsia="宋体" w:cs="宋体"/>
          <w:sz w:val="24"/>
          <w:szCs w:val="24"/>
        </w:rPr>
      </w:pPr>
      <w:r>
        <w:rPr>
          <w:rFonts w:hint="eastAsia" w:ascii="宋体" w:hAnsi="宋体" w:eastAsia="宋体" w:cs="宋体"/>
          <w:sz w:val="24"/>
          <w:szCs w:val="24"/>
        </w:rPr>
        <w:t>表10网络安全测评-风险规避</w:t>
      </w:r>
    </w:p>
    <w:tbl>
      <w:tblPr>
        <w:tblStyle w:val="9"/>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332"/>
        <w:gridCol w:w="1018"/>
        <w:gridCol w:w="3582"/>
      </w:tblGrid>
      <w:tr w14:paraId="0581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96" w:type="dxa"/>
            <w:tcBorders>
              <w:top w:val="single" w:color="auto" w:sz="4" w:space="0"/>
              <w:left w:val="single" w:color="auto" w:sz="4" w:space="0"/>
              <w:bottom w:val="single" w:color="auto" w:sz="4" w:space="0"/>
              <w:right w:val="single" w:color="auto" w:sz="4" w:space="0"/>
            </w:tcBorders>
            <w:shd w:val="clear" w:color="auto" w:fill="C0C0C0"/>
            <w:vAlign w:val="center"/>
          </w:tcPr>
          <w:p w14:paraId="37555274">
            <w:pPr>
              <w:spacing w:line="560" w:lineRule="exact"/>
              <w:jc w:val="center"/>
              <w:rPr>
                <w:rFonts w:ascii="宋体" w:hAnsi="宋体" w:eastAsia="宋体" w:cs="宋体"/>
                <w:b/>
                <w:sz w:val="24"/>
                <w:szCs w:val="24"/>
              </w:rPr>
            </w:pPr>
            <w:r>
              <w:rPr>
                <w:rFonts w:hint="eastAsia" w:ascii="宋体" w:hAnsi="宋体" w:eastAsia="宋体" w:cs="宋体"/>
                <w:b/>
                <w:sz w:val="24"/>
                <w:szCs w:val="24"/>
              </w:rPr>
              <w:t>内容</w:t>
            </w:r>
          </w:p>
        </w:tc>
        <w:tc>
          <w:tcPr>
            <w:tcW w:w="2332" w:type="dxa"/>
            <w:tcBorders>
              <w:top w:val="single" w:color="auto" w:sz="4" w:space="0"/>
              <w:left w:val="single" w:color="auto" w:sz="4" w:space="0"/>
              <w:bottom w:val="single" w:color="auto" w:sz="4" w:space="0"/>
              <w:right w:val="single" w:color="auto" w:sz="4" w:space="0"/>
            </w:tcBorders>
            <w:shd w:val="clear" w:color="auto" w:fill="C0C0C0"/>
            <w:vAlign w:val="center"/>
          </w:tcPr>
          <w:p w14:paraId="5436FD01">
            <w:pPr>
              <w:spacing w:line="560" w:lineRule="exact"/>
              <w:jc w:val="center"/>
              <w:rPr>
                <w:rFonts w:ascii="宋体" w:hAnsi="宋体" w:eastAsia="宋体" w:cs="宋体"/>
                <w:b/>
                <w:sz w:val="24"/>
                <w:szCs w:val="24"/>
              </w:rPr>
            </w:pPr>
            <w:r>
              <w:rPr>
                <w:rFonts w:hint="eastAsia" w:ascii="宋体" w:hAnsi="宋体" w:eastAsia="宋体" w:cs="宋体"/>
                <w:b/>
                <w:sz w:val="24"/>
                <w:szCs w:val="24"/>
              </w:rPr>
              <w:t>可能存在的风险</w:t>
            </w:r>
          </w:p>
        </w:tc>
        <w:tc>
          <w:tcPr>
            <w:tcW w:w="1018" w:type="dxa"/>
            <w:tcBorders>
              <w:top w:val="single" w:color="auto" w:sz="4" w:space="0"/>
              <w:left w:val="single" w:color="auto" w:sz="4" w:space="0"/>
              <w:bottom w:val="single" w:color="auto" w:sz="4" w:space="0"/>
              <w:right w:val="single" w:color="auto" w:sz="4" w:space="0"/>
            </w:tcBorders>
            <w:shd w:val="clear" w:color="auto" w:fill="C0C0C0"/>
            <w:vAlign w:val="center"/>
          </w:tcPr>
          <w:p w14:paraId="2B9AB5E5">
            <w:pPr>
              <w:spacing w:line="560" w:lineRule="exact"/>
              <w:jc w:val="center"/>
              <w:rPr>
                <w:rFonts w:ascii="宋体" w:hAnsi="宋体" w:eastAsia="宋体" w:cs="宋体"/>
                <w:b/>
                <w:sz w:val="24"/>
                <w:szCs w:val="24"/>
              </w:rPr>
            </w:pPr>
            <w:r>
              <w:rPr>
                <w:rFonts w:hint="eastAsia" w:ascii="宋体" w:hAnsi="宋体" w:eastAsia="宋体" w:cs="宋体"/>
                <w:b/>
                <w:sz w:val="24"/>
                <w:szCs w:val="24"/>
              </w:rPr>
              <w:t>等级</w:t>
            </w:r>
          </w:p>
        </w:tc>
        <w:tc>
          <w:tcPr>
            <w:tcW w:w="3582" w:type="dxa"/>
            <w:tcBorders>
              <w:top w:val="single" w:color="auto" w:sz="4" w:space="0"/>
              <w:left w:val="single" w:color="auto" w:sz="4" w:space="0"/>
              <w:bottom w:val="single" w:color="auto" w:sz="4" w:space="0"/>
              <w:right w:val="single" w:color="auto" w:sz="4" w:space="0"/>
            </w:tcBorders>
            <w:shd w:val="clear" w:color="auto" w:fill="C0C0C0"/>
            <w:vAlign w:val="center"/>
          </w:tcPr>
          <w:p w14:paraId="0C10F706">
            <w:pPr>
              <w:spacing w:line="560" w:lineRule="exact"/>
              <w:jc w:val="center"/>
              <w:rPr>
                <w:rFonts w:ascii="宋体" w:hAnsi="宋体" w:eastAsia="宋体" w:cs="宋体"/>
                <w:b/>
                <w:sz w:val="24"/>
                <w:szCs w:val="24"/>
              </w:rPr>
            </w:pPr>
            <w:r>
              <w:rPr>
                <w:rFonts w:hint="eastAsia" w:ascii="宋体" w:hAnsi="宋体" w:eastAsia="宋体" w:cs="宋体"/>
                <w:b/>
                <w:sz w:val="24"/>
                <w:szCs w:val="24"/>
              </w:rPr>
              <w:t>控制措施</w:t>
            </w:r>
          </w:p>
        </w:tc>
      </w:tr>
      <w:tr w14:paraId="2C1F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tcBorders>
              <w:top w:val="single" w:color="auto" w:sz="4" w:space="0"/>
              <w:left w:val="single" w:color="auto" w:sz="4" w:space="0"/>
              <w:bottom w:val="single" w:color="auto" w:sz="4" w:space="0"/>
              <w:right w:val="single" w:color="auto" w:sz="4" w:space="0"/>
            </w:tcBorders>
            <w:vAlign w:val="center"/>
          </w:tcPr>
          <w:p w14:paraId="3449A5A0">
            <w:pPr>
              <w:spacing w:line="560" w:lineRule="exact"/>
              <w:jc w:val="center"/>
              <w:rPr>
                <w:rFonts w:ascii="宋体" w:hAnsi="宋体" w:eastAsia="宋体" w:cs="宋体"/>
                <w:bCs/>
                <w:sz w:val="24"/>
                <w:szCs w:val="24"/>
              </w:rPr>
            </w:pPr>
            <w:r>
              <w:rPr>
                <w:rFonts w:hint="eastAsia" w:ascii="宋体" w:hAnsi="宋体" w:eastAsia="宋体" w:cs="宋体"/>
                <w:bCs/>
                <w:sz w:val="24"/>
                <w:szCs w:val="24"/>
              </w:rPr>
              <w:t>信息资产调研</w:t>
            </w:r>
          </w:p>
        </w:tc>
        <w:tc>
          <w:tcPr>
            <w:tcW w:w="2332" w:type="dxa"/>
            <w:tcBorders>
              <w:top w:val="single" w:color="auto" w:sz="4" w:space="0"/>
              <w:left w:val="single" w:color="auto" w:sz="4" w:space="0"/>
              <w:bottom w:val="single" w:color="auto" w:sz="4" w:space="0"/>
              <w:right w:val="single" w:color="auto" w:sz="4" w:space="0"/>
            </w:tcBorders>
            <w:vAlign w:val="center"/>
          </w:tcPr>
          <w:p w14:paraId="65B1542B">
            <w:pPr>
              <w:spacing w:line="560" w:lineRule="exact"/>
              <w:jc w:val="center"/>
              <w:rPr>
                <w:rFonts w:ascii="宋体" w:hAnsi="宋体" w:eastAsia="宋体" w:cs="宋体"/>
                <w:bCs/>
                <w:sz w:val="24"/>
                <w:szCs w:val="24"/>
              </w:rPr>
            </w:pPr>
            <w:r>
              <w:rPr>
                <w:rFonts w:hint="eastAsia" w:ascii="宋体" w:hAnsi="宋体" w:eastAsia="宋体" w:cs="宋体"/>
                <w:bCs/>
                <w:sz w:val="24"/>
                <w:szCs w:val="24"/>
              </w:rPr>
              <w:t>资产信息泄露</w:t>
            </w:r>
          </w:p>
        </w:tc>
        <w:tc>
          <w:tcPr>
            <w:tcW w:w="1018" w:type="dxa"/>
            <w:tcBorders>
              <w:top w:val="single" w:color="auto" w:sz="4" w:space="0"/>
              <w:left w:val="single" w:color="auto" w:sz="4" w:space="0"/>
              <w:bottom w:val="single" w:color="auto" w:sz="4" w:space="0"/>
              <w:right w:val="single" w:color="auto" w:sz="4" w:space="0"/>
            </w:tcBorders>
            <w:vAlign w:val="center"/>
          </w:tcPr>
          <w:p w14:paraId="31FA0B64">
            <w:pPr>
              <w:spacing w:line="560" w:lineRule="exact"/>
              <w:jc w:val="center"/>
              <w:rPr>
                <w:rFonts w:ascii="宋体" w:hAnsi="宋体" w:eastAsia="宋体" w:cs="宋体"/>
                <w:bCs/>
                <w:sz w:val="24"/>
                <w:szCs w:val="24"/>
              </w:rPr>
            </w:pPr>
            <w:r>
              <w:rPr>
                <w:rFonts w:hint="eastAsia" w:ascii="宋体" w:hAnsi="宋体" w:eastAsia="宋体" w:cs="宋体"/>
                <w:bCs/>
                <w:sz w:val="24"/>
                <w:szCs w:val="24"/>
              </w:rPr>
              <w:t>高</w:t>
            </w:r>
          </w:p>
        </w:tc>
        <w:tc>
          <w:tcPr>
            <w:tcW w:w="3582" w:type="dxa"/>
            <w:tcBorders>
              <w:top w:val="single" w:color="auto" w:sz="4" w:space="0"/>
              <w:left w:val="single" w:color="auto" w:sz="4" w:space="0"/>
              <w:bottom w:val="single" w:color="auto" w:sz="4" w:space="0"/>
              <w:right w:val="single" w:color="auto" w:sz="4" w:space="0"/>
            </w:tcBorders>
            <w:vAlign w:val="center"/>
          </w:tcPr>
          <w:p w14:paraId="3441AAA1">
            <w:pPr>
              <w:spacing w:line="560" w:lineRule="exact"/>
              <w:rPr>
                <w:rFonts w:ascii="宋体" w:hAnsi="宋体" w:eastAsia="宋体" w:cs="宋体"/>
                <w:bCs/>
                <w:sz w:val="24"/>
                <w:szCs w:val="24"/>
              </w:rPr>
            </w:pPr>
            <w:r>
              <w:rPr>
                <w:rFonts w:hint="eastAsia" w:ascii="宋体" w:hAnsi="宋体" w:eastAsia="宋体" w:cs="宋体"/>
                <w:bCs/>
                <w:sz w:val="24"/>
                <w:szCs w:val="24"/>
              </w:rPr>
              <w:t>协议、规章、制度、法律、法规</w:t>
            </w:r>
          </w:p>
        </w:tc>
      </w:tr>
      <w:tr w14:paraId="1294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tcBorders>
              <w:top w:val="single" w:color="auto" w:sz="4" w:space="0"/>
              <w:left w:val="single" w:color="auto" w:sz="4" w:space="0"/>
              <w:bottom w:val="single" w:color="auto" w:sz="4" w:space="0"/>
              <w:right w:val="single" w:color="auto" w:sz="4" w:space="0"/>
            </w:tcBorders>
            <w:vAlign w:val="center"/>
          </w:tcPr>
          <w:p w14:paraId="75A36EAE">
            <w:pPr>
              <w:spacing w:line="560" w:lineRule="exact"/>
              <w:jc w:val="center"/>
              <w:rPr>
                <w:rFonts w:ascii="宋体" w:hAnsi="宋体" w:eastAsia="宋体" w:cs="宋体"/>
                <w:bCs/>
                <w:sz w:val="24"/>
                <w:szCs w:val="24"/>
              </w:rPr>
            </w:pPr>
            <w:r>
              <w:rPr>
                <w:rFonts w:hint="eastAsia" w:ascii="宋体" w:hAnsi="宋体" w:eastAsia="宋体" w:cs="宋体"/>
                <w:bCs/>
                <w:sz w:val="24"/>
                <w:szCs w:val="24"/>
              </w:rPr>
              <w:t>安全管理测评</w:t>
            </w:r>
          </w:p>
        </w:tc>
        <w:tc>
          <w:tcPr>
            <w:tcW w:w="2332" w:type="dxa"/>
            <w:tcBorders>
              <w:top w:val="single" w:color="auto" w:sz="4" w:space="0"/>
              <w:left w:val="single" w:color="auto" w:sz="4" w:space="0"/>
              <w:bottom w:val="single" w:color="auto" w:sz="4" w:space="0"/>
              <w:right w:val="single" w:color="auto" w:sz="4" w:space="0"/>
            </w:tcBorders>
            <w:vAlign w:val="center"/>
          </w:tcPr>
          <w:p w14:paraId="60BBD429">
            <w:pPr>
              <w:spacing w:line="560" w:lineRule="exact"/>
              <w:jc w:val="center"/>
              <w:rPr>
                <w:rFonts w:ascii="宋体" w:hAnsi="宋体" w:eastAsia="宋体" w:cs="宋体"/>
                <w:bCs/>
                <w:sz w:val="24"/>
                <w:szCs w:val="24"/>
              </w:rPr>
            </w:pPr>
            <w:r>
              <w:rPr>
                <w:rFonts w:hint="eastAsia" w:ascii="宋体" w:hAnsi="宋体" w:eastAsia="宋体" w:cs="宋体"/>
                <w:bCs/>
                <w:sz w:val="24"/>
                <w:szCs w:val="24"/>
              </w:rPr>
              <w:t>安全管理信息泄露</w:t>
            </w:r>
          </w:p>
        </w:tc>
        <w:tc>
          <w:tcPr>
            <w:tcW w:w="1018" w:type="dxa"/>
            <w:tcBorders>
              <w:top w:val="single" w:color="auto" w:sz="4" w:space="0"/>
              <w:left w:val="single" w:color="auto" w:sz="4" w:space="0"/>
              <w:bottom w:val="single" w:color="auto" w:sz="4" w:space="0"/>
              <w:right w:val="single" w:color="auto" w:sz="4" w:space="0"/>
            </w:tcBorders>
            <w:vAlign w:val="center"/>
          </w:tcPr>
          <w:p w14:paraId="71EDBAD3">
            <w:pPr>
              <w:spacing w:line="560" w:lineRule="exact"/>
              <w:jc w:val="center"/>
              <w:rPr>
                <w:rFonts w:ascii="宋体" w:hAnsi="宋体" w:eastAsia="宋体" w:cs="宋体"/>
                <w:bCs/>
                <w:sz w:val="24"/>
                <w:szCs w:val="24"/>
              </w:rPr>
            </w:pPr>
            <w:r>
              <w:rPr>
                <w:rFonts w:hint="eastAsia" w:ascii="宋体" w:hAnsi="宋体" w:eastAsia="宋体" w:cs="宋体"/>
                <w:bCs/>
                <w:sz w:val="24"/>
                <w:szCs w:val="24"/>
              </w:rPr>
              <w:t>高</w:t>
            </w:r>
          </w:p>
        </w:tc>
        <w:tc>
          <w:tcPr>
            <w:tcW w:w="3582" w:type="dxa"/>
            <w:tcBorders>
              <w:top w:val="single" w:color="auto" w:sz="4" w:space="0"/>
              <w:left w:val="single" w:color="auto" w:sz="4" w:space="0"/>
              <w:bottom w:val="single" w:color="auto" w:sz="4" w:space="0"/>
              <w:right w:val="single" w:color="auto" w:sz="4" w:space="0"/>
            </w:tcBorders>
            <w:vAlign w:val="center"/>
          </w:tcPr>
          <w:p w14:paraId="47DB6CBE">
            <w:pPr>
              <w:spacing w:line="560" w:lineRule="exact"/>
              <w:rPr>
                <w:rFonts w:ascii="宋体" w:hAnsi="宋体" w:eastAsia="宋体" w:cs="宋体"/>
                <w:bCs/>
                <w:sz w:val="24"/>
                <w:szCs w:val="24"/>
              </w:rPr>
            </w:pPr>
            <w:r>
              <w:rPr>
                <w:rFonts w:hint="eastAsia" w:ascii="宋体" w:hAnsi="宋体" w:eastAsia="宋体" w:cs="宋体"/>
                <w:bCs/>
                <w:sz w:val="24"/>
                <w:szCs w:val="24"/>
              </w:rPr>
              <w:t>合同、协议、规章、制度、法律、法规</w:t>
            </w:r>
          </w:p>
        </w:tc>
      </w:tr>
      <w:tr w14:paraId="2A4B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restart"/>
            <w:tcBorders>
              <w:top w:val="single" w:color="auto" w:sz="4" w:space="0"/>
              <w:left w:val="single" w:color="auto" w:sz="4" w:space="0"/>
              <w:bottom w:val="single" w:color="auto" w:sz="4" w:space="0"/>
              <w:right w:val="single" w:color="auto" w:sz="4" w:space="0"/>
            </w:tcBorders>
            <w:vAlign w:val="center"/>
          </w:tcPr>
          <w:p w14:paraId="0EE30397">
            <w:pPr>
              <w:spacing w:line="560" w:lineRule="exact"/>
              <w:jc w:val="center"/>
              <w:rPr>
                <w:rFonts w:ascii="宋体" w:hAnsi="宋体" w:eastAsia="宋体" w:cs="宋体"/>
                <w:bCs/>
                <w:sz w:val="24"/>
                <w:szCs w:val="24"/>
              </w:rPr>
            </w:pPr>
            <w:r>
              <w:rPr>
                <w:rFonts w:hint="eastAsia" w:ascii="宋体" w:hAnsi="宋体" w:eastAsia="宋体" w:cs="宋体"/>
                <w:bCs/>
                <w:sz w:val="24"/>
                <w:szCs w:val="24"/>
              </w:rPr>
              <w:t>网络设备测评/安全设备测评</w:t>
            </w:r>
          </w:p>
        </w:tc>
        <w:tc>
          <w:tcPr>
            <w:tcW w:w="2332" w:type="dxa"/>
            <w:tcBorders>
              <w:top w:val="single" w:color="auto" w:sz="4" w:space="0"/>
              <w:left w:val="single" w:color="auto" w:sz="4" w:space="0"/>
              <w:bottom w:val="single" w:color="auto" w:sz="4" w:space="0"/>
              <w:right w:val="single" w:color="auto" w:sz="4" w:space="0"/>
            </w:tcBorders>
            <w:vAlign w:val="center"/>
          </w:tcPr>
          <w:p w14:paraId="726BAFED">
            <w:pPr>
              <w:spacing w:line="560" w:lineRule="exact"/>
              <w:jc w:val="center"/>
              <w:rPr>
                <w:rFonts w:ascii="宋体" w:hAnsi="宋体" w:eastAsia="宋体" w:cs="宋体"/>
                <w:bCs/>
                <w:sz w:val="24"/>
                <w:szCs w:val="24"/>
              </w:rPr>
            </w:pPr>
            <w:r>
              <w:rPr>
                <w:rFonts w:hint="eastAsia" w:ascii="宋体" w:hAnsi="宋体" w:eastAsia="宋体" w:cs="宋体"/>
                <w:bCs/>
                <w:sz w:val="24"/>
                <w:szCs w:val="24"/>
              </w:rPr>
              <w:t>误操作引起设备崩溃或数据丢失、损坏</w:t>
            </w:r>
          </w:p>
        </w:tc>
        <w:tc>
          <w:tcPr>
            <w:tcW w:w="1018" w:type="dxa"/>
            <w:tcBorders>
              <w:top w:val="single" w:color="auto" w:sz="4" w:space="0"/>
              <w:left w:val="single" w:color="auto" w:sz="4" w:space="0"/>
              <w:bottom w:val="single" w:color="auto" w:sz="4" w:space="0"/>
              <w:right w:val="single" w:color="auto" w:sz="4" w:space="0"/>
            </w:tcBorders>
            <w:vAlign w:val="center"/>
          </w:tcPr>
          <w:p w14:paraId="20A62F34">
            <w:pPr>
              <w:spacing w:line="560" w:lineRule="exact"/>
              <w:jc w:val="center"/>
              <w:rPr>
                <w:rFonts w:ascii="宋体" w:hAnsi="宋体" w:eastAsia="宋体" w:cs="宋体"/>
                <w:bCs/>
                <w:sz w:val="24"/>
                <w:szCs w:val="24"/>
              </w:rPr>
            </w:pPr>
            <w:r>
              <w:rPr>
                <w:rFonts w:hint="eastAsia" w:ascii="宋体" w:hAnsi="宋体" w:eastAsia="宋体" w:cs="宋体"/>
                <w:bCs/>
                <w:sz w:val="24"/>
                <w:szCs w:val="24"/>
              </w:rPr>
              <w:t>高</w:t>
            </w:r>
          </w:p>
        </w:tc>
        <w:tc>
          <w:tcPr>
            <w:tcW w:w="3582" w:type="dxa"/>
            <w:tcBorders>
              <w:top w:val="single" w:color="auto" w:sz="4" w:space="0"/>
              <w:left w:val="single" w:color="auto" w:sz="4" w:space="0"/>
              <w:bottom w:val="single" w:color="auto" w:sz="4" w:space="0"/>
              <w:right w:val="single" w:color="auto" w:sz="4" w:space="0"/>
            </w:tcBorders>
            <w:vAlign w:val="center"/>
          </w:tcPr>
          <w:p w14:paraId="65A45D44">
            <w:pPr>
              <w:spacing w:line="560" w:lineRule="exact"/>
              <w:rPr>
                <w:rFonts w:ascii="宋体" w:hAnsi="宋体" w:eastAsia="宋体" w:cs="宋体"/>
                <w:bCs/>
                <w:sz w:val="24"/>
                <w:szCs w:val="24"/>
              </w:rPr>
            </w:pPr>
            <w:r>
              <w:rPr>
                <w:rFonts w:hint="eastAsia" w:ascii="宋体" w:hAnsi="宋体" w:eastAsia="宋体" w:cs="宋体"/>
                <w:bCs/>
                <w:sz w:val="24"/>
                <w:szCs w:val="24"/>
              </w:rPr>
              <w:t>规范审计流程；</w:t>
            </w:r>
          </w:p>
          <w:p w14:paraId="7D912E7E">
            <w:pPr>
              <w:spacing w:line="560" w:lineRule="exact"/>
              <w:rPr>
                <w:rFonts w:ascii="宋体" w:hAnsi="宋体" w:eastAsia="宋体" w:cs="宋体"/>
                <w:bCs/>
                <w:sz w:val="24"/>
                <w:szCs w:val="24"/>
              </w:rPr>
            </w:pPr>
            <w:r>
              <w:rPr>
                <w:rFonts w:hint="eastAsia" w:ascii="宋体" w:hAnsi="宋体" w:eastAsia="宋体" w:cs="宋体"/>
                <w:bCs/>
                <w:sz w:val="24"/>
                <w:szCs w:val="24"/>
              </w:rPr>
              <w:t>严格选择测评师；</w:t>
            </w:r>
          </w:p>
          <w:p w14:paraId="473E543C">
            <w:pPr>
              <w:spacing w:line="560" w:lineRule="exact"/>
              <w:rPr>
                <w:rFonts w:ascii="宋体" w:hAnsi="宋体" w:eastAsia="宋体" w:cs="宋体"/>
                <w:bCs/>
                <w:sz w:val="24"/>
                <w:szCs w:val="24"/>
              </w:rPr>
            </w:pPr>
            <w:r>
              <w:rPr>
                <w:rFonts w:hint="eastAsia" w:ascii="宋体" w:hAnsi="宋体" w:eastAsia="宋体" w:cs="宋体"/>
                <w:bCs/>
                <w:sz w:val="24"/>
                <w:szCs w:val="24"/>
              </w:rPr>
              <w:t>甲方进行全程监控；</w:t>
            </w:r>
          </w:p>
          <w:p w14:paraId="45A9E093">
            <w:pPr>
              <w:spacing w:line="560" w:lineRule="exact"/>
              <w:rPr>
                <w:rFonts w:ascii="宋体" w:hAnsi="宋体" w:eastAsia="宋体" w:cs="宋体"/>
                <w:bCs/>
                <w:sz w:val="24"/>
                <w:szCs w:val="24"/>
              </w:rPr>
            </w:pPr>
            <w:r>
              <w:rPr>
                <w:rFonts w:hint="eastAsia" w:ascii="宋体" w:hAnsi="宋体" w:eastAsia="宋体" w:cs="宋体"/>
                <w:bCs/>
                <w:sz w:val="24"/>
                <w:szCs w:val="24"/>
              </w:rPr>
              <w:t>制定可能的恢复计划</w:t>
            </w:r>
          </w:p>
        </w:tc>
      </w:tr>
      <w:tr w14:paraId="6764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continue"/>
            <w:tcBorders>
              <w:top w:val="single" w:color="auto" w:sz="4" w:space="0"/>
              <w:left w:val="single" w:color="auto" w:sz="4" w:space="0"/>
              <w:bottom w:val="single" w:color="auto" w:sz="4" w:space="0"/>
              <w:right w:val="single" w:color="auto" w:sz="4" w:space="0"/>
            </w:tcBorders>
            <w:vAlign w:val="center"/>
          </w:tcPr>
          <w:p w14:paraId="3FBCA39D">
            <w:pPr>
              <w:spacing w:line="560" w:lineRule="exact"/>
              <w:jc w:val="center"/>
              <w:rPr>
                <w:rFonts w:ascii="宋体" w:hAnsi="宋体" w:eastAsia="宋体" w:cs="宋体"/>
                <w:bCs/>
                <w:sz w:val="24"/>
                <w:szCs w:val="24"/>
              </w:rPr>
            </w:pPr>
          </w:p>
        </w:tc>
        <w:tc>
          <w:tcPr>
            <w:tcW w:w="2332" w:type="dxa"/>
            <w:tcBorders>
              <w:top w:val="single" w:color="auto" w:sz="4" w:space="0"/>
              <w:left w:val="single" w:color="auto" w:sz="4" w:space="0"/>
              <w:bottom w:val="single" w:color="auto" w:sz="4" w:space="0"/>
              <w:right w:val="single" w:color="auto" w:sz="4" w:space="0"/>
            </w:tcBorders>
            <w:vAlign w:val="center"/>
          </w:tcPr>
          <w:p w14:paraId="179D68B4">
            <w:pPr>
              <w:spacing w:line="560" w:lineRule="exact"/>
              <w:jc w:val="center"/>
              <w:rPr>
                <w:rFonts w:ascii="宋体" w:hAnsi="宋体" w:eastAsia="宋体" w:cs="宋体"/>
                <w:bCs/>
                <w:sz w:val="24"/>
                <w:szCs w:val="24"/>
              </w:rPr>
            </w:pPr>
            <w:r>
              <w:rPr>
                <w:rFonts w:hint="eastAsia" w:ascii="宋体" w:hAnsi="宋体" w:eastAsia="宋体" w:cs="宋体"/>
                <w:bCs/>
                <w:sz w:val="24"/>
                <w:szCs w:val="24"/>
              </w:rPr>
              <w:t>网络/安全设备资源占用</w:t>
            </w:r>
          </w:p>
        </w:tc>
        <w:tc>
          <w:tcPr>
            <w:tcW w:w="1018" w:type="dxa"/>
            <w:tcBorders>
              <w:top w:val="single" w:color="auto" w:sz="4" w:space="0"/>
              <w:left w:val="single" w:color="auto" w:sz="4" w:space="0"/>
              <w:bottom w:val="single" w:color="auto" w:sz="4" w:space="0"/>
              <w:right w:val="single" w:color="auto" w:sz="4" w:space="0"/>
            </w:tcBorders>
            <w:vAlign w:val="center"/>
          </w:tcPr>
          <w:p w14:paraId="49A76BF2">
            <w:pPr>
              <w:spacing w:line="560" w:lineRule="exact"/>
              <w:jc w:val="center"/>
              <w:rPr>
                <w:rFonts w:ascii="宋体" w:hAnsi="宋体" w:eastAsia="宋体" w:cs="宋体"/>
                <w:bCs/>
                <w:sz w:val="24"/>
                <w:szCs w:val="24"/>
              </w:rPr>
            </w:pPr>
            <w:r>
              <w:rPr>
                <w:rFonts w:hint="eastAsia" w:ascii="宋体" w:hAnsi="宋体" w:eastAsia="宋体" w:cs="宋体"/>
                <w:bCs/>
                <w:sz w:val="24"/>
                <w:szCs w:val="24"/>
              </w:rPr>
              <w:t>低</w:t>
            </w:r>
          </w:p>
        </w:tc>
        <w:tc>
          <w:tcPr>
            <w:tcW w:w="3582" w:type="dxa"/>
            <w:tcBorders>
              <w:top w:val="single" w:color="auto" w:sz="4" w:space="0"/>
              <w:left w:val="single" w:color="auto" w:sz="4" w:space="0"/>
              <w:bottom w:val="single" w:color="auto" w:sz="4" w:space="0"/>
              <w:right w:val="single" w:color="auto" w:sz="4" w:space="0"/>
            </w:tcBorders>
            <w:vAlign w:val="center"/>
          </w:tcPr>
          <w:p w14:paraId="53F040A0">
            <w:pPr>
              <w:spacing w:line="560" w:lineRule="exact"/>
              <w:rPr>
                <w:rFonts w:ascii="宋体" w:hAnsi="宋体" w:eastAsia="宋体" w:cs="宋体"/>
                <w:bCs/>
                <w:sz w:val="24"/>
                <w:szCs w:val="24"/>
              </w:rPr>
            </w:pPr>
            <w:r>
              <w:rPr>
                <w:rFonts w:hint="eastAsia" w:ascii="宋体" w:hAnsi="宋体" w:eastAsia="宋体" w:cs="宋体"/>
                <w:bCs/>
                <w:sz w:val="24"/>
                <w:szCs w:val="24"/>
              </w:rPr>
              <w:t>避开业务高峰；</w:t>
            </w:r>
          </w:p>
          <w:p w14:paraId="3468DEF2">
            <w:pPr>
              <w:spacing w:line="560" w:lineRule="exact"/>
              <w:rPr>
                <w:rFonts w:ascii="宋体" w:hAnsi="宋体" w:eastAsia="宋体" w:cs="宋体"/>
                <w:bCs/>
                <w:sz w:val="24"/>
                <w:szCs w:val="24"/>
              </w:rPr>
            </w:pPr>
            <w:r>
              <w:rPr>
                <w:rFonts w:hint="eastAsia" w:ascii="宋体" w:hAnsi="宋体" w:eastAsia="宋体" w:cs="宋体"/>
                <w:bCs/>
                <w:sz w:val="24"/>
                <w:szCs w:val="24"/>
              </w:rPr>
              <w:t>控制扫描策略（线程数量、强度）</w:t>
            </w:r>
          </w:p>
        </w:tc>
      </w:tr>
      <w:tr w14:paraId="1069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restart"/>
            <w:tcBorders>
              <w:top w:val="single" w:color="auto" w:sz="4" w:space="0"/>
              <w:left w:val="single" w:color="auto" w:sz="4" w:space="0"/>
              <w:bottom w:val="single" w:color="auto" w:sz="4" w:space="0"/>
              <w:right w:val="single" w:color="auto" w:sz="4" w:space="0"/>
            </w:tcBorders>
            <w:vAlign w:val="center"/>
          </w:tcPr>
          <w:p w14:paraId="3AFF520A">
            <w:pPr>
              <w:spacing w:line="560" w:lineRule="exact"/>
              <w:jc w:val="center"/>
              <w:rPr>
                <w:rFonts w:ascii="宋体" w:hAnsi="宋体" w:eastAsia="宋体" w:cs="宋体"/>
                <w:bCs/>
                <w:sz w:val="24"/>
                <w:szCs w:val="24"/>
              </w:rPr>
            </w:pPr>
            <w:r>
              <w:rPr>
                <w:rFonts w:hint="eastAsia" w:ascii="宋体" w:hAnsi="宋体" w:eastAsia="宋体" w:cs="宋体"/>
                <w:bCs/>
                <w:sz w:val="24"/>
                <w:szCs w:val="24"/>
              </w:rPr>
              <w:t>漏洞扫描</w:t>
            </w:r>
          </w:p>
        </w:tc>
        <w:tc>
          <w:tcPr>
            <w:tcW w:w="2332" w:type="dxa"/>
            <w:tcBorders>
              <w:top w:val="single" w:color="auto" w:sz="4" w:space="0"/>
              <w:left w:val="single" w:color="auto" w:sz="4" w:space="0"/>
              <w:bottom w:val="single" w:color="auto" w:sz="4" w:space="0"/>
              <w:right w:val="single" w:color="auto" w:sz="4" w:space="0"/>
            </w:tcBorders>
            <w:vAlign w:val="center"/>
          </w:tcPr>
          <w:p w14:paraId="662D58B5">
            <w:pPr>
              <w:spacing w:line="560" w:lineRule="exact"/>
              <w:jc w:val="center"/>
              <w:rPr>
                <w:rFonts w:ascii="宋体" w:hAnsi="宋体" w:eastAsia="宋体" w:cs="宋体"/>
                <w:bCs/>
                <w:sz w:val="24"/>
                <w:szCs w:val="24"/>
              </w:rPr>
            </w:pPr>
            <w:r>
              <w:rPr>
                <w:rFonts w:hint="eastAsia" w:ascii="宋体" w:hAnsi="宋体" w:eastAsia="宋体" w:cs="宋体"/>
                <w:bCs/>
                <w:sz w:val="24"/>
                <w:szCs w:val="24"/>
              </w:rPr>
              <w:t>网络流量</w:t>
            </w:r>
          </w:p>
        </w:tc>
        <w:tc>
          <w:tcPr>
            <w:tcW w:w="1018" w:type="dxa"/>
            <w:tcBorders>
              <w:top w:val="single" w:color="auto" w:sz="4" w:space="0"/>
              <w:left w:val="single" w:color="auto" w:sz="4" w:space="0"/>
              <w:bottom w:val="single" w:color="auto" w:sz="4" w:space="0"/>
              <w:right w:val="single" w:color="auto" w:sz="4" w:space="0"/>
            </w:tcBorders>
            <w:vAlign w:val="center"/>
          </w:tcPr>
          <w:p w14:paraId="41847D24">
            <w:pPr>
              <w:spacing w:line="560" w:lineRule="exact"/>
              <w:jc w:val="center"/>
              <w:rPr>
                <w:rFonts w:ascii="宋体" w:hAnsi="宋体" w:eastAsia="宋体" w:cs="宋体"/>
                <w:bCs/>
                <w:sz w:val="24"/>
                <w:szCs w:val="24"/>
              </w:rPr>
            </w:pPr>
            <w:r>
              <w:rPr>
                <w:rFonts w:hint="eastAsia" w:ascii="宋体" w:hAnsi="宋体" w:eastAsia="宋体" w:cs="宋体"/>
                <w:bCs/>
                <w:sz w:val="24"/>
                <w:szCs w:val="24"/>
              </w:rPr>
              <w:t>低</w:t>
            </w:r>
          </w:p>
        </w:tc>
        <w:tc>
          <w:tcPr>
            <w:tcW w:w="3582" w:type="dxa"/>
            <w:tcBorders>
              <w:top w:val="single" w:color="auto" w:sz="4" w:space="0"/>
              <w:left w:val="single" w:color="auto" w:sz="4" w:space="0"/>
              <w:bottom w:val="single" w:color="auto" w:sz="4" w:space="0"/>
              <w:right w:val="single" w:color="auto" w:sz="4" w:space="0"/>
            </w:tcBorders>
            <w:vAlign w:val="center"/>
          </w:tcPr>
          <w:p w14:paraId="09BAC02E">
            <w:pPr>
              <w:spacing w:line="560" w:lineRule="exact"/>
              <w:rPr>
                <w:rFonts w:ascii="宋体" w:hAnsi="宋体" w:eastAsia="宋体" w:cs="宋体"/>
                <w:bCs/>
                <w:sz w:val="24"/>
                <w:szCs w:val="24"/>
              </w:rPr>
            </w:pPr>
            <w:r>
              <w:rPr>
                <w:rFonts w:hint="eastAsia" w:ascii="宋体" w:hAnsi="宋体" w:eastAsia="宋体" w:cs="宋体"/>
                <w:bCs/>
                <w:sz w:val="24"/>
                <w:szCs w:val="24"/>
              </w:rPr>
              <w:t>避开业务高峰；</w:t>
            </w:r>
          </w:p>
          <w:p w14:paraId="7E056C97">
            <w:pPr>
              <w:spacing w:line="560" w:lineRule="exact"/>
              <w:rPr>
                <w:rFonts w:ascii="宋体" w:hAnsi="宋体" w:eastAsia="宋体" w:cs="宋体"/>
                <w:bCs/>
                <w:sz w:val="24"/>
                <w:szCs w:val="24"/>
              </w:rPr>
            </w:pPr>
            <w:r>
              <w:rPr>
                <w:rFonts w:hint="eastAsia" w:ascii="宋体" w:hAnsi="宋体" w:eastAsia="宋体" w:cs="宋体"/>
                <w:bCs/>
                <w:sz w:val="24"/>
                <w:szCs w:val="24"/>
              </w:rPr>
              <w:t>控制扫描策略（线程数量、强度）</w:t>
            </w:r>
          </w:p>
        </w:tc>
      </w:tr>
      <w:tr w14:paraId="23C4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continue"/>
            <w:tcBorders>
              <w:top w:val="single" w:color="auto" w:sz="4" w:space="0"/>
              <w:left w:val="single" w:color="auto" w:sz="4" w:space="0"/>
              <w:bottom w:val="single" w:color="auto" w:sz="4" w:space="0"/>
              <w:right w:val="single" w:color="auto" w:sz="4" w:space="0"/>
            </w:tcBorders>
            <w:vAlign w:val="center"/>
          </w:tcPr>
          <w:p w14:paraId="6E2CF8A3">
            <w:pPr>
              <w:spacing w:line="560" w:lineRule="exact"/>
              <w:jc w:val="center"/>
              <w:rPr>
                <w:rFonts w:ascii="宋体" w:hAnsi="宋体" w:eastAsia="宋体" w:cs="宋体"/>
                <w:bCs/>
                <w:sz w:val="24"/>
                <w:szCs w:val="24"/>
              </w:rPr>
            </w:pPr>
          </w:p>
        </w:tc>
        <w:tc>
          <w:tcPr>
            <w:tcW w:w="2332" w:type="dxa"/>
            <w:tcBorders>
              <w:top w:val="single" w:color="auto" w:sz="4" w:space="0"/>
              <w:left w:val="single" w:color="auto" w:sz="4" w:space="0"/>
              <w:bottom w:val="single" w:color="auto" w:sz="4" w:space="0"/>
              <w:right w:val="single" w:color="auto" w:sz="4" w:space="0"/>
            </w:tcBorders>
            <w:vAlign w:val="center"/>
          </w:tcPr>
          <w:p w14:paraId="4ACD766D">
            <w:pPr>
              <w:spacing w:line="560" w:lineRule="exact"/>
              <w:jc w:val="center"/>
              <w:rPr>
                <w:rFonts w:ascii="宋体" w:hAnsi="宋体" w:eastAsia="宋体" w:cs="宋体"/>
                <w:bCs/>
                <w:sz w:val="24"/>
                <w:szCs w:val="24"/>
              </w:rPr>
            </w:pPr>
            <w:r>
              <w:rPr>
                <w:rFonts w:hint="eastAsia" w:ascii="宋体" w:hAnsi="宋体" w:eastAsia="宋体" w:cs="宋体"/>
                <w:bCs/>
                <w:sz w:val="24"/>
                <w:szCs w:val="24"/>
              </w:rPr>
              <w:t>主机资源占用</w:t>
            </w:r>
          </w:p>
        </w:tc>
        <w:tc>
          <w:tcPr>
            <w:tcW w:w="1018" w:type="dxa"/>
            <w:tcBorders>
              <w:top w:val="single" w:color="auto" w:sz="4" w:space="0"/>
              <w:left w:val="single" w:color="auto" w:sz="4" w:space="0"/>
              <w:bottom w:val="single" w:color="auto" w:sz="4" w:space="0"/>
              <w:right w:val="single" w:color="auto" w:sz="4" w:space="0"/>
            </w:tcBorders>
            <w:vAlign w:val="center"/>
          </w:tcPr>
          <w:p w14:paraId="653FCFF6">
            <w:pPr>
              <w:spacing w:line="560" w:lineRule="exact"/>
              <w:jc w:val="center"/>
              <w:rPr>
                <w:rFonts w:ascii="宋体" w:hAnsi="宋体" w:eastAsia="宋体" w:cs="宋体"/>
                <w:bCs/>
                <w:sz w:val="24"/>
                <w:szCs w:val="24"/>
              </w:rPr>
            </w:pPr>
            <w:r>
              <w:rPr>
                <w:rFonts w:hint="eastAsia" w:ascii="宋体" w:hAnsi="宋体" w:eastAsia="宋体" w:cs="宋体"/>
                <w:bCs/>
                <w:sz w:val="24"/>
                <w:szCs w:val="24"/>
              </w:rPr>
              <w:t>低</w:t>
            </w:r>
          </w:p>
        </w:tc>
        <w:tc>
          <w:tcPr>
            <w:tcW w:w="3582" w:type="dxa"/>
            <w:tcBorders>
              <w:top w:val="single" w:color="auto" w:sz="4" w:space="0"/>
              <w:left w:val="single" w:color="auto" w:sz="4" w:space="0"/>
              <w:bottom w:val="single" w:color="auto" w:sz="4" w:space="0"/>
              <w:right w:val="single" w:color="auto" w:sz="4" w:space="0"/>
            </w:tcBorders>
            <w:vAlign w:val="center"/>
          </w:tcPr>
          <w:p w14:paraId="678F41DA">
            <w:pPr>
              <w:spacing w:line="560" w:lineRule="exact"/>
              <w:rPr>
                <w:rFonts w:ascii="宋体" w:hAnsi="宋体" w:eastAsia="宋体" w:cs="宋体"/>
                <w:bCs/>
                <w:sz w:val="24"/>
                <w:szCs w:val="24"/>
              </w:rPr>
            </w:pPr>
            <w:r>
              <w:rPr>
                <w:rFonts w:hint="eastAsia" w:ascii="宋体" w:hAnsi="宋体" w:eastAsia="宋体" w:cs="宋体"/>
                <w:bCs/>
                <w:sz w:val="24"/>
                <w:szCs w:val="24"/>
              </w:rPr>
              <w:t>避开业务高峰；</w:t>
            </w:r>
          </w:p>
          <w:p w14:paraId="4BEAA32B">
            <w:pPr>
              <w:spacing w:line="560" w:lineRule="exact"/>
              <w:rPr>
                <w:rFonts w:ascii="宋体" w:hAnsi="宋体" w:eastAsia="宋体" w:cs="宋体"/>
                <w:bCs/>
                <w:sz w:val="24"/>
                <w:szCs w:val="24"/>
              </w:rPr>
            </w:pPr>
            <w:r>
              <w:rPr>
                <w:rFonts w:hint="eastAsia" w:ascii="宋体" w:hAnsi="宋体" w:eastAsia="宋体" w:cs="宋体"/>
                <w:bCs/>
                <w:sz w:val="24"/>
                <w:szCs w:val="24"/>
              </w:rPr>
              <w:t>控制扫描策略（线程数量、强度）</w:t>
            </w:r>
          </w:p>
        </w:tc>
      </w:tr>
      <w:tr w14:paraId="1E27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restart"/>
            <w:tcBorders>
              <w:top w:val="single" w:color="auto" w:sz="4" w:space="0"/>
              <w:left w:val="single" w:color="auto" w:sz="4" w:space="0"/>
              <w:bottom w:val="single" w:color="auto" w:sz="4" w:space="0"/>
              <w:right w:val="single" w:color="auto" w:sz="4" w:space="0"/>
            </w:tcBorders>
            <w:vAlign w:val="center"/>
          </w:tcPr>
          <w:p w14:paraId="41343A2A">
            <w:pPr>
              <w:spacing w:line="560" w:lineRule="exact"/>
              <w:jc w:val="center"/>
              <w:rPr>
                <w:rFonts w:ascii="宋体" w:hAnsi="宋体" w:eastAsia="宋体" w:cs="宋体"/>
                <w:bCs/>
                <w:sz w:val="24"/>
                <w:szCs w:val="24"/>
              </w:rPr>
            </w:pPr>
            <w:r>
              <w:rPr>
                <w:rFonts w:hint="eastAsia" w:ascii="宋体" w:hAnsi="宋体" w:eastAsia="宋体" w:cs="宋体"/>
                <w:bCs/>
                <w:sz w:val="24"/>
                <w:szCs w:val="24"/>
              </w:rPr>
              <w:t>控制台审计</w:t>
            </w:r>
          </w:p>
        </w:tc>
        <w:tc>
          <w:tcPr>
            <w:tcW w:w="2332" w:type="dxa"/>
            <w:tcBorders>
              <w:top w:val="single" w:color="auto" w:sz="4" w:space="0"/>
              <w:left w:val="single" w:color="auto" w:sz="4" w:space="0"/>
              <w:bottom w:val="single" w:color="auto" w:sz="4" w:space="0"/>
              <w:right w:val="single" w:color="auto" w:sz="4" w:space="0"/>
            </w:tcBorders>
            <w:vAlign w:val="center"/>
          </w:tcPr>
          <w:p w14:paraId="64C25592">
            <w:pPr>
              <w:spacing w:line="560" w:lineRule="exact"/>
              <w:jc w:val="center"/>
              <w:rPr>
                <w:rFonts w:ascii="宋体" w:hAnsi="宋体" w:eastAsia="宋体" w:cs="宋体"/>
                <w:bCs/>
                <w:sz w:val="24"/>
                <w:szCs w:val="24"/>
              </w:rPr>
            </w:pPr>
            <w:r>
              <w:rPr>
                <w:rFonts w:hint="eastAsia" w:ascii="宋体" w:hAnsi="宋体" w:eastAsia="宋体" w:cs="宋体"/>
                <w:bCs/>
                <w:sz w:val="24"/>
                <w:szCs w:val="24"/>
              </w:rPr>
              <w:t>误操作引起系统崩溃或数据丢失、损坏</w:t>
            </w:r>
          </w:p>
        </w:tc>
        <w:tc>
          <w:tcPr>
            <w:tcW w:w="1018" w:type="dxa"/>
            <w:tcBorders>
              <w:top w:val="single" w:color="auto" w:sz="4" w:space="0"/>
              <w:left w:val="single" w:color="auto" w:sz="4" w:space="0"/>
              <w:bottom w:val="single" w:color="auto" w:sz="4" w:space="0"/>
              <w:right w:val="single" w:color="auto" w:sz="4" w:space="0"/>
            </w:tcBorders>
            <w:vAlign w:val="center"/>
          </w:tcPr>
          <w:p w14:paraId="296EFC7B">
            <w:pPr>
              <w:spacing w:line="560" w:lineRule="exact"/>
              <w:jc w:val="center"/>
              <w:rPr>
                <w:rFonts w:ascii="宋体" w:hAnsi="宋体" w:eastAsia="宋体" w:cs="宋体"/>
                <w:bCs/>
                <w:sz w:val="24"/>
                <w:szCs w:val="24"/>
              </w:rPr>
            </w:pPr>
            <w:r>
              <w:rPr>
                <w:rFonts w:hint="eastAsia" w:ascii="宋体" w:hAnsi="宋体" w:eastAsia="宋体" w:cs="宋体"/>
                <w:bCs/>
                <w:sz w:val="24"/>
                <w:szCs w:val="24"/>
              </w:rPr>
              <w:t>高</w:t>
            </w:r>
          </w:p>
        </w:tc>
        <w:tc>
          <w:tcPr>
            <w:tcW w:w="3582" w:type="dxa"/>
            <w:tcBorders>
              <w:top w:val="single" w:color="auto" w:sz="4" w:space="0"/>
              <w:left w:val="single" w:color="auto" w:sz="4" w:space="0"/>
              <w:bottom w:val="single" w:color="auto" w:sz="4" w:space="0"/>
              <w:right w:val="single" w:color="auto" w:sz="4" w:space="0"/>
            </w:tcBorders>
            <w:vAlign w:val="center"/>
          </w:tcPr>
          <w:p w14:paraId="7A91C227">
            <w:pPr>
              <w:spacing w:line="560" w:lineRule="exact"/>
              <w:rPr>
                <w:rFonts w:ascii="宋体" w:hAnsi="宋体" w:eastAsia="宋体" w:cs="宋体"/>
                <w:bCs/>
                <w:sz w:val="24"/>
                <w:szCs w:val="24"/>
              </w:rPr>
            </w:pPr>
            <w:r>
              <w:rPr>
                <w:rFonts w:hint="eastAsia" w:ascii="宋体" w:hAnsi="宋体" w:eastAsia="宋体" w:cs="宋体"/>
                <w:bCs/>
                <w:sz w:val="24"/>
                <w:szCs w:val="24"/>
              </w:rPr>
              <w:t>规范审计流程；</w:t>
            </w:r>
          </w:p>
          <w:p w14:paraId="70AA2F4D">
            <w:pPr>
              <w:spacing w:line="560" w:lineRule="exact"/>
              <w:rPr>
                <w:rFonts w:ascii="宋体" w:hAnsi="宋体" w:eastAsia="宋体" w:cs="宋体"/>
                <w:bCs/>
                <w:sz w:val="24"/>
                <w:szCs w:val="24"/>
              </w:rPr>
            </w:pPr>
            <w:r>
              <w:rPr>
                <w:rFonts w:hint="eastAsia" w:ascii="宋体" w:hAnsi="宋体" w:eastAsia="宋体" w:cs="宋体"/>
                <w:bCs/>
                <w:sz w:val="24"/>
                <w:szCs w:val="24"/>
              </w:rPr>
              <w:t>严格选择测评师；</w:t>
            </w:r>
          </w:p>
          <w:p w14:paraId="08F3FFC3">
            <w:pPr>
              <w:spacing w:line="560" w:lineRule="exact"/>
              <w:rPr>
                <w:rFonts w:ascii="宋体" w:hAnsi="宋体" w:eastAsia="宋体" w:cs="宋体"/>
                <w:bCs/>
                <w:sz w:val="24"/>
                <w:szCs w:val="24"/>
              </w:rPr>
            </w:pPr>
            <w:r>
              <w:rPr>
                <w:rFonts w:hint="eastAsia" w:ascii="宋体" w:hAnsi="宋体" w:eastAsia="宋体" w:cs="宋体"/>
                <w:bCs/>
                <w:sz w:val="24"/>
                <w:szCs w:val="24"/>
              </w:rPr>
              <w:t>甲方进行全程监控；</w:t>
            </w:r>
          </w:p>
          <w:p w14:paraId="3CBDF6EA">
            <w:pPr>
              <w:spacing w:line="560" w:lineRule="exact"/>
              <w:rPr>
                <w:rFonts w:ascii="宋体" w:hAnsi="宋体" w:eastAsia="宋体" w:cs="宋体"/>
                <w:bCs/>
                <w:sz w:val="24"/>
                <w:szCs w:val="24"/>
              </w:rPr>
            </w:pPr>
            <w:r>
              <w:rPr>
                <w:rFonts w:hint="eastAsia" w:ascii="宋体" w:hAnsi="宋体" w:eastAsia="宋体" w:cs="宋体"/>
                <w:bCs/>
                <w:sz w:val="24"/>
                <w:szCs w:val="24"/>
              </w:rPr>
              <w:t>制定可能的恢复计划；</w:t>
            </w:r>
          </w:p>
        </w:tc>
      </w:tr>
      <w:tr w14:paraId="3B5E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continue"/>
            <w:tcBorders>
              <w:top w:val="single" w:color="auto" w:sz="4" w:space="0"/>
              <w:left w:val="single" w:color="auto" w:sz="4" w:space="0"/>
              <w:bottom w:val="single" w:color="auto" w:sz="4" w:space="0"/>
              <w:right w:val="single" w:color="auto" w:sz="4" w:space="0"/>
            </w:tcBorders>
            <w:vAlign w:val="center"/>
          </w:tcPr>
          <w:p w14:paraId="30F53AE3">
            <w:pPr>
              <w:spacing w:line="560" w:lineRule="exact"/>
              <w:jc w:val="center"/>
              <w:rPr>
                <w:rFonts w:ascii="宋体" w:hAnsi="宋体" w:eastAsia="宋体" w:cs="宋体"/>
                <w:bCs/>
                <w:sz w:val="24"/>
                <w:szCs w:val="24"/>
              </w:rPr>
            </w:pPr>
          </w:p>
        </w:tc>
        <w:tc>
          <w:tcPr>
            <w:tcW w:w="2332" w:type="dxa"/>
            <w:tcBorders>
              <w:top w:val="single" w:color="auto" w:sz="4" w:space="0"/>
              <w:left w:val="single" w:color="auto" w:sz="4" w:space="0"/>
              <w:bottom w:val="single" w:color="auto" w:sz="4" w:space="0"/>
              <w:right w:val="single" w:color="auto" w:sz="4" w:space="0"/>
            </w:tcBorders>
            <w:vAlign w:val="center"/>
          </w:tcPr>
          <w:p w14:paraId="3A14DF4D">
            <w:pPr>
              <w:spacing w:line="560" w:lineRule="exact"/>
              <w:jc w:val="center"/>
              <w:rPr>
                <w:rFonts w:ascii="宋体" w:hAnsi="宋体" w:eastAsia="宋体" w:cs="宋体"/>
                <w:bCs/>
                <w:sz w:val="24"/>
                <w:szCs w:val="24"/>
              </w:rPr>
            </w:pPr>
            <w:r>
              <w:rPr>
                <w:rFonts w:hint="eastAsia" w:ascii="宋体" w:hAnsi="宋体" w:eastAsia="宋体" w:cs="宋体"/>
                <w:bCs/>
                <w:sz w:val="24"/>
                <w:szCs w:val="24"/>
              </w:rPr>
              <w:t>网络流量和主机资源占用</w:t>
            </w:r>
          </w:p>
        </w:tc>
        <w:tc>
          <w:tcPr>
            <w:tcW w:w="1018" w:type="dxa"/>
            <w:tcBorders>
              <w:top w:val="single" w:color="auto" w:sz="4" w:space="0"/>
              <w:left w:val="single" w:color="auto" w:sz="4" w:space="0"/>
              <w:bottom w:val="single" w:color="auto" w:sz="4" w:space="0"/>
              <w:right w:val="single" w:color="auto" w:sz="4" w:space="0"/>
            </w:tcBorders>
            <w:vAlign w:val="center"/>
          </w:tcPr>
          <w:p w14:paraId="34EEDA45">
            <w:pPr>
              <w:spacing w:line="560" w:lineRule="exact"/>
              <w:jc w:val="center"/>
              <w:rPr>
                <w:rFonts w:ascii="宋体" w:hAnsi="宋体" w:eastAsia="宋体" w:cs="宋体"/>
                <w:bCs/>
                <w:sz w:val="24"/>
                <w:szCs w:val="24"/>
              </w:rPr>
            </w:pPr>
            <w:r>
              <w:rPr>
                <w:rFonts w:hint="eastAsia" w:ascii="宋体" w:hAnsi="宋体" w:eastAsia="宋体" w:cs="宋体"/>
                <w:bCs/>
                <w:sz w:val="24"/>
                <w:szCs w:val="24"/>
              </w:rPr>
              <w:t>低</w:t>
            </w:r>
          </w:p>
        </w:tc>
        <w:tc>
          <w:tcPr>
            <w:tcW w:w="3582" w:type="dxa"/>
            <w:tcBorders>
              <w:top w:val="single" w:color="auto" w:sz="4" w:space="0"/>
              <w:left w:val="single" w:color="auto" w:sz="4" w:space="0"/>
              <w:bottom w:val="single" w:color="auto" w:sz="4" w:space="0"/>
              <w:right w:val="single" w:color="auto" w:sz="4" w:space="0"/>
            </w:tcBorders>
            <w:vAlign w:val="center"/>
          </w:tcPr>
          <w:p w14:paraId="6ABEFC02">
            <w:pPr>
              <w:spacing w:line="560" w:lineRule="exact"/>
              <w:rPr>
                <w:rFonts w:ascii="宋体" w:hAnsi="宋体" w:eastAsia="宋体" w:cs="宋体"/>
                <w:bCs/>
                <w:sz w:val="24"/>
                <w:szCs w:val="24"/>
              </w:rPr>
            </w:pPr>
            <w:r>
              <w:rPr>
                <w:rFonts w:hint="eastAsia" w:ascii="宋体" w:hAnsi="宋体" w:eastAsia="宋体" w:cs="宋体"/>
                <w:bCs/>
                <w:sz w:val="24"/>
                <w:szCs w:val="24"/>
              </w:rPr>
              <w:t>避开业务高峰</w:t>
            </w:r>
          </w:p>
        </w:tc>
      </w:tr>
      <w:tr w14:paraId="4CCD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restart"/>
            <w:tcBorders>
              <w:top w:val="single" w:color="auto" w:sz="4" w:space="0"/>
              <w:left w:val="single" w:color="auto" w:sz="4" w:space="0"/>
              <w:bottom w:val="single" w:color="auto" w:sz="4" w:space="0"/>
              <w:right w:val="single" w:color="auto" w:sz="4" w:space="0"/>
            </w:tcBorders>
            <w:vAlign w:val="center"/>
          </w:tcPr>
          <w:p w14:paraId="2182A9EF">
            <w:pPr>
              <w:spacing w:line="560" w:lineRule="exact"/>
              <w:jc w:val="center"/>
              <w:rPr>
                <w:rFonts w:ascii="宋体" w:hAnsi="宋体" w:eastAsia="宋体" w:cs="宋体"/>
                <w:bCs/>
                <w:sz w:val="24"/>
                <w:szCs w:val="24"/>
              </w:rPr>
            </w:pPr>
            <w:r>
              <w:rPr>
                <w:rFonts w:hint="eastAsia" w:ascii="宋体" w:hAnsi="宋体" w:eastAsia="宋体" w:cs="宋体"/>
                <w:bCs/>
                <w:sz w:val="24"/>
                <w:szCs w:val="24"/>
              </w:rPr>
              <w:t>应用测评</w:t>
            </w:r>
          </w:p>
        </w:tc>
        <w:tc>
          <w:tcPr>
            <w:tcW w:w="2332" w:type="dxa"/>
            <w:tcBorders>
              <w:top w:val="single" w:color="auto" w:sz="4" w:space="0"/>
              <w:left w:val="single" w:color="auto" w:sz="4" w:space="0"/>
              <w:bottom w:val="single" w:color="auto" w:sz="4" w:space="0"/>
              <w:right w:val="single" w:color="auto" w:sz="4" w:space="0"/>
            </w:tcBorders>
            <w:vAlign w:val="center"/>
          </w:tcPr>
          <w:p w14:paraId="5E873891">
            <w:pPr>
              <w:spacing w:line="560" w:lineRule="exact"/>
              <w:jc w:val="center"/>
              <w:rPr>
                <w:rFonts w:ascii="宋体" w:hAnsi="宋体" w:eastAsia="宋体" w:cs="宋体"/>
                <w:bCs/>
                <w:sz w:val="24"/>
                <w:szCs w:val="24"/>
              </w:rPr>
            </w:pPr>
            <w:r>
              <w:rPr>
                <w:rFonts w:hint="eastAsia" w:ascii="宋体" w:hAnsi="宋体" w:eastAsia="宋体" w:cs="宋体"/>
                <w:bCs/>
                <w:sz w:val="24"/>
                <w:szCs w:val="24"/>
              </w:rPr>
              <w:t>产生非法数据，致使系统不能正常工作</w:t>
            </w:r>
          </w:p>
        </w:tc>
        <w:tc>
          <w:tcPr>
            <w:tcW w:w="1018" w:type="dxa"/>
            <w:tcBorders>
              <w:top w:val="single" w:color="auto" w:sz="4" w:space="0"/>
              <w:left w:val="single" w:color="auto" w:sz="4" w:space="0"/>
              <w:bottom w:val="single" w:color="auto" w:sz="4" w:space="0"/>
              <w:right w:val="single" w:color="auto" w:sz="4" w:space="0"/>
            </w:tcBorders>
            <w:vAlign w:val="center"/>
          </w:tcPr>
          <w:p w14:paraId="51A94127">
            <w:pPr>
              <w:spacing w:line="560" w:lineRule="exact"/>
              <w:jc w:val="center"/>
              <w:rPr>
                <w:rFonts w:ascii="宋体" w:hAnsi="宋体" w:eastAsia="宋体" w:cs="宋体"/>
                <w:bCs/>
                <w:sz w:val="24"/>
                <w:szCs w:val="24"/>
              </w:rPr>
            </w:pPr>
            <w:r>
              <w:rPr>
                <w:rFonts w:hint="eastAsia" w:ascii="宋体" w:hAnsi="宋体" w:eastAsia="宋体" w:cs="宋体"/>
                <w:bCs/>
                <w:sz w:val="24"/>
                <w:szCs w:val="24"/>
              </w:rPr>
              <w:t>中</w:t>
            </w:r>
          </w:p>
        </w:tc>
        <w:tc>
          <w:tcPr>
            <w:tcW w:w="3582" w:type="dxa"/>
            <w:tcBorders>
              <w:top w:val="single" w:color="auto" w:sz="4" w:space="0"/>
              <w:left w:val="single" w:color="auto" w:sz="4" w:space="0"/>
              <w:bottom w:val="single" w:color="auto" w:sz="4" w:space="0"/>
              <w:right w:val="single" w:color="auto" w:sz="4" w:space="0"/>
            </w:tcBorders>
            <w:vAlign w:val="center"/>
          </w:tcPr>
          <w:p w14:paraId="71898489">
            <w:pPr>
              <w:spacing w:line="560" w:lineRule="exact"/>
              <w:rPr>
                <w:rFonts w:ascii="宋体" w:hAnsi="宋体" w:eastAsia="宋体" w:cs="宋体"/>
                <w:bCs/>
                <w:sz w:val="24"/>
                <w:szCs w:val="24"/>
              </w:rPr>
            </w:pPr>
            <w:r>
              <w:rPr>
                <w:rFonts w:hint="eastAsia" w:ascii="宋体" w:hAnsi="宋体" w:eastAsia="宋体" w:cs="宋体"/>
                <w:bCs/>
                <w:sz w:val="24"/>
                <w:szCs w:val="24"/>
              </w:rPr>
              <w:t>做好系统备份和恢复措施</w:t>
            </w:r>
          </w:p>
        </w:tc>
      </w:tr>
      <w:tr w14:paraId="1590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6" w:type="dxa"/>
            <w:vMerge w:val="continue"/>
            <w:tcBorders>
              <w:top w:val="single" w:color="auto" w:sz="4" w:space="0"/>
              <w:left w:val="single" w:color="auto" w:sz="4" w:space="0"/>
              <w:bottom w:val="single" w:color="auto" w:sz="4" w:space="0"/>
              <w:right w:val="single" w:color="auto" w:sz="4" w:space="0"/>
            </w:tcBorders>
            <w:vAlign w:val="center"/>
          </w:tcPr>
          <w:p w14:paraId="0E31DB7E">
            <w:pPr>
              <w:spacing w:line="560" w:lineRule="exact"/>
              <w:jc w:val="center"/>
              <w:rPr>
                <w:rFonts w:ascii="宋体" w:hAnsi="宋体" w:eastAsia="宋体" w:cs="宋体"/>
                <w:bCs/>
                <w:sz w:val="24"/>
                <w:szCs w:val="24"/>
              </w:rPr>
            </w:pPr>
          </w:p>
        </w:tc>
        <w:tc>
          <w:tcPr>
            <w:tcW w:w="2332" w:type="dxa"/>
            <w:tcBorders>
              <w:top w:val="single" w:color="auto" w:sz="4" w:space="0"/>
              <w:left w:val="single" w:color="auto" w:sz="4" w:space="0"/>
              <w:bottom w:val="single" w:color="auto" w:sz="4" w:space="0"/>
              <w:right w:val="single" w:color="auto" w:sz="4" w:space="0"/>
            </w:tcBorders>
            <w:vAlign w:val="center"/>
          </w:tcPr>
          <w:p w14:paraId="39EE4E75">
            <w:pPr>
              <w:spacing w:line="560" w:lineRule="exact"/>
              <w:jc w:val="center"/>
              <w:rPr>
                <w:rFonts w:ascii="宋体" w:hAnsi="宋体" w:eastAsia="宋体" w:cs="宋体"/>
                <w:bCs/>
                <w:sz w:val="24"/>
                <w:szCs w:val="24"/>
              </w:rPr>
            </w:pPr>
            <w:r>
              <w:rPr>
                <w:rFonts w:hint="eastAsia" w:ascii="宋体" w:hAnsi="宋体" w:eastAsia="宋体" w:cs="宋体"/>
                <w:bCs/>
                <w:sz w:val="24"/>
                <w:szCs w:val="24"/>
              </w:rPr>
              <w:t>异常输入（畸形数据、极限测试）导致系统崩溃</w:t>
            </w:r>
          </w:p>
        </w:tc>
        <w:tc>
          <w:tcPr>
            <w:tcW w:w="1018" w:type="dxa"/>
            <w:tcBorders>
              <w:top w:val="single" w:color="auto" w:sz="4" w:space="0"/>
              <w:left w:val="single" w:color="auto" w:sz="4" w:space="0"/>
              <w:bottom w:val="single" w:color="auto" w:sz="4" w:space="0"/>
              <w:right w:val="single" w:color="auto" w:sz="4" w:space="0"/>
            </w:tcBorders>
            <w:vAlign w:val="center"/>
          </w:tcPr>
          <w:p w14:paraId="53DB0C8E">
            <w:pPr>
              <w:spacing w:line="560" w:lineRule="exact"/>
              <w:jc w:val="center"/>
              <w:rPr>
                <w:rFonts w:ascii="宋体" w:hAnsi="宋体" w:eastAsia="宋体" w:cs="宋体"/>
                <w:bCs/>
                <w:sz w:val="24"/>
                <w:szCs w:val="24"/>
              </w:rPr>
            </w:pPr>
            <w:r>
              <w:rPr>
                <w:rFonts w:hint="eastAsia" w:ascii="宋体" w:hAnsi="宋体" w:eastAsia="宋体" w:cs="宋体"/>
                <w:bCs/>
                <w:sz w:val="24"/>
                <w:szCs w:val="24"/>
              </w:rPr>
              <w:t>高</w:t>
            </w:r>
          </w:p>
        </w:tc>
        <w:tc>
          <w:tcPr>
            <w:tcW w:w="3582" w:type="dxa"/>
            <w:tcBorders>
              <w:top w:val="single" w:color="auto" w:sz="4" w:space="0"/>
              <w:left w:val="single" w:color="auto" w:sz="4" w:space="0"/>
              <w:bottom w:val="single" w:color="auto" w:sz="4" w:space="0"/>
              <w:right w:val="single" w:color="auto" w:sz="4" w:space="0"/>
            </w:tcBorders>
            <w:vAlign w:val="center"/>
          </w:tcPr>
          <w:p w14:paraId="7F891057">
            <w:pPr>
              <w:spacing w:line="560" w:lineRule="exact"/>
              <w:rPr>
                <w:rFonts w:ascii="宋体" w:hAnsi="宋体" w:eastAsia="宋体" w:cs="宋体"/>
                <w:bCs/>
                <w:sz w:val="24"/>
                <w:szCs w:val="24"/>
              </w:rPr>
            </w:pPr>
            <w:r>
              <w:rPr>
                <w:rFonts w:hint="eastAsia" w:ascii="宋体" w:hAnsi="宋体" w:eastAsia="宋体" w:cs="宋体"/>
                <w:bCs/>
                <w:sz w:val="24"/>
                <w:szCs w:val="24"/>
              </w:rPr>
              <w:t>做好系统备份和恢复措施</w:t>
            </w:r>
          </w:p>
        </w:tc>
      </w:tr>
    </w:tbl>
    <w:p w14:paraId="06BAEA3F">
      <w:pPr>
        <w:pStyle w:val="13"/>
        <w:spacing w:line="560" w:lineRule="exact"/>
        <w:ind w:firstLine="0" w:firstLineChars="0"/>
        <w:rPr>
          <w:rFonts w:ascii="宋体" w:hAnsi="宋体" w:eastAsia="宋体" w:cs="宋体"/>
          <w:sz w:val="24"/>
          <w:szCs w:val="24"/>
        </w:rPr>
      </w:pPr>
    </w:p>
    <w:p w14:paraId="7EC241E6">
      <w:pPr>
        <w:spacing w:line="560" w:lineRule="exact"/>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商务要求</w:t>
      </w:r>
    </w:p>
    <w:p w14:paraId="69ADA479">
      <w:pPr>
        <w:widowControl w:val="0"/>
        <w:kinsoku/>
        <w:autoSpaceDE/>
        <w:autoSpaceDN/>
        <w:adjustRightInd/>
        <w:snapToGrid/>
        <w:spacing w:line="560" w:lineRule="exact"/>
        <w:ind w:firstLine="482" w:firstLineChars="200"/>
        <w:jc w:val="both"/>
        <w:textAlignment w:val="auto"/>
        <w:rPr>
          <w:rFonts w:ascii="宋体" w:hAnsi="宋体" w:eastAsia="宋体" w:cs="宋体"/>
          <w:snapToGrid/>
          <w:color w:val="FF0000"/>
          <w:kern w:val="2"/>
          <w:sz w:val="24"/>
          <w:szCs w:val="24"/>
        </w:rPr>
      </w:pPr>
      <w:r>
        <w:rPr>
          <w:rFonts w:hint="eastAsia" w:ascii="宋体" w:hAnsi="宋体" w:eastAsia="宋体" w:cs="宋体"/>
          <w:b/>
          <w:bCs/>
          <w:snapToGrid/>
          <w:kern w:val="2"/>
          <w:sz w:val="24"/>
          <w:szCs w:val="24"/>
        </w:rPr>
        <w:t>1、合同履行期限</w:t>
      </w:r>
      <w:r>
        <w:rPr>
          <w:rFonts w:hint="eastAsia" w:ascii="宋体" w:hAnsi="宋体" w:eastAsia="宋体" w:cs="宋体"/>
          <w:snapToGrid/>
          <w:kern w:val="2"/>
          <w:sz w:val="24"/>
          <w:szCs w:val="24"/>
        </w:rPr>
        <w:t>：3包网络安全等级保护测评服务：合同签订后至整体海南省医疗保障综合管控系统扩展和多层次医疗救助一体化平台建设项目通过竣工验收。</w:t>
      </w:r>
    </w:p>
    <w:p w14:paraId="1EAD9ACE">
      <w:pPr>
        <w:widowControl w:val="0"/>
        <w:kinsoku/>
        <w:autoSpaceDE/>
        <w:autoSpaceDN/>
        <w:adjustRightInd/>
        <w:snapToGrid/>
        <w:spacing w:line="560" w:lineRule="exact"/>
        <w:ind w:firstLine="482" w:firstLineChars="200"/>
        <w:jc w:val="both"/>
        <w:textAlignment w:val="auto"/>
        <w:rPr>
          <w:rFonts w:ascii="宋体" w:hAnsi="宋体" w:eastAsia="宋体" w:cs="宋体"/>
          <w:snapToGrid/>
          <w:kern w:val="2"/>
          <w:sz w:val="24"/>
          <w:szCs w:val="24"/>
        </w:rPr>
      </w:pPr>
      <w:r>
        <w:rPr>
          <w:rFonts w:hint="eastAsia" w:ascii="宋体" w:hAnsi="宋体" w:eastAsia="宋体" w:cs="宋体"/>
          <w:b/>
          <w:bCs/>
          <w:snapToGrid/>
          <w:kern w:val="2"/>
          <w:sz w:val="24"/>
          <w:szCs w:val="24"/>
        </w:rPr>
        <w:t>2、项目的实施要求</w:t>
      </w:r>
    </w:p>
    <w:p w14:paraId="3CADCE36">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测评项目实施过程中，投标人应遵循国家标准、行业标准。</w:t>
      </w:r>
    </w:p>
    <w:p w14:paraId="26878102">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项目实施要求</w:t>
      </w:r>
    </w:p>
    <w:p w14:paraId="4C9FD237">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在项目实施中投标方必须做到:</w:t>
      </w:r>
    </w:p>
    <w:p w14:paraId="16B37E7F">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（1）合同签订后，测评单位需立即安排驻场人员全程参与海南省医疗保障综合管控系统扩展和多层次医疗救助一体化平台建设项目建设过程的测评工作，及时协助采购人发现并指导系统承建方完成问题整改工作</w:t>
      </w:r>
    </w:p>
    <w:p w14:paraId="437A139B">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（2）提供项目实施组织架构;</w:t>
      </w:r>
    </w:p>
    <w:p w14:paraId="712D7292">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（3）提供详细的项目实施方案和计划进度说明书;</w:t>
      </w:r>
    </w:p>
    <w:p w14:paraId="4B5A9335">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（4） 对于采购人的电话咨询和常规服务请求在 30 分钟内予以答复，紧急服务请求在2小时内到达采购人现场;</w:t>
      </w:r>
    </w:p>
    <w:p w14:paraId="2DFD2C50">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（5） 严格按照双方确定的计划进度保质保量完成工作;</w:t>
      </w:r>
    </w:p>
    <w:p w14:paraId="01943801">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（6）规范项目实施过程中的文档管理;</w:t>
      </w:r>
    </w:p>
    <w:p w14:paraId="2C4FFC0F">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（7）项目实施中要引入风险管理、质量管理、成本管理;</w:t>
      </w:r>
    </w:p>
    <w:p w14:paraId="2C0ECD27">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8）签署《保密协议》。中标单位(含项目组所有成员)必须对项目技术文件以及由招标人提供的所有内部资料、技术文档、数据和信息予以保密。中标单位必须与招标人签订保密协议并严格遵守，未经招标人书面许可，中标单位不得以任何形式向第三方透露本项目标书以及本项目的任何内容。</w:t>
      </w:r>
    </w:p>
    <w:p w14:paraId="2F307805">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（9）测评实施团队要求和等级测评师证书，复印件需在投标文件中提供，并加盖公章。</w:t>
      </w:r>
    </w:p>
    <w:p w14:paraId="5541B11E">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10）按照公安部对测评机构管理的规定和要求，测评项目现场实施的人员必须是本机构的持证测评师，而且测评项目不允许分包或转包，中标人一旦出现和等级测评师证书，复印件需在投标文件中提供，并加盖公章。</w:t>
      </w:r>
    </w:p>
    <w:p w14:paraId="14D61E4F">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（11）按照公安部对测评机构管理的规定和要求，测评项目现场实施的人员必须是本机构的持证测评师，而且测评项目不允许分包或转包，中标人一旦出现上述违规情况采购人有权解除合同。</w:t>
      </w:r>
    </w:p>
    <w:p w14:paraId="19FC87B2">
      <w:pPr>
        <w:widowControl w:val="0"/>
        <w:kinsoku/>
        <w:autoSpaceDE/>
        <w:autoSpaceDN/>
        <w:adjustRightInd/>
        <w:snapToGrid/>
        <w:spacing w:line="560" w:lineRule="exact"/>
        <w:ind w:firstLine="482" w:firstLineChars="200"/>
        <w:jc w:val="both"/>
        <w:textAlignment w:val="auto"/>
        <w:rPr>
          <w:rFonts w:ascii="宋体" w:hAnsi="宋体" w:eastAsia="宋体" w:cs="宋体"/>
          <w:b/>
          <w:bCs/>
          <w:snapToGrid/>
          <w:kern w:val="2"/>
          <w:sz w:val="24"/>
          <w:szCs w:val="24"/>
        </w:rPr>
      </w:pPr>
      <w:r>
        <w:rPr>
          <w:rFonts w:hint="eastAsia" w:ascii="宋体" w:hAnsi="宋体" w:eastAsia="宋体" w:cs="宋体"/>
          <w:b/>
          <w:bCs/>
          <w:snapToGrid/>
          <w:kern w:val="2"/>
          <w:sz w:val="24"/>
          <w:szCs w:val="24"/>
        </w:rPr>
        <w:t>3.项目验收标准和方式</w:t>
      </w:r>
    </w:p>
    <w:p w14:paraId="61F9DFCE">
      <w:pPr>
        <w:keepNext/>
        <w:keepLines/>
        <w:spacing w:line="56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在初验前向采购人正式提供差距测评报告，差距测评报告包含单元测评、整体测评、风险分析、报告编制。</w:t>
      </w:r>
    </w:p>
    <w:p w14:paraId="1552E303">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中标单位完成技术服务工作的形式：对信息系统安全保护等级进行安全现状分析。依据《网络安全等级保护基本要求》，对物理机房、网络结构、信息系统等进行合规性检查，发现信息系统与安全保护等级要求之间的差距，并出具《网络安全等级保护测评报告》及提出具有针对性的整改意见。</w:t>
      </w:r>
    </w:p>
    <w:p w14:paraId="74799C90">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由海南省医疗保障局统一组织，采购人与相关人员组成验收小组完成验收。双方根据最终验收情况，编写《网络安全等级保护测评报告》最终验收报告。中标人应完成项目验收资料的准备。</w:t>
      </w:r>
    </w:p>
    <w:p w14:paraId="39456E8A">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在服务过程中出现性能指标或功能上不符合标书和合同要求时，由中标人负责解决，采购人有拒绝验收的权利并保留索赔权利。</w:t>
      </w:r>
    </w:p>
    <w:p w14:paraId="1B7A2D6C">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本项目的实施过程中将产生大量的技术及管理文档，中标人应协助采购人，负责建立、维护、交接项目实施过程中产生的各类文档，确保项目文档的内容体现本项目的实施过程，并确保项目文档的完整性和准确性。</w:t>
      </w:r>
    </w:p>
    <w:p w14:paraId="1C1CF184">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交付物：出具整改意见和测评报告，协助完成系统定级专家评审工作，完成本次测评报告在公安部门的备案工作，并取得有效的备案证明。</w:t>
      </w:r>
    </w:p>
    <w:p w14:paraId="6A40CDB6">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成交服务商完成技术服务工作的形式：对信息系统安全保护等级进行安全现状分析。依据《网络安全等级保护基本要求》，对物理机房、网络结构、信息系统等进行合规性检查，发现信息系统与安全保护等级要求之间的差距，并出具《网络安全等级保护测评报告》及提出具有针对性的整改意见。</w:t>
      </w:r>
    </w:p>
    <w:p w14:paraId="71182F2F">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（3）技术服务工作成果：提交《网络安全等级保护测评报告》作为验收成果。</w:t>
      </w:r>
    </w:p>
    <w:p w14:paraId="6D4286C8">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（4）技术服务工作成果的验收方法：确认成交服务商所进行的技术服务工作均按有关标准及合同要求进行。</w:t>
      </w:r>
    </w:p>
    <w:p w14:paraId="41C30DD0">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（5）验收的时间和地点：按照合同约定，在项目执行完毕后5个工作日内，在甲方指定地点进行验收。</w:t>
      </w:r>
    </w:p>
    <w:p w14:paraId="7FC7B266">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（6）验收组织</w:t>
      </w:r>
    </w:p>
    <w:p w14:paraId="3DD8AA8F">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 xml:space="preserve">  成立由采购人、中标方以及其他有关人员组成的验收小组，负责对项目进行全面的验收。</w:t>
      </w:r>
    </w:p>
    <w:p w14:paraId="4E996C08">
      <w:pPr>
        <w:widowControl w:val="0"/>
        <w:kinsoku/>
        <w:autoSpaceDE/>
        <w:autoSpaceDN/>
        <w:adjustRightInd/>
        <w:snapToGrid/>
        <w:spacing w:line="560" w:lineRule="exact"/>
        <w:ind w:firstLine="482" w:firstLineChars="200"/>
        <w:jc w:val="both"/>
        <w:textAlignment w:val="auto"/>
        <w:rPr>
          <w:rFonts w:ascii="宋体" w:hAnsi="宋体" w:eastAsia="宋体" w:cs="宋体"/>
          <w:b/>
          <w:bCs/>
          <w:snapToGrid/>
          <w:kern w:val="2"/>
          <w:sz w:val="24"/>
          <w:szCs w:val="24"/>
        </w:rPr>
      </w:pPr>
      <w:r>
        <w:rPr>
          <w:rFonts w:hint="eastAsia" w:ascii="宋体" w:hAnsi="宋体" w:eastAsia="宋体" w:cs="宋体"/>
          <w:b/>
          <w:bCs/>
          <w:snapToGrid/>
          <w:kern w:val="2"/>
          <w:sz w:val="24"/>
          <w:szCs w:val="24"/>
        </w:rPr>
        <w:t>4.项目工期</w:t>
      </w:r>
    </w:p>
    <w:p w14:paraId="58E2379D">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项目实施工期：合同签订后15天内，测评单位需立即安排驻场人员全程参与项目建设过程的测评工作，及时协助采购人发现并指导系统承建方完成问题整改工作并交付测评服务成果。</w:t>
      </w:r>
    </w:p>
    <w:p w14:paraId="5C1E54EB">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技术服务质量要求：依据国家和行业指定标准开展测评工作，及时出具符合等级保护管理部门要求的测评报告并协助采购人完成备案。须指导系统承建厂商按照安全相关规定达到测评合格验收标准。</w:t>
      </w:r>
    </w:p>
    <w:p w14:paraId="3786E355">
      <w:pPr>
        <w:widowControl w:val="0"/>
        <w:kinsoku/>
        <w:autoSpaceDE/>
        <w:autoSpaceDN/>
        <w:adjustRightInd/>
        <w:snapToGrid/>
        <w:spacing w:line="560" w:lineRule="exact"/>
        <w:ind w:firstLine="482" w:firstLineChars="200"/>
        <w:jc w:val="both"/>
        <w:textAlignment w:val="auto"/>
        <w:rPr>
          <w:rFonts w:ascii="宋体" w:hAnsi="宋体" w:eastAsia="宋体" w:cs="宋体"/>
          <w:b/>
          <w:bCs/>
          <w:snapToGrid/>
          <w:kern w:val="2"/>
          <w:sz w:val="24"/>
          <w:szCs w:val="24"/>
        </w:rPr>
      </w:pPr>
      <w:r>
        <w:rPr>
          <w:rFonts w:hint="eastAsia" w:ascii="宋体" w:hAnsi="宋体" w:eastAsia="宋体" w:cs="宋体"/>
          <w:b/>
          <w:bCs/>
          <w:snapToGrid/>
          <w:kern w:val="2"/>
          <w:sz w:val="24"/>
          <w:szCs w:val="24"/>
        </w:rPr>
        <w:t>5.售后服务要求：</w:t>
      </w:r>
    </w:p>
    <w:p w14:paraId="7996AE3C">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对于测评过程中发现的安全问题，成交方应先出具问题汇总报告，并给采购人预留三十天的整改时间，整改完成后成交方提供一次全面问题复查，并出具最终版测评报告。同时成交方针对本次测评范围内的问题提供一年期的远程技术咨询服务。</w:t>
      </w:r>
    </w:p>
    <w:p w14:paraId="1B28708C">
      <w:pPr>
        <w:widowControl w:val="0"/>
        <w:spacing w:line="560" w:lineRule="exact"/>
        <w:ind w:firstLine="482" w:firstLineChars="200"/>
        <w:rPr>
          <w:rFonts w:ascii="宋体" w:hAnsi="宋体" w:eastAsia="宋体" w:cs="宋体"/>
          <w:b/>
          <w:bCs/>
          <w:kern w:val="2"/>
          <w:sz w:val="24"/>
          <w:szCs w:val="24"/>
        </w:rPr>
      </w:pPr>
      <w:r>
        <w:rPr>
          <w:rFonts w:hint="eastAsia" w:ascii="宋体" w:hAnsi="宋体" w:eastAsia="宋体" w:cs="宋体"/>
          <w:b/>
          <w:bCs/>
          <w:kern w:val="2"/>
          <w:sz w:val="24"/>
          <w:szCs w:val="24"/>
        </w:rPr>
        <w:t>6.培训要求</w:t>
      </w:r>
    </w:p>
    <w:p w14:paraId="312D81C6">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对于等保测评发现的问题，需要组织对医疗保障信息平台系统有关各参与方和相关应用系统开发商，进行等保整改建设使用等方面专业知识培训。利用等级保护测评过程，由中标方对招标方工作人员进行相关的培训，包含但不限于工具的使用、渗透测试技术等。</w:t>
      </w:r>
    </w:p>
    <w:p w14:paraId="75765BAC">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具体要求如下：</w:t>
      </w:r>
    </w:p>
    <w:p w14:paraId="27D1EE5E">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（1）投标人应在投标文件中给出详细的培训方案；</w:t>
      </w:r>
    </w:p>
    <w:p w14:paraId="731F9E37">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（2）培训人应拥有从业相关经验，提供培训人的详细背景资料；</w:t>
      </w:r>
    </w:p>
    <w:p w14:paraId="7746A75F">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（3）投标人应提供中文培训资料；</w:t>
      </w:r>
    </w:p>
    <w:p w14:paraId="7415DE06">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（4）如培训未达到预期效果，培训时间进行延长；</w:t>
      </w:r>
    </w:p>
    <w:p w14:paraId="10838672">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（5）培训地点为采购人指定地点；</w:t>
      </w:r>
    </w:p>
    <w:p w14:paraId="772CB3C3">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（6）培训所需费用由投标人承担；</w:t>
      </w:r>
    </w:p>
    <w:p w14:paraId="5962D014">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（7）培训时间由海南省医疗保障局按照项目进展情况指定，原则不超过20天。</w:t>
      </w:r>
    </w:p>
    <w:p w14:paraId="26CD1996">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（8）培训次数：测评过程中现场集中培训两次和线上培训。</w:t>
      </w:r>
    </w:p>
    <w:p w14:paraId="7F5A1A2A">
      <w:pPr>
        <w:widowControl w:val="0"/>
        <w:spacing w:line="560" w:lineRule="exact"/>
        <w:ind w:firstLine="482" w:firstLineChars="200"/>
        <w:rPr>
          <w:rFonts w:ascii="宋体" w:hAnsi="宋体" w:eastAsia="宋体" w:cs="宋体"/>
          <w:b/>
          <w:bCs/>
          <w:kern w:val="2"/>
          <w:sz w:val="24"/>
          <w:szCs w:val="24"/>
        </w:rPr>
      </w:pPr>
      <w:r>
        <w:rPr>
          <w:rFonts w:hint="eastAsia" w:ascii="宋体" w:hAnsi="宋体" w:eastAsia="宋体" w:cs="宋体"/>
          <w:b/>
          <w:bCs/>
          <w:kern w:val="2"/>
          <w:sz w:val="24"/>
          <w:szCs w:val="24"/>
        </w:rPr>
        <w:t>7</w:t>
      </w:r>
      <w:r>
        <w:rPr>
          <w:rFonts w:hint="eastAsia" w:ascii="宋体" w:hAnsi="宋体" w:eastAsia="宋体" w:cs="宋体"/>
          <w:b/>
          <w:bCs/>
          <w:kern w:val="2"/>
          <w:sz w:val="24"/>
          <w:szCs w:val="24"/>
          <w:lang w:val="en-US" w:eastAsia="zh-CN"/>
        </w:rPr>
        <w:t>.</w:t>
      </w:r>
      <w:r>
        <w:rPr>
          <w:rFonts w:hint="eastAsia" w:ascii="宋体" w:hAnsi="宋体" w:eastAsia="宋体" w:cs="宋体"/>
          <w:b/>
          <w:bCs/>
          <w:kern w:val="2"/>
          <w:sz w:val="24"/>
          <w:szCs w:val="24"/>
        </w:rPr>
        <w:t>其他工作</w:t>
      </w:r>
    </w:p>
    <w:p w14:paraId="6638813B">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协助招标方完成多层次医疗救助一体化服务平台和数据专区（多层次医疗救助基础信息管理系统、多层次医疗救助数据共享中心、多层次医疗救助业务标准规范管理系统、应用支撑基础系统、医疗救助子系统、多层次医疗救助门户系统、数据共享子系统、数据专区）；综合管控系统拓展和医保场景监控（电子处方与药品双通道监管、DRG/DIP监管系统、门诊统筹监管、两库管理与论证系统、医保场景监管系统）2个系统基于三级等级保护的要求作必要的安全检测与评估。这些系统经整改完成后，投标方须承认该系统已通过等级保护测评企业主持的等级保护测评。”</w:t>
      </w:r>
    </w:p>
    <w:p w14:paraId="008D8E27">
      <w:pPr>
        <w:widowControl w:val="0"/>
        <w:spacing w:line="56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（2）投标方须提供完整方案。</w:t>
      </w:r>
    </w:p>
    <w:p w14:paraId="2478624D">
      <w:pPr>
        <w:widowControl w:val="0"/>
        <w:kinsoku/>
        <w:autoSpaceDE/>
        <w:autoSpaceDN/>
        <w:adjustRightInd/>
        <w:snapToGrid/>
        <w:spacing w:line="560" w:lineRule="exact"/>
        <w:ind w:firstLine="482" w:firstLineChars="200"/>
        <w:jc w:val="both"/>
        <w:textAlignment w:val="auto"/>
        <w:rPr>
          <w:rFonts w:ascii="宋体" w:hAnsi="宋体" w:eastAsia="宋体" w:cs="宋体"/>
          <w:b/>
          <w:bCs/>
          <w:snapToGrid/>
          <w:kern w:val="2"/>
          <w:sz w:val="24"/>
          <w:szCs w:val="24"/>
        </w:rPr>
      </w:pPr>
      <w:r>
        <w:rPr>
          <w:rFonts w:hint="eastAsia" w:ascii="宋体" w:hAnsi="宋体" w:eastAsia="宋体" w:cs="宋体"/>
          <w:b/>
          <w:bCs/>
          <w:snapToGrid/>
          <w:kern w:val="2"/>
          <w:sz w:val="24"/>
          <w:szCs w:val="24"/>
        </w:rPr>
        <w:t>8</w:t>
      </w:r>
      <w:r>
        <w:rPr>
          <w:rFonts w:hint="eastAsia" w:ascii="宋体" w:hAnsi="宋体" w:eastAsia="宋体" w:cs="宋体"/>
          <w:b/>
          <w:bCs/>
          <w:snapToGrid/>
          <w:kern w:val="2"/>
          <w:sz w:val="24"/>
          <w:szCs w:val="24"/>
          <w:lang w:val="en-US" w:eastAsia="zh-CN"/>
        </w:rPr>
        <w:t>.</w:t>
      </w:r>
      <w:r>
        <w:rPr>
          <w:rFonts w:hint="eastAsia" w:ascii="宋体" w:hAnsi="宋体" w:eastAsia="宋体" w:cs="宋体"/>
          <w:b/>
          <w:bCs/>
          <w:snapToGrid/>
          <w:kern w:val="2"/>
          <w:sz w:val="24"/>
          <w:szCs w:val="24"/>
        </w:rPr>
        <w:t>其他说明：</w:t>
      </w:r>
    </w:p>
    <w:p w14:paraId="79C25521">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（1）若测评结果符合要求，需测评单位出具说明，测评结果符合要求，需测评单位公司法人或授权代理人签字、盖章。</w:t>
      </w:r>
    </w:p>
    <w:p w14:paraId="23B36580">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（2）对测评过程中发现的问题，测评单位须提供有效的解决方案并协助指导相应系统承建方完成整改，符合海南省省本级政务信息化项目验收管理规范中对等级保护安全性评估要求，达到新建项目验收标准。</w:t>
      </w:r>
    </w:p>
    <w:p w14:paraId="743BD7F4">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（3）海南省医疗保障综合管控系统扩展和多层次医疗救助一体化平台建设项目需总体终验合格后向项目各包支付项目款项。</w:t>
      </w:r>
    </w:p>
    <w:p w14:paraId="5091FADC">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（4）合同签订后，测评单位需立即安排驻场人员全程参与项目建设过程的测评工作，及时协助采购人发现并督促系统承建方完成问题整改工作.</w:t>
      </w:r>
    </w:p>
    <w:p w14:paraId="483DD118">
      <w:pPr>
        <w:widowControl w:val="0"/>
        <w:kinsoku/>
        <w:autoSpaceDE/>
        <w:autoSpaceDN/>
        <w:adjustRightInd/>
        <w:snapToGrid/>
        <w:spacing w:line="560" w:lineRule="exact"/>
        <w:ind w:firstLine="482" w:firstLineChars="200"/>
        <w:jc w:val="both"/>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9</w:t>
      </w:r>
      <w:r>
        <w:rPr>
          <w:rFonts w:hint="eastAsia" w:ascii="宋体" w:hAnsi="宋体" w:eastAsia="宋体" w:cs="宋体"/>
          <w:b/>
          <w:snapToGrid/>
          <w:kern w:val="2"/>
          <w:sz w:val="24"/>
          <w:szCs w:val="24"/>
          <w:lang w:val="en-US" w:eastAsia="zh-CN"/>
        </w:rPr>
        <w:t>.</w:t>
      </w:r>
      <w:r>
        <w:rPr>
          <w:rFonts w:hint="eastAsia" w:ascii="宋体" w:hAnsi="宋体" w:eastAsia="宋体" w:cs="宋体"/>
          <w:b/>
          <w:snapToGrid/>
          <w:kern w:val="2"/>
          <w:sz w:val="24"/>
          <w:szCs w:val="24"/>
        </w:rPr>
        <w:t xml:space="preserve">项目管理要求 </w:t>
      </w:r>
    </w:p>
    <w:p w14:paraId="06AC903E">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1）采购人与成交方双方分别成立项目工作组、项目实施组。在项目实施过程中，成交方应保证项目工作组成员的稳定，如变更项目组成员必须事先征得采购人的书面同意，且替换人员的相关资质不应低于原项目人员的资质水平；</w:t>
      </w:r>
    </w:p>
    <w:p w14:paraId="401F4058">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（2）成交方为本项目投入技术人员不少于 5 人，实施期间提供驻场不少于 3 人的 项目实施团队（包含 1 名项目经理），该团队的技术人员应具有等保测评师证书；</w:t>
      </w:r>
    </w:p>
    <w:p w14:paraId="7A9712D2">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rPr>
      </w:pPr>
      <w:r>
        <w:rPr>
          <w:rFonts w:hint="eastAsia" w:ascii="宋体" w:hAnsi="宋体" w:eastAsia="宋体" w:cs="宋体"/>
          <w:snapToGrid/>
          <w:kern w:val="2"/>
          <w:sz w:val="24"/>
          <w:szCs w:val="24"/>
        </w:rPr>
        <w:t>（3）成交方应保证，在项目实施中不能影响系统的正常运行和使用，项目实施应依据国家标准、行业标准等相关要求和标准进行；在服务期内，工作要做到事事有记录、事事有反馈、重大问题要及时汇报。严格遵守工作作息时间，严格按照服务工作流程操作。</w:t>
      </w:r>
    </w:p>
    <w:p w14:paraId="70042378">
      <w:pPr>
        <w:pStyle w:val="2"/>
        <w:ind w:firstLine="480" w:firstLineChars="200"/>
        <w:rPr>
          <w:rFonts w:ascii="宋体" w:hAnsi="宋体" w:cs="宋体"/>
          <w:b w:val="0"/>
          <w:bCs w:val="0"/>
          <w:snapToGrid/>
          <w:kern w:val="2"/>
          <w:sz w:val="24"/>
          <w:szCs w:val="24"/>
        </w:rPr>
      </w:pPr>
      <w:r>
        <w:rPr>
          <w:rFonts w:hint="eastAsia" w:ascii="宋体" w:hAnsi="宋体" w:cs="宋体"/>
          <w:b w:val="0"/>
          <w:bCs w:val="0"/>
          <w:snapToGrid/>
          <w:kern w:val="2"/>
          <w:sz w:val="24"/>
          <w:szCs w:val="24"/>
        </w:rPr>
        <w:t>（4）投标人派驻现场人员与投标文件中的人员不一致，除非不可抗因素，只允许重新指派一次，且更换的人员必须为原同等资质证书人员，否则视为中标单位放弃合同。</w:t>
      </w:r>
    </w:p>
    <w:p w14:paraId="646537D1">
      <w:pPr>
        <w:pStyle w:val="13"/>
        <w:ind w:firstLine="482"/>
        <w:jc w:val="center"/>
        <w:rPr>
          <w:rFonts w:asciiTheme="minorEastAsia" w:hAnsiTheme="minorEastAsia" w:eastAsiaTheme="minorEastAsia" w:cstheme="minorEastAsia"/>
          <w:b/>
          <w:bCs w:val="0"/>
          <w:sz w:val="24"/>
          <w:szCs w:val="24"/>
          <w:lang w:val="zh-CN" w:bidi="zh-CN"/>
        </w:rPr>
        <w:sectPr>
          <w:pgSz w:w="11906" w:h="16838"/>
          <w:pgMar w:top="1440" w:right="1803" w:bottom="1440" w:left="1803" w:header="851" w:footer="992" w:gutter="0"/>
          <w:cols w:space="720" w:num="1"/>
          <w:docGrid w:type="lines" w:linePitch="319" w:charSpace="0"/>
        </w:sectPr>
      </w:pPr>
    </w:p>
    <w:p w14:paraId="38114F6E">
      <w:pPr>
        <w:pStyle w:val="7"/>
        <w:spacing w:line="560" w:lineRule="exact"/>
        <w:ind w:firstLine="0" w:firstLineChars="0"/>
        <w:rPr>
          <w:rFonts w:asciiTheme="minorEastAsia" w:hAnsiTheme="minorEastAsia" w:eastAsiaTheme="minorEastAsia" w:cstheme="minorEastAsia"/>
          <w:sz w:val="24"/>
          <w:szCs w:val="24"/>
        </w:rPr>
      </w:pPr>
    </w:p>
    <w:p w14:paraId="6F03BBF4">
      <w:pPr>
        <w:pStyle w:val="7"/>
        <w:spacing w:line="560" w:lineRule="exact"/>
        <w:ind w:firstLine="0" w:firstLineChars="0"/>
        <w:outlineLvl w:val="2"/>
        <w:rPr>
          <w:rFonts w:asciiTheme="minorEastAsia" w:hAnsiTheme="minorEastAsia" w:eastAsiaTheme="minorEastAsia" w:cstheme="minorEastAsia"/>
          <w:sz w:val="24"/>
          <w:szCs w:val="24"/>
        </w:rPr>
      </w:pPr>
      <w:bookmarkStart w:id="25" w:name="_Toc15549"/>
      <w:r>
        <w:rPr>
          <w:rFonts w:hint="eastAsia" w:asciiTheme="minorEastAsia" w:hAnsiTheme="minorEastAsia" w:eastAsiaTheme="minorEastAsia" w:cstheme="minorEastAsia"/>
          <w:sz w:val="24"/>
          <w:szCs w:val="24"/>
        </w:rPr>
        <w:t>二、产品的安装调试、试运行和</w:t>
      </w:r>
      <w:r>
        <w:rPr>
          <w:rFonts w:hint="eastAsia" w:asciiTheme="minorEastAsia" w:hAnsiTheme="minorEastAsia" w:eastAsiaTheme="minorEastAsia" w:cstheme="minorEastAsia"/>
          <w:sz w:val="24"/>
          <w:szCs w:val="24"/>
          <w:shd w:val="clear" w:color="auto" w:fill="FFFFFF"/>
        </w:rPr>
        <w:t>验收标准要求</w:t>
      </w:r>
      <w:bookmarkEnd w:id="25"/>
    </w:p>
    <w:p w14:paraId="2F84F379">
      <w:pPr>
        <w:widowControl w:val="0"/>
        <w:numPr>
          <w:ilvl w:val="0"/>
          <w:numId w:val="2"/>
        </w:numPr>
        <w:tabs>
          <w:tab w:val="left" w:pos="1086"/>
          <w:tab w:val="clear" w:pos="1275"/>
        </w:tabs>
        <w:kinsoku/>
        <w:autoSpaceDE/>
        <w:autoSpaceDN/>
        <w:adjustRightInd/>
        <w:spacing w:line="560" w:lineRule="exact"/>
        <w:ind w:left="0" w:firstLine="482"/>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交付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40099B26">
      <w:pPr>
        <w:spacing w:line="560" w:lineRule="exact"/>
        <w:outlineLvl w:val="2"/>
        <w:rPr>
          <w:rFonts w:asciiTheme="minorEastAsia" w:hAnsiTheme="minorEastAsia" w:eastAsiaTheme="minorEastAsia" w:cstheme="minorEastAsia"/>
          <w:sz w:val="24"/>
          <w:szCs w:val="24"/>
        </w:rPr>
      </w:pPr>
      <w:bookmarkStart w:id="26" w:name="_Toc13732"/>
      <w:r>
        <w:rPr>
          <w:rFonts w:hint="eastAsia" w:asciiTheme="minorEastAsia" w:hAnsiTheme="minorEastAsia" w:eastAsiaTheme="minorEastAsia" w:cstheme="minorEastAsia"/>
          <w:sz w:val="24"/>
          <w:szCs w:val="24"/>
        </w:rPr>
        <w:t>三、技术资料</w:t>
      </w:r>
      <w:bookmarkEnd w:id="26"/>
    </w:p>
    <w:p w14:paraId="7E8BED88">
      <w:pPr>
        <w:spacing w:line="560" w:lineRule="exact"/>
        <w:ind w:firstLine="626" w:firstLineChars="2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投标人应保证所提交给招标人和招标代理机构的资料和数据是真实的，因提交的资料和数据不真实所引起的责任由投标人自行承担。</w:t>
      </w:r>
    </w:p>
    <w:p w14:paraId="3B60B981">
      <w:pPr>
        <w:spacing w:line="560" w:lineRule="exact"/>
        <w:outlineLvl w:val="2"/>
        <w:rPr>
          <w:rFonts w:asciiTheme="minorEastAsia" w:hAnsiTheme="minorEastAsia" w:eastAsiaTheme="minorEastAsia" w:cstheme="minorEastAsia"/>
          <w:sz w:val="24"/>
          <w:szCs w:val="24"/>
        </w:rPr>
      </w:pPr>
      <w:bookmarkStart w:id="27" w:name="_Toc24812"/>
      <w:r>
        <w:rPr>
          <w:rFonts w:hint="eastAsia" w:asciiTheme="minorEastAsia" w:hAnsiTheme="minorEastAsia" w:eastAsiaTheme="minorEastAsia" w:cstheme="minorEastAsia"/>
          <w:sz w:val="24"/>
          <w:szCs w:val="24"/>
        </w:rPr>
        <w:t>四、工具</w:t>
      </w:r>
      <w:bookmarkEnd w:id="27"/>
    </w:p>
    <w:p w14:paraId="07D64888">
      <w:pPr>
        <w:spacing w:line="560" w:lineRule="exact"/>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投标人提供产品所带专用工具清单，并标明其种类、用途和生产厂，并在货物到货时同时提供给业主，此价格应包含在投标价中。</w:t>
      </w:r>
    </w:p>
    <w:p w14:paraId="3C560D64">
      <w:pPr>
        <w:spacing w:line="560" w:lineRule="exact"/>
        <w:ind w:firstLine="480" w:firstLineChars="200"/>
        <w:outlineLvl w:val="2"/>
        <w:rPr>
          <w:rFonts w:asciiTheme="minorEastAsia" w:hAnsiTheme="minorEastAsia" w:eastAsiaTheme="minorEastAsia" w:cstheme="minorEastAsia"/>
          <w:sz w:val="24"/>
          <w:szCs w:val="24"/>
        </w:rPr>
      </w:pPr>
      <w:bookmarkStart w:id="28" w:name="_Toc28109"/>
      <w:r>
        <w:rPr>
          <w:rFonts w:hint="eastAsia" w:asciiTheme="minorEastAsia" w:hAnsiTheme="minorEastAsia" w:eastAsiaTheme="minorEastAsia" w:cstheme="minorEastAsia"/>
          <w:sz w:val="24"/>
          <w:szCs w:val="24"/>
        </w:rPr>
        <w:t>五、质量保质期</w:t>
      </w:r>
      <w:bookmarkEnd w:id="28"/>
    </w:p>
    <w:p w14:paraId="5F4A1184">
      <w:pPr>
        <w:spacing w:line="560" w:lineRule="exact"/>
        <w:ind w:firstLine="472"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本项目的质保期最低为</w:t>
      </w:r>
      <w:r>
        <w:rPr>
          <w:rFonts w:hint="eastAsia" w:asciiTheme="minorEastAsia" w:hAnsiTheme="minorEastAsia" w:eastAsiaTheme="minorEastAsia" w:cstheme="minorEastAsia"/>
          <w:b/>
          <w:sz w:val="24"/>
          <w:szCs w:val="24"/>
          <w:u w:val="single"/>
        </w:rPr>
        <w:t>两年</w:t>
      </w:r>
      <w:r>
        <w:rPr>
          <w:rFonts w:hint="eastAsia" w:asciiTheme="minorEastAsia" w:hAnsiTheme="minorEastAsia" w:eastAsiaTheme="minorEastAsia" w:cstheme="minorEastAsia"/>
          <w:b/>
          <w:sz w:val="24"/>
          <w:szCs w:val="24"/>
        </w:rPr>
        <w:t>，质保期从整体验收合格之日起计算</w:t>
      </w:r>
      <w:r>
        <w:rPr>
          <w:rFonts w:hint="eastAsia" w:asciiTheme="minorEastAsia" w:hAnsiTheme="minorEastAsia" w:eastAsiaTheme="minorEastAsia" w:cstheme="minorEastAsia"/>
          <w:sz w:val="24"/>
          <w:szCs w:val="24"/>
        </w:rPr>
        <w:t>，免费上门服务</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kern w:val="24"/>
          <w:sz w:val="24"/>
          <w:szCs w:val="24"/>
          <w:shd w:val="clear" w:color="auto" w:fill="FFFFFF"/>
        </w:rPr>
        <w:t>（采购清单中免费保修期有特殊要求的按照采购清单中的为准）。</w:t>
      </w:r>
    </w:p>
    <w:p w14:paraId="0DCF6BC9">
      <w:pPr>
        <w:spacing w:line="560" w:lineRule="exact"/>
        <w:ind w:firstLine="540" w:firstLineChars="225"/>
        <w:rPr>
          <w:rFonts w:asciiTheme="minorEastAsia" w:hAnsiTheme="minorEastAsia" w:eastAsiaTheme="minorEastAsia" w:cstheme="minorEastAsia"/>
          <w:kern w:val="24"/>
          <w:sz w:val="24"/>
          <w:szCs w:val="24"/>
          <w:shd w:val="clear" w:color="auto" w:fill="FFFFFF"/>
        </w:rPr>
      </w:pPr>
      <w:r>
        <w:rPr>
          <w:rFonts w:hint="eastAsia" w:asciiTheme="minorEastAsia" w:hAnsiTheme="minorEastAsia" w:eastAsiaTheme="minorEastAsia" w:cstheme="minorEastAsia"/>
          <w:kern w:val="24"/>
          <w:sz w:val="24"/>
          <w:szCs w:val="24"/>
          <w:shd w:val="clear" w:color="auto" w:fill="FFFFFF"/>
        </w:rPr>
        <w:t>六、签订合同：中标供应商在收到《中标通知书》5个工作日与业主签订合同。</w:t>
      </w:r>
    </w:p>
    <w:p w14:paraId="06B46DB4">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FABD">
    <w:pPr>
      <w:pBdr>
        <w:top w:val="single" w:color="auto" w:sz="12" w:space="1"/>
      </w:pBdr>
      <w:tabs>
        <w:tab w:val="right" w:pos="9072"/>
      </w:tabs>
      <w:spacing w:before="160"/>
      <w:ind w:right="108"/>
      <w:rPr>
        <w:rFonts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5FC33">
                          <w:pPr>
                            <w:pStyle w:val="5"/>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4A5FC33">
                    <w:pPr>
                      <w:pStyle w:val="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BAC0">
    <w:pPr>
      <w:pBdr>
        <w:top w:val="single" w:color="auto" w:sz="12" w:space="1"/>
      </w:pBdr>
      <w:tabs>
        <w:tab w:val="right" w:pos="9072"/>
      </w:tabs>
      <w:spacing w:before="160"/>
      <w:ind w:right="108"/>
      <w:rPr>
        <w:rFonts w:cs="Calibri"/>
        <w:sz w:val="18"/>
        <w:szCs w:val="18"/>
      </w:rPr>
    </w:pPr>
    <w:r>
      <w:rPr>
        <w:rFonts w:cs="Calibri"/>
        <w:lang w:val="zh-CN"/>
      </w:rPr>
      <w:fldChar w:fldCharType="begin"/>
    </w:r>
    <w:r>
      <w:rPr>
        <w:rFonts w:cs="Calibri"/>
      </w:rPr>
      <w:instrText xml:space="preserve"> PAGE   \* MERGEFORMAT </w:instrText>
    </w:r>
    <w:r>
      <w:rPr>
        <w:rFonts w:cs="Calibri"/>
        <w:lang w:val="zh-CN"/>
      </w:rPr>
      <w:fldChar w:fldCharType="separate"/>
    </w:r>
    <w:r>
      <w:rPr>
        <w:rFonts w:cs="Calibri"/>
      </w:rPr>
      <w:t>8</w:t>
    </w:r>
    <w:r>
      <w:rPr>
        <w:rFonts w:cs="Calibri"/>
        <w:lang w:val="zh-CN"/>
      </w:rPr>
      <w:fldChar w:fldCharType="end"/>
    </w:r>
    <w:r>
      <w:rPr>
        <w:rFonts w:cs="Calibri"/>
      </w:rPr>
      <w:t xml:space="preserve">                                  </w:t>
    </w:r>
    <w:r>
      <w:rPr>
        <w:rFonts w:hint="eastAsia" w:cs="Calibri"/>
        <w:lang w:val="zh-CN"/>
      </w:rPr>
      <w:t>华信咨询设计研究院有限公司</w:t>
    </w:r>
    <w:r>
      <w:rPr>
        <w:rFonts w:hint="eastAsia" w:cs="Calibri"/>
      </w:rPr>
      <w:t>（w</w:t>
    </w:r>
    <w:r>
      <w:rPr>
        <w:rFonts w:cs="Calibri"/>
      </w:rPr>
      <w:t>ww.hxdi.com</w:t>
    </w:r>
    <w:r>
      <w:rPr>
        <w:rFonts w:hint="eastAsia" w:cs="Calibri"/>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75DF3"/>
    <w:multiLevelType w:val="multilevel"/>
    <w:tmpl w:val="41675DF3"/>
    <w:lvl w:ilvl="0" w:tentative="0">
      <w:start w:val="1"/>
      <w:numFmt w:val="decimal"/>
      <w:lvlText w:val="%1）"/>
      <w:lvlJc w:val="left"/>
      <w:pPr>
        <w:tabs>
          <w:tab w:val="left" w:pos="1275"/>
        </w:tabs>
        <w:ind w:left="1275" w:hanging="7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78CC90B4"/>
    <w:multiLevelType w:val="singleLevel"/>
    <w:tmpl w:val="78CC90B4"/>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4AA32D0A"/>
    <w:rsid w:val="4AA3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keepNext/>
      <w:keepLines/>
      <w:spacing w:line="560" w:lineRule="exact"/>
      <w:outlineLvl w:val="1"/>
    </w:pPr>
    <w:rPr>
      <w:rFonts w:ascii="新宋体" w:hAnsi="新宋体" w:eastAsia="宋体"/>
      <w:b/>
      <w:bCs/>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Body Text"/>
    <w:basedOn w:val="1"/>
    <w:qFormat/>
    <w:uiPriority w:val="0"/>
    <w:pPr>
      <w:spacing w:after="120" w:line="560" w:lineRule="exact"/>
    </w:pPr>
    <w:rPr>
      <w:rFonts w:eastAsia="宋体"/>
      <w:b/>
    </w:rPr>
  </w:style>
  <w:style w:type="paragraph" w:styleId="5">
    <w:name w:val="footer"/>
    <w:basedOn w:val="1"/>
    <w:qFormat/>
    <w:uiPriority w:val="99"/>
    <w:pPr>
      <w:tabs>
        <w:tab w:val="center" w:pos="4153"/>
        <w:tab w:val="right" w:pos="8306"/>
      </w:tabs>
    </w:pPr>
    <w:rPr>
      <w:sz w:val="18"/>
    </w:rPr>
  </w:style>
  <w:style w:type="paragraph" w:styleId="6">
    <w:name w:val="footnote text"/>
    <w:basedOn w:val="1"/>
    <w:qFormat/>
    <w:uiPriority w:val="0"/>
    <w:rPr>
      <w:sz w:val="18"/>
      <w:szCs w:val="18"/>
    </w:rPr>
  </w:style>
  <w:style w:type="paragraph" w:styleId="7">
    <w:name w:val="Body Text Indent 3"/>
    <w:basedOn w:val="1"/>
    <w:qFormat/>
    <w:uiPriority w:val="0"/>
    <w:pPr>
      <w:spacing w:line="360" w:lineRule="exact"/>
      <w:ind w:firstLine="420" w:firstLineChars="200"/>
    </w:pPr>
  </w:style>
  <w:style w:type="paragraph" w:styleId="8">
    <w:name w:val="Body Text First Indent"/>
    <w:basedOn w:val="4"/>
    <w:qFormat/>
    <w:uiPriority w:val="0"/>
    <w:pPr>
      <w:ind w:firstLine="420" w:firstLineChars="100"/>
    </w:pPr>
  </w:style>
  <w:style w:type="character" w:customStyle="1" w:styleId="11">
    <w:name w:val="font11"/>
    <w:basedOn w:val="10"/>
    <w:autoRedefine/>
    <w:qFormat/>
    <w:uiPriority w:val="0"/>
    <w:rPr>
      <w:rFonts w:hint="eastAsia" w:ascii="宋体" w:hAnsi="宋体" w:eastAsia="宋体" w:cs="宋体"/>
      <w:b/>
      <w:bCs/>
      <w:color w:val="000000"/>
      <w:sz w:val="24"/>
      <w:szCs w:val="24"/>
      <w:u w:val="none"/>
    </w:rPr>
  </w:style>
  <w:style w:type="paragraph" w:customStyle="1" w:styleId="12">
    <w:name w:val="样式 正文缩进 + 首行缩进:  2 字符"/>
    <w:basedOn w:val="3"/>
    <w:autoRedefine/>
    <w:qFormat/>
    <w:uiPriority w:val="0"/>
    <w:pPr>
      <w:spacing w:line="360" w:lineRule="auto"/>
      <w:ind w:firstLine="200" w:firstLineChars="200"/>
    </w:pPr>
  </w:style>
  <w:style w:type="paragraph" w:customStyle="1" w:styleId="13">
    <w:name w:val="*正文"/>
    <w:basedOn w:val="1"/>
    <w:autoRedefine/>
    <w:qFormat/>
    <w:uiPriority w:val="0"/>
    <w:pPr>
      <w:spacing w:line="360" w:lineRule="auto"/>
      <w:ind w:firstLine="200" w:firstLineChars="200"/>
    </w:pPr>
    <w:rPr>
      <w:rFonts w:ascii="仿宋_GB2312"/>
      <w:bCs/>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2024-08-07T03:09:00Z</dcterms:created>
  <dc:creator>招标中心</dc:creator>
  <cp:lastModifiedBy>招标中心</cp:lastModifiedBy>
  <dcterms:modified xsi:type="dcterms:W3CDTF">2024-08-07T03:10:04Z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D5F011EE851D4A28AC90405FD55A80B3_11</vt:lpwstr>
  </property>
</Properties>
</file>