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温县人民医院小白楼上真石漆改造项目</w:t>
      </w:r>
    </w:p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pStyle w:val="2"/>
        <w:rPr>
          <w:color w:val="auto"/>
        </w:rPr>
      </w:pPr>
    </w:p>
    <w:tbl>
      <w:tblPr>
        <w:tblStyle w:val="4"/>
        <w:tblpPr w:leftFromText="180" w:rightFromText="180" w:vertAnchor="text" w:horzAnchor="page" w:tblpX="1495" w:tblpY="298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166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报价部分（30分）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技术部分（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综合部分（20分）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评分标准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（30分）</w:t>
            </w:r>
          </w:p>
        </w:tc>
        <w:tc>
          <w:tcPr>
            <w:tcW w:w="7092" w:type="dxa"/>
            <w:gridSpan w:val="3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满足谈判文件要求且最后报价最低的供应商报价为评标基准价，其报价得分为满分。其他供应商的价格得分统一按照下列公式计算：投标报价得分=(评标基准价／最后投标报价)×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0（小数点后保留2位小数）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</w:t>
            </w:r>
          </w:p>
          <w:p>
            <w:pPr>
              <w:spacing w:line="400" w:lineRule="exact"/>
              <w:ind w:left="280" w:left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（50分）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综合标评标分值（20分）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企业业绩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2020年1月1日以来企业签订的类似业绩每个得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分，最多得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注：以合同签订时间为准，响应性文件附合同复印件。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优惠条件的承诺（0-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392" w:type="dxa"/>
            <w:gridSpan w:val="2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优惠承诺应是书面的符合工程实际情况，确保依法依规，优惠合理，详实可行。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根据各供应商优惠条件承诺综合评比、比较后</w:t>
            </w:r>
            <w:r>
              <w:rPr>
                <w:rFonts w:hint="eastAsia" w:ascii="宋体" w:hAnsi="宋体" w:cs="宋体"/>
                <w:sz w:val="24"/>
                <w:szCs w:val="24"/>
              </w:rPr>
              <w:t>优惠合理，详实可行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得0-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7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服务承诺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（0-6分）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1、服务承诺目标明确、具体、可行，0～2分。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2、供应商在项目实施完成后所承诺的责任、服务内容；0～2分。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3、保证不拖欠农民工工资的承诺；0～2分。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9258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注：供应商最后得分=报价部分得分+技术部分得分+综合部分得分。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供应商的最终得分为全部评委打分的算术平均值。本条计算分值均保留两位小数</w:t>
            </w:r>
            <w:r>
              <w:rPr>
                <w:rFonts w:hint="eastAsia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TE5Y2E2OTAxYTVjZTFmYmUzZmFlZmQ2MTZmZjUifQ=="/>
  </w:docVars>
  <w:rsids>
    <w:rsidRoot w:val="69BC7F8B"/>
    <w:rsid w:val="4FBA6FD9"/>
    <w:rsid w:val="565B3C3B"/>
    <w:rsid w:val="69BC7F8B"/>
    <w:rsid w:val="724F6017"/>
    <w:rsid w:val="78C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770</Characters>
  <Lines>0</Lines>
  <Paragraphs>0</Paragraphs>
  <TotalTime>0</TotalTime>
  <ScaleCrop>false</ScaleCrop>
  <LinksUpToDate>false</LinksUpToDate>
  <CharactersWithSpaces>770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2024-04-18T01:08:00Z</dcterms:created>
  <dc:creator>Administrator</dc:creator>
  <cp:lastModifiedBy>Administrator</cp:lastModifiedBy>
  <dcterms:modified xsi:type="dcterms:W3CDTF">2024-07-15T02:23:45Z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903834A18B3447EB91630814FA64BAAB_13</vt:lpwstr>
  </property>
</Properties>
</file>