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EF9D8">
      <w:pPr>
        <w:pStyle w:val="6"/>
        <w:tabs>
          <w:tab w:val="left" w:pos="540"/>
        </w:tabs>
        <w:adjustRightInd w:val="0"/>
        <w:snapToGrid w:val="0"/>
        <w:spacing w:after="0" w:line="360" w:lineRule="auto"/>
        <w:ind w:left="0" w:leftChars="0" w:firstLine="482" w:firstLineChars="200"/>
        <w:jc w:val="center"/>
        <w:outlineLvl w:val="0"/>
        <w:rPr>
          <w:rFonts w:asciiTheme="minorEastAsia" w:hAnsiTheme="minorEastAsia" w:eastAsiaTheme="minorEastAsia" w:cstheme="minorEastAsia"/>
          <w:b/>
          <w:bCs/>
          <w:sz w:val="24"/>
        </w:rPr>
      </w:pPr>
      <w:bookmarkStart w:id="0" w:name="_Toc26527"/>
      <w:bookmarkStart w:id="1" w:name="_Toc21133"/>
      <w:r>
        <w:rPr>
          <w:rFonts w:hint="eastAsia" w:asciiTheme="minorEastAsia" w:hAnsiTheme="minorEastAsia" w:eastAsiaTheme="minorEastAsia" w:cstheme="minorEastAsia"/>
          <w:b/>
          <w:bCs/>
          <w:sz w:val="24"/>
        </w:rPr>
        <w:t>附表三: 价格评分表（总分30分）</w:t>
      </w:r>
      <w:bookmarkEnd w:id="0"/>
      <w:bookmarkEnd w:id="1"/>
    </w:p>
    <w:tbl>
      <w:tblPr>
        <w:tblStyle w:val="7"/>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047"/>
        <w:gridCol w:w="969"/>
      </w:tblGrid>
      <w:tr w14:paraId="2415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440" w:type="dxa"/>
            <w:vAlign w:val="center"/>
          </w:tcPr>
          <w:p w14:paraId="7BDD8C17">
            <w:pPr>
              <w:snapToGrid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p>
        </w:tc>
        <w:tc>
          <w:tcPr>
            <w:tcW w:w="7047" w:type="dxa"/>
            <w:vAlign w:val="center"/>
          </w:tcPr>
          <w:p w14:paraId="56E6A41F">
            <w:pPr>
              <w:snapToGrid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评分内容及标准</w:t>
            </w:r>
          </w:p>
        </w:tc>
        <w:tc>
          <w:tcPr>
            <w:tcW w:w="969" w:type="dxa"/>
            <w:vAlign w:val="center"/>
          </w:tcPr>
          <w:p w14:paraId="55668FCB">
            <w:pPr>
              <w:snapToGrid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14:paraId="2A23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440" w:type="dxa"/>
            <w:vAlign w:val="center"/>
          </w:tcPr>
          <w:p w14:paraId="61A2EDD7">
            <w:pPr>
              <w:snapToGrid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价格分评审办法（满分30分）</w:t>
            </w:r>
          </w:p>
        </w:tc>
        <w:tc>
          <w:tcPr>
            <w:tcW w:w="7047" w:type="dxa"/>
            <w:vAlign w:val="center"/>
          </w:tcPr>
          <w:p w14:paraId="5E40F7CA">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Style w:val="9"/>
                <w:rFonts w:hint="eastAsia" w:ascii="宋体" w:hAnsi="宋体" w:eastAsia="宋体" w:cs="宋体"/>
                <w:color w:val="auto"/>
                <w:sz w:val="24"/>
                <w:szCs w:val="24"/>
                <w:lang w:bidi="ar"/>
              </w:rPr>
            </w:pPr>
            <w:r>
              <w:rPr>
                <w:rStyle w:val="9"/>
                <w:rFonts w:hint="eastAsia" w:ascii="宋体" w:hAnsi="宋体" w:eastAsia="宋体" w:cs="宋体"/>
                <w:color w:val="auto"/>
                <w:sz w:val="24"/>
                <w:szCs w:val="24"/>
                <w:lang w:bidi="ar"/>
              </w:rPr>
              <w:t>满足招标文件要求且投标价格最低的投标总报价为评标基准价，其价格为满分。其他</w:t>
            </w:r>
            <w:r>
              <w:rPr>
                <w:rStyle w:val="9"/>
                <w:rFonts w:hint="eastAsia" w:ascii="宋体" w:hAnsi="宋体" w:cs="宋体"/>
                <w:color w:val="auto"/>
                <w:sz w:val="24"/>
                <w:szCs w:val="24"/>
                <w:lang w:eastAsia="zh-CN" w:bidi="ar"/>
              </w:rPr>
              <w:t>供应商</w:t>
            </w:r>
            <w:r>
              <w:rPr>
                <w:rStyle w:val="9"/>
                <w:rFonts w:hint="eastAsia" w:ascii="宋体" w:hAnsi="宋体" w:eastAsia="宋体" w:cs="宋体"/>
                <w:color w:val="auto"/>
                <w:sz w:val="24"/>
                <w:szCs w:val="24"/>
                <w:lang w:bidi="ar"/>
              </w:rPr>
              <w:t xml:space="preserve">的价格分统一按照下列公式计算： </w:t>
            </w:r>
          </w:p>
          <w:p w14:paraId="5ECFA38E">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Style w:val="9"/>
                <w:rFonts w:hint="eastAsia" w:ascii="宋体" w:hAnsi="宋体" w:eastAsia="宋体" w:cs="宋体"/>
                <w:color w:val="auto"/>
                <w:sz w:val="24"/>
                <w:szCs w:val="24"/>
                <w:lang w:bidi="ar"/>
              </w:rPr>
            </w:pPr>
            <w:r>
              <w:rPr>
                <w:rStyle w:val="9"/>
                <w:rFonts w:hint="eastAsia" w:ascii="宋体" w:hAnsi="宋体" w:eastAsia="宋体" w:cs="宋体"/>
                <w:color w:val="auto"/>
                <w:sz w:val="24"/>
                <w:szCs w:val="24"/>
                <w:lang w:bidi="ar"/>
              </w:rPr>
              <w:t xml:space="preserve">投标报价得分=(评标基准价／投标总报价)×30 </w:t>
            </w:r>
          </w:p>
          <w:p w14:paraId="153B2E0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sz w:val="24"/>
                <w:szCs w:val="24"/>
              </w:rPr>
            </w:pPr>
            <w:r>
              <w:rPr>
                <w:rStyle w:val="9"/>
                <w:rFonts w:hint="eastAsia" w:ascii="宋体" w:hAnsi="宋体" w:eastAsia="宋体" w:cs="宋体"/>
                <w:color w:val="auto"/>
                <w:sz w:val="24"/>
                <w:szCs w:val="24"/>
                <w:lang w:bidi="ar"/>
              </w:rPr>
              <w:t>注：符合本项目</w:t>
            </w:r>
            <w:r>
              <w:rPr>
                <w:rStyle w:val="9"/>
                <w:rFonts w:hint="eastAsia" w:ascii="宋体" w:hAnsi="宋体" w:cs="宋体"/>
                <w:color w:val="auto"/>
                <w:sz w:val="24"/>
                <w:szCs w:val="24"/>
                <w:lang w:eastAsia="zh-CN" w:bidi="ar"/>
              </w:rPr>
              <w:t>谈判</w:t>
            </w:r>
            <w:r>
              <w:rPr>
                <w:rStyle w:val="9"/>
                <w:rFonts w:hint="eastAsia" w:ascii="宋体" w:hAnsi="宋体" w:eastAsia="宋体" w:cs="宋体"/>
                <w:color w:val="auto"/>
                <w:sz w:val="24"/>
                <w:szCs w:val="24"/>
                <w:lang w:bidi="ar"/>
              </w:rPr>
              <w:t>文件第二章《投标须知前附表》第 24条/25条相关规定的，其投标报价给以 10%的价格扣除。最终评审价=投标报价*90%。</w:t>
            </w:r>
          </w:p>
        </w:tc>
        <w:tc>
          <w:tcPr>
            <w:tcW w:w="969" w:type="dxa"/>
            <w:vAlign w:val="center"/>
          </w:tcPr>
          <w:p w14:paraId="049EC5EC">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0-30分</w:t>
            </w:r>
          </w:p>
        </w:tc>
      </w:tr>
      <w:tr w14:paraId="131D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0" w:type="dxa"/>
            <w:vAlign w:val="center"/>
          </w:tcPr>
          <w:p w14:paraId="1207C6B6">
            <w:pPr>
              <w:snapToGrid w:val="0"/>
              <w:spacing w:line="360" w:lineRule="auto"/>
              <w:jc w:val="center"/>
              <w:rPr>
                <w:rFonts w:asciiTheme="minorEastAsia" w:hAnsiTheme="minorEastAsia" w:eastAsiaTheme="minorEastAsia" w:cstheme="minorEastAsia"/>
                <w:sz w:val="24"/>
                <w:szCs w:val="24"/>
              </w:rPr>
            </w:pPr>
            <w:bookmarkStart w:id="2" w:name="_Toc21728"/>
            <w:bookmarkStart w:id="3" w:name="_Toc8209"/>
            <w:bookmarkStart w:id="4" w:name="_Toc24922"/>
            <w:bookmarkStart w:id="5" w:name="_Toc28980"/>
            <w:r>
              <w:rPr>
                <w:rFonts w:hint="eastAsia" w:asciiTheme="minorEastAsia" w:hAnsiTheme="minorEastAsia" w:eastAsiaTheme="minorEastAsia" w:cstheme="minorEastAsia"/>
                <w:sz w:val="24"/>
                <w:szCs w:val="24"/>
              </w:rPr>
              <w:t>备注</w:t>
            </w:r>
          </w:p>
        </w:tc>
        <w:tc>
          <w:tcPr>
            <w:tcW w:w="8016" w:type="dxa"/>
            <w:gridSpan w:val="2"/>
            <w:vAlign w:val="center"/>
          </w:tcPr>
          <w:p w14:paraId="14F8A1EA">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sz w:val="24"/>
                <w:szCs w:val="24"/>
              </w:rPr>
            </w:pPr>
            <w:r>
              <w:rPr>
                <w:rStyle w:val="9"/>
                <w:rFonts w:hint="eastAsia" w:ascii="宋体" w:hAnsi="宋体" w:eastAsia="宋体" w:cs="宋体"/>
                <w:color w:val="auto"/>
                <w:sz w:val="24"/>
                <w:szCs w:val="24"/>
                <w:lang w:bidi="ar"/>
              </w:rPr>
              <w:t xml:space="preserve">根据财政部令第 </w:t>
            </w:r>
            <w:r>
              <w:rPr>
                <w:rStyle w:val="10"/>
                <w:rFonts w:hint="eastAsia" w:ascii="宋体" w:hAnsi="宋体" w:eastAsia="宋体" w:cs="宋体"/>
                <w:color w:val="auto"/>
                <w:sz w:val="24"/>
                <w:szCs w:val="24"/>
                <w:lang w:bidi="ar"/>
              </w:rPr>
              <w:t>87</w:t>
            </w:r>
            <w:r>
              <w:rPr>
                <w:rStyle w:val="9"/>
                <w:rFonts w:hint="eastAsia" w:ascii="宋体" w:hAnsi="宋体" w:eastAsia="宋体" w:cs="宋体"/>
                <w:color w:val="auto"/>
                <w:sz w:val="24"/>
                <w:szCs w:val="24"/>
                <w:lang w:bidi="ar"/>
              </w:rPr>
              <w:t>号第六十条规定：评标委员会认为</w:t>
            </w:r>
            <w:r>
              <w:rPr>
                <w:rStyle w:val="9"/>
                <w:rFonts w:hint="eastAsia" w:ascii="宋体" w:hAnsi="宋体" w:cs="宋体"/>
                <w:color w:val="auto"/>
                <w:sz w:val="24"/>
                <w:szCs w:val="24"/>
                <w:lang w:eastAsia="zh-CN" w:bidi="ar"/>
              </w:rPr>
              <w:t>供应商</w:t>
            </w:r>
            <w:r>
              <w:rPr>
                <w:rStyle w:val="9"/>
                <w:rFonts w:hint="eastAsia" w:ascii="宋体" w:hAnsi="宋体" w:eastAsia="宋体" w:cs="宋体"/>
                <w:color w:val="auto"/>
                <w:sz w:val="24"/>
                <w:szCs w:val="24"/>
                <w:lang w:bidi="ar"/>
              </w:rPr>
              <w:t>的报价明显低于其他通过符合性审查</w:t>
            </w:r>
            <w:r>
              <w:rPr>
                <w:rStyle w:val="9"/>
                <w:rFonts w:hint="eastAsia" w:ascii="宋体" w:hAnsi="宋体" w:cs="宋体"/>
                <w:color w:val="auto"/>
                <w:sz w:val="24"/>
                <w:szCs w:val="24"/>
                <w:lang w:eastAsia="zh-CN" w:bidi="ar"/>
              </w:rPr>
              <w:t>供应商</w:t>
            </w:r>
            <w:r>
              <w:rPr>
                <w:rStyle w:val="9"/>
                <w:rFonts w:hint="eastAsia" w:ascii="宋体" w:hAnsi="宋体" w:eastAsia="宋体" w:cs="宋体"/>
                <w:color w:val="auto"/>
                <w:sz w:val="24"/>
                <w:szCs w:val="24"/>
                <w:lang w:bidi="ar"/>
              </w:rPr>
              <w:t>的报价，有可能影响产品质量或者不能诚信履约的，应当要求其在评标现场合理的时间内提供书面说明，必要时提供相关证明材料，</w:t>
            </w:r>
            <w:r>
              <w:rPr>
                <w:rStyle w:val="9"/>
                <w:rFonts w:hint="eastAsia" w:ascii="宋体" w:hAnsi="宋体" w:cs="宋体"/>
                <w:color w:val="auto"/>
                <w:sz w:val="24"/>
                <w:szCs w:val="24"/>
                <w:lang w:eastAsia="zh-CN" w:bidi="ar"/>
              </w:rPr>
              <w:t>供应商</w:t>
            </w:r>
            <w:r>
              <w:rPr>
                <w:rStyle w:val="9"/>
                <w:rFonts w:hint="eastAsia" w:ascii="宋体" w:hAnsi="宋体" w:eastAsia="宋体" w:cs="宋体"/>
                <w:color w:val="auto"/>
                <w:sz w:val="24"/>
                <w:szCs w:val="24"/>
                <w:lang w:bidi="ar"/>
              </w:rPr>
              <w:t>不能证明其合理性的，评标委员会应当将其作为无效投标处理。</w:t>
            </w:r>
          </w:p>
        </w:tc>
      </w:tr>
    </w:tbl>
    <w:p w14:paraId="75B2CB8F">
      <w:pPr>
        <w:rPr>
          <w:rFonts w:hint="eastAsia" w:asciiTheme="minorEastAsia" w:hAnsiTheme="minorEastAsia" w:eastAsiaTheme="minorEastAsia" w:cstheme="minorEastAsia"/>
          <w:b/>
          <w:bCs/>
          <w:sz w:val="24"/>
        </w:rPr>
      </w:pPr>
      <w:bookmarkStart w:id="6" w:name="_Toc25808"/>
      <w:r>
        <w:rPr>
          <w:rFonts w:hint="eastAsia" w:asciiTheme="minorEastAsia" w:hAnsiTheme="minorEastAsia" w:eastAsiaTheme="minorEastAsia" w:cstheme="minorEastAsia"/>
          <w:b/>
          <w:bCs/>
          <w:sz w:val="24"/>
        </w:rPr>
        <w:br w:type="page"/>
      </w:r>
    </w:p>
    <w:p w14:paraId="1DC79DB6">
      <w:pPr>
        <w:tabs>
          <w:tab w:val="left" w:pos="3080"/>
        </w:tabs>
        <w:spacing w:line="360" w:lineRule="auto"/>
        <w:jc w:val="center"/>
        <w:outlineLvl w:val="0"/>
        <w:rPr>
          <w:rFonts w:asciiTheme="minorEastAsia" w:hAnsiTheme="minorEastAsia" w:eastAsiaTheme="minorEastAsia" w:cstheme="minorEastAsia"/>
          <w:sz w:val="24"/>
          <w:szCs w:val="24"/>
        </w:rPr>
      </w:pPr>
      <w:bookmarkStart w:id="7" w:name="_Toc19403"/>
      <w:r>
        <w:rPr>
          <w:rFonts w:hint="eastAsia" w:asciiTheme="minorEastAsia" w:hAnsiTheme="minorEastAsia" w:eastAsiaTheme="minorEastAsia" w:cstheme="minorEastAsia"/>
          <w:b/>
          <w:bCs/>
          <w:sz w:val="24"/>
        </w:rPr>
        <w:t>附表四：《技术评审表》（总分70分）</w:t>
      </w:r>
      <w:bookmarkEnd w:id="2"/>
      <w:bookmarkEnd w:id="3"/>
      <w:bookmarkEnd w:id="4"/>
      <w:bookmarkEnd w:id="5"/>
      <w:bookmarkEnd w:id="6"/>
      <w:bookmarkEnd w:id="7"/>
    </w:p>
    <w:tbl>
      <w:tblPr>
        <w:tblStyle w:val="7"/>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313"/>
        <w:gridCol w:w="1346"/>
        <w:gridCol w:w="5848"/>
      </w:tblGrid>
      <w:tr w14:paraId="3E0E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93" w:type="dxa"/>
            <w:vAlign w:val="center"/>
          </w:tcPr>
          <w:p w14:paraId="106F21F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13" w:type="dxa"/>
            <w:vAlign w:val="center"/>
          </w:tcPr>
          <w:p w14:paraId="17D2AE4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w:t>
            </w:r>
          </w:p>
        </w:tc>
        <w:tc>
          <w:tcPr>
            <w:tcW w:w="1346" w:type="dxa"/>
            <w:vAlign w:val="center"/>
          </w:tcPr>
          <w:p w14:paraId="76B337D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标准分</w:t>
            </w:r>
          </w:p>
        </w:tc>
        <w:tc>
          <w:tcPr>
            <w:tcW w:w="5848" w:type="dxa"/>
            <w:vAlign w:val="center"/>
          </w:tcPr>
          <w:p w14:paraId="6E533CA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评分标准</w:t>
            </w:r>
          </w:p>
        </w:tc>
      </w:tr>
      <w:tr w14:paraId="3572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jc w:val="center"/>
        </w:trPr>
        <w:tc>
          <w:tcPr>
            <w:tcW w:w="993" w:type="dxa"/>
            <w:vAlign w:val="center"/>
          </w:tcPr>
          <w:p w14:paraId="7C5B4B3F">
            <w:pPr>
              <w:snapToGrid w:val="0"/>
              <w:spacing w:line="360" w:lineRule="auto"/>
              <w:jc w:val="center"/>
              <w:rPr>
                <w:rStyle w:val="9"/>
                <w:rFonts w:hint="eastAsia" w:ascii="宋体" w:hAnsi="宋体" w:eastAsia="宋体" w:cs="宋体"/>
                <w:color w:val="auto"/>
                <w:sz w:val="24"/>
                <w:szCs w:val="24"/>
                <w:lang w:bidi="ar"/>
              </w:rPr>
            </w:pPr>
            <w:r>
              <w:rPr>
                <w:rStyle w:val="9"/>
                <w:rFonts w:hint="eastAsia" w:ascii="宋体" w:hAnsi="宋体" w:eastAsia="宋体" w:cs="宋体"/>
                <w:color w:val="auto"/>
                <w:sz w:val="24"/>
                <w:szCs w:val="24"/>
                <w:lang w:bidi="ar"/>
              </w:rPr>
              <w:t>1</w:t>
            </w:r>
          </w:p>
        </w:tc>
        <w:tc>
          <w:tcPr>
            <w:tcW w:w="1313" w:type="dxa"/>
            <w:vAlign w:val="center"/>
          </w:tcPr>
          <w:p w14:paraId="119E0956">
            <w:pPr>
              <w:autoSpaceDE w:val="0"/>
              <w:autoSpaceDN w:val="0"/>
              <w:adjustRightInd w:val="0"/>
              <w:ind w:left="102" w:leftChars="0" w:right="93" w:rightChars="0"/>
              <w:jc w:val="center"/>
              <w:rPr>
                <w:rFonts w:hint="eastAsia" w:ascii="宋体" w:hAnsi="宋体" w:eastAsia="宋体" w:cs="宋体"/>
                <w:kern w:val="2"/>
                <w:sz w:val="21"/>
                <w:szCs w:val="21"/>
                <w:lang w:val="en-US" w:eastAsia="zh-CN" w:bidi="ar-SA"/>
              </w:rPr>
            </w:pPr>
            <w:r>
              <w:rPr>
                <w:rFonts w:hint="eastAsia" w:ascii="宋体" w:hAnsi="宋体" w:eastAsia="宋体" w:cs="宋体"/>
                <w:bCs/>
                <w:sz w:val="21"/>
                <w:szCs w:val="21"/>
                <w:lang w:val="en-US" w:eastAsia="zh-CN"/>
              </w:rPr>
              <w:t>技术</w:t>
            </w:r>
            <w:r>
              <w:rPr>
                <w:rFonts w:hint="eastAsia" w:ascii="宋体" w:hAnsi="宋体" w:eastAsia="宋体" w:cs="宋体"/>
                <w:bCs/>
                <w:sz w:val="21"/>
                <w:szCs w:val="21"/>
              </w:rPr>
              <w:t>参数的响应程度</w:t>
            </w:r>
          </w:p>
        </w:tc>
        <w:tc>
          <w:tcPr>
            <w:tcW w:w="1346" w:type="dxa"/>
            <w:vAlign w:val="center"/>
          </w:tcPr>
          <w:p w14:paraId="72B8F6D5">
            <w:pPr>
              <w:autoSpaceDE w:val="0"/>
              <w:autoSpaceDN w:val="0"/>
              <w:adjustRightInd w:val="0"/>
              <w:ind w:right="27" w:rightChars="0"/>
              <w:jc w:val="center"/>
              <w:rPr>
                <w:rFonts w:hint="eastAsia" w:ascii="宋体" w:hAnsi="宋体" w:eastAsia="宋体" w:cs="宋体"/>
                <w:kern w:val="2"/>
                <w:sz w:val="21"/>
                <w:szCs w:val="21"/>
                <w:lang w:val="en-US" w:eastAsia="zh-CN" w:bidi="ar-SA"/>
              </w:rPr>
            </w:pPr>
            <w:r>
              <w:rPr>
                <w:rFonts w:hint="eastAsia" w:ascii="宋体" w:hAnsi="宋体" w:eastAsia="宋体" w:cs="宋体"/>
                <w:bCs/>
                <w:spacing w:val="12"/>
                <w:sz w:val="21"/>
                <w:szCs w:val="21"/>
                <w:highlight w:val="none"/>
              </w:rPr>
              <w:t>满分</w:t>
            </w:r>
            <w:r>
              <w:rPr>
                <w:rFonts w:hint="eastAsia" w:ascii="宋体" w:hAnsi="宋体" w:eastAsia="宋体" w:cs="宋体"/>
                <w:bCs/>
                <w:spacing w:val="12"/>
                <w:sz w:val="21"/>
                <w:szCs w:val="21"/>
                <w:highlight w:val="none"/>
                <w:lang w:val="en-US" w:eastAsia="zh-CN"/>
              </w:rPr>
              <w:t>40</w:t>
            </w:r>
            <w:r>
              <w:rPr>
                <w:rFonts w:hint="eastAsia" w:ascii="宋体" w:hAnsi="宋体" w:eastAsia="宋体" w:cs="宋体"/>
                <w:bCs/>
                <w:spacing w:val="12"/>
                <w:sz w:val="21"/>
                <w:szCs w:val="21"/>
                <w:highlight w:val="none"/>
              </w:rPr>
              <w:t>分</w:t>
            </w:r>
          </w:p>
        </w:tc>
        <w:tc>
          <w:tcPr>
            <w:tcW w:w="5848" w:type="dxa"/>
            <w:vAlign w:val="center"/>
          </w:tcPr>
          <w:p w14:paraId="78ADB125">
            <w:pPr>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评审小组</w:t>
            </w:r>
            <w:r>
              <w:rPr>
                <w:rFonts w:hint="eastAsia" w:ascii="宋体" w:hAnsi="宋体" w:eastAsia="宋体" w:cs="宋体"/>
                <w:sz w:val="21"/>
                <w:szCs w:val="21"/>
              </w:rPr>
              <w:t>将综合考虑投标人所投产品的技术参数、规格要求对</w:t>
            </w:r>
            <w:r>
              <w:rPr>
                <w:rFonts w:hint="eastAsia" w:ascii="宋体" w:hAnsi="宋体" w:cs="宋体"/>
                <w:sz w:val="21"/>
                <w:szCs w:val="21"/>
                <w:lang w:val="en-US" w:eastAsia="zh-CN"/>
              </w:rPr>
              <w:t>谈判采购文件</w:t>
            </w:r>
            <w:r>
              <w:rPr>
                <w:rFonts w:hint="eastAsia" w:ascii="宋体" w:hAnsi="宋体" w:eastAsia="宋体" w:cs="宋体"/>
                <w:sz w:val="21"/>
                <w:szCs w:val="21"/>
              </w:rPr>
              <w:t>第</w:t>
            </w:r>
            <w:r>
              <w:rPr>
                <w:rFonts w:hint="eastAsia" w:ascii="宋体" w:hAnsi="宋体" w:eastAsia="宋体" w:cs="宋体"/>
                <w:sz w:val="21"/>
                <w:szCs w:val="21"/>
                <w:lang w:val="en-US" w:eastAsia="zh-CN"/>
              </w:rPr>
              <w:t>四</w:t>
            </w:r>
            <w:r>
              <w:rPr>
                <w:rFonts w:hint="eastAsia" w:ascii="宋体" w:hAnsi="宋体" w:eastAsia="宋体" w:cs="宋体"/>
                <w:sz w:val="21"/>
                <w:szCs w:val="21"/>
              </w:rPr>
              <w:t>章《采购需求》</w:t>
            </w:r>
            <w:r>
              <w:rPr>
                <w:rFonts w:hint="eastAsia" w:ascii="宋体" w:hAnsi="宋体" w:eastAsia="宋体" w:cs="宋体"/>
                <w:b/>
                <w:bCs/>
                <w:sz w:val="21"/>
                <w:szCs w:val="21"/>
                <w:lang w:val="en-US" w:eastAsia="zh-CN"/>
              </w:rPr>
              <w:t>“采购清单”</w:t>
            </w:r>
            <w:r>
              <w:rPr>
                <w:rFonts w:hint="eastAsia" w:ascii="宋体" w:hAnsi="宋体" w:eastAsia="宋体" w:cs="宋体"/>
                <w:sz w:val="21"/>
                <w:szCs w:val="21"/>
                <w:lang w:val="en-US" w:eastAsia="zh-CN"/>
              </w:rPr>
              <w:t>中的</w:t>
            </w:r>
            <w:r>
              <w:rPr>
                <w:rFonts w:hint="eastAsia" w:ascii="宋体" w:hAnsi="宋体" w:eastAsia="宋体" w:cs="宋体"/>
                <w:sz w:val="21"/>
                <w:szCs w:val="21"/>
              </w:rPr>
              <w:t>所有</w:t>
            </w:r>
            <w:r>
              <w:rPr>
                <w:rFonts w:hint="eastAsia" w:ascii="宋体" w:hAnsi="宋体" w:eastAsia="宋体" w:cs="宋体"/>
                <w:sz w:val="21"/>
                <w:szCs w:val="21"/>
                <w:lang w:val="en-US" w:eastAsia="zh-CN"/>
              </w:rPr>
              <w:t>规格</w:t>
            </w:r>
            <w:r>
              <w:rPr>
                <w:rFonts w:hint="eastAsia" w:ascii="宋体" w:hAnsi="宋体" w:eastAsia="宋体" w:cs="宋体"/>
                <w:sz w:val="21"/>
                <w:szCs w:val="21"/>
              </w:rPr>
              <w:t>的响应程度等因素综合打分：</w:t>
            </w:r>
          </w:p>
          <w:p w14:paraId="572F6017">
            <w:pPr>
              <w:spacing w:line="360" w:lineRule="auto"/>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满足</w:t>
            </w:r>
            <w:r>
              <w:rPr>
                <w:rFonts w:hint="eastAsia" w:ascii="宋体" w:hAnsi="宋体" w:cs="宋体"/>
                <w:sz w:val="21"/>
                <w:szCs w:val="21"/>
                <w:lang w:val="en-US" w:eastAsia="zh-CN"/>
              </w:rPr>
              <w:t>谈判采购文件</w:t>
            </w:r>
            <w:r>
              <w:rPr>
                <w:rFonts w:hint="eastAsia" w:ascii="宋体" w:hAnsi="宋体" w:eastAsia="宋体" w:cs="宋体"/>
                <w:sz w:val="21"/>
                <w:szCs w:val="21"/>
              </w:rPr>
              <w:t>所有</w:t>
            </w:r>
            <w:r>
              <w:rPr>
                <w:rFonts w:hint="eastAsia" w:ascii="宋体" w:hAnsi="宋体" w:eastAsia="宋体" w:cs="宋体"/>
                <w:sz w:val="21"/>
                <w:szCs w:val="21"/>
                <w:lang w:val="en-US" w:eastAsia="zh-CN"/>
              </w:rPr>
              <w:t>规格</w:t>
            </w:r>
            <w:r>
              <w:rPr>
                <w:rFonts w:hint="eastAsia" w:ascii="宋体" w:hAnsi="宋体" w:eastAsia="宋体" w:cs="宋体"/>
                <w:sz w:val="21"/>
                <w:szCs w:val="21"/>
              </w:rPr>
              <w:t>，技术参数无偏离的得满分</w:t>
            </w:r>
            <w:r>
              <w:rPr>
                <w:rFonts w:hint="eastAsia" w:ascii="宋体" w:hAnsi="宋体" w:eastAsia="宋体" w:cs="宋体"/>
                <w:sz w:val="21"/>
                <w:szCs w:val="21"/>
                <w:lang w:val="en-US" w:eastAsia="zh-CN"/>
              </w:rPr>
              <w:t>20</w:t>
            </w:r>
            <w:r>
              <w:rPr>
                <w:rFonts w:hint="eastAsia" w:ascii="宋体" w:hAnsi="宋体" w:eastAsia="宋体" w:cs="宋体"/>
                <w:sz w:val="21"/>
                <w:szCs w:val="21"/>
              </w:rPr>
              <w:t>分；</w:t>
            </w:r>
          </w:p>
          <w:p w14:paraId="750E8E0D">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（2）对照</w:t>
            </w:r>
            <w:r>
              <w:rPr>
                <w:rFonts w:hint="eastAsia" w:ascii="宋体" w:hAnsi="宋体" w:cs="宋体"/>
                <w:sz w:val="21"/>
                <w:szCs w:val="21"/>
                <w:lang w:val="en-US" w:eastAsia="zh-CN"/>
              </w:rPr>
              <w:t>谈判采购文件</w:t>
            </w:r>
            <w:r>
              <w:rPr>
                <w:rFonts w:hint="eastAsia" w:ascii="宋体" w:hAnsi="宋体" w:eastAsia="宋体" w:cs="宋体"/>
                <w:sz w:val="21"/>
                <w:szCs w:val="21"/>
              </w:rPr>
              <w:t>第</w:t>
            </w:r>
            <w:r>
              <w:rPr>
                <w:rFonts w:hint="eastAsia" w:ascii="宋体" w:hAnsi="宋体" w:eastAsia="宋体" w:cs="宋体"/>
                <w:sz w:val="21"/>
                <w:szCs w:val="21"/>
                <w:lang w:val="en-US" w:eastAsia="zh-CN"/>
              </w:rPr>
              <w:t>四</w:t>
            </w:r>
            <w:r>
              <w:rPr>
                <w:rFonts w:hint="eastAsia" w:ascii="宋体" w:hAnsi="宋体" w:eastAsia="宋体" w:cs="宋体"/>
                <w:sz w:val="21"/>
                <w:szCs w:val="21"/>
              </w:rPr>
              <w:t>章《采购需求》中</w:t>
            </w:r>
            <w:r>
              <w:rPr>
                <w:rFonts w:hint="eastAsia" w:ascii="宋体" w:hAnsi="宋体" w:eastAsia="宋体" w:cs="宋体"/>
                <w:sz w:val="21"/>
                <w:szCs w:val="21"/>
                <w:lang w:val="en-US" w:eastAsia="zh-CN"/>
              </w:rPr>
              <w:t>的“规格”</w:t>
            </w:r>
            <w:r>
              <w:rPr>
                <w:rFonts w:hint="eastAsia" w:ascii="宋体" w:hAnsi="宋体" w:eastAsia="宋体" w:cs="宋体"/>
                <w:sz w:val="21"/>
                <w:szCs w:val="21"/>
              </w:rPr>
              <w:t>，</w:t>
            </w:r>
            <w:r>
              <w:rPr>
                <w:rFonts w:hint="eastAsia" w:ascii="宋体" w:hAnsi="宋体" w:eastAsia="宋体" w:cs="宋体"/>
                <w:sz w:val="21"/>
                <w:szCs w:val="21"/>
                <w:lang w:val="en-US" w:eastAsia="zh-CN"/>
              </w:rPr>
              <w:t>投标文件中</w:t>
            </w:r>
            <w:r>
              <w:rPr>
                <w:rFonts w:hint="eastAsia" w:ascii="宋体" w:hAnsi="宋体" w:eastAsia="宋体" w:cs="宋体"/>
                <w:sz w:val="21"/>
                <w:szCs w:val="21"/>
                <w:lang w:eastAsia="zh-CN"/>
              </w:rPr>
              <w:t>每出现</w:t>
            </w:r>
            <w:r>
              <w:rPr>
                <w:rFonts w:hint="eastAsia" w:ascii="宋体" w:hAnsi="宋体" w:eastAsia="宋体" w:cs="宋体"/>
                <w:sz w:val="21"/>
                <w:szCs w:val="21"/>
              </w:rPr>
              <w:t>1项</w:t>
            </w:r>
            <w:r>
              <w:rPr>
                <w:rFonts w:hint="eastAsia" w:ascii="宋体" w:hAnsi="宋体" w:eastAsia="宋体" w:cs="宋体"/>
                <w:sz w:val="21"/>
                <w:szCs w:val="21"/>
                <w:lang w:val="en-US" w:eastAsia="zh-CN"/>
              </w:rPr>
              <w:t>参数</w:t>
            </w:r>
            <w:r>
              <w:rPr>
                <w:rFonts w:hint="eastAsia" w:ascii="宋体" w:hAnsi="宋体" w:eastAsia="宋体" w:cs="宋体"/>
                <w:sz w:val="21"/>
                <w:szCs w:val="21"/>
              </w:rPr>
              <w:t>不满足</w:t>
            </w:r>
            <w:r>
              <w:rPr>
                <w:rFonts w:hint="eastAsia" w:ascii="宋体" w:hAnsi="宋体" w:cs="宋体"/>
                <w:sz w:val="21"/>
                <w:szCs w:val="21"/>
                <w:lang w:val="en-US" w:eastAsia="zh-CN"/>
              </w:rPr>
              <w:t>谈判采购文件</w:t>
            </w:r>
            <w:r>
              <w:rPr>
                <w:rFonts w:hint="eastAsia" w:ascii="宋体" w:hAnsi="宋体" w:eastAsia="宋体" w:cs="宋体"/>
                <w:sz w:val="21"/>
                <w:szCs w:val="21"/>
              </w:rPr>
              <w:t>要求</w:t>
            </w:r>
            <w:r>
              <w:rPr>
                <w:rFonts w:hint="eastAsia" w:ascii="宋体" w:hAnsi="宋体" w:eastAsia="宋体" w:cs="宋体"/>
                <w:sz w:val="21"/>
                <w:szCs w:val="21"/>
                <w:lang w:eastAsia="zh-CN"/>
              </w:rPr>
              <w:t>的</w:t>
            </w:r>
            <w:r>
              <w:rPr>
                <w:rFonts w:hint="eastAsia" w:ascii="宋体" w:hAnsi="宋体" w:eastAsia="宋体" w:cs="宋体"/>
                <w:sz w:val="21"/>
                <w:szCs w:val="21"/>
              </w:rPr>
              <w:t>，扣</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cs="宋体"/>
                <w:sz w:val="21"/>
                <w:szCs w:val="21"/>
                <w:lang w:val="en-US" w:eastAsia="zh-CN"/>
              </w:rPr>
              <w:t>20</w:t>
            </w:r>
            <w:r>
              <w:rPr>
                <w:rFonts w:hint="eastAsia" w:ascii="宋体" w:hAnsi="宋体" w:eastAsia="宋体" w:cs="宋体"/>
                <w:sz w:val="21"/>
                <w:szCs w:val="21"/>
                <w:lang w:val="en-US" w:eastAsia="zh-CN"/>
              </w:rPr>
              <w:t>分扣完为止；</w:t>
            </w:r>
          </w:p>
          <w:p w14:paraId="192338BC">
            <w:pPr>
              <w:adjustRightIn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投标文件中必须提供最新技术支持资料支持技术规格偏离表应答（包括投标产品</w:t>
            </w:r>
            <w:r>
              <w:rPr>
                <w:rFonts w:hint="eastAsia" w:ascii="宋体" w:hAnsi="宋体" w:eastAsia="宋体" w:cs="宋体"/>
                <w:b/>
                <w:bCs/>
                <w:color w:val="auto"/>
                <w:sz w:val="21"/>
                <w:szCs w:val="21"/>
                <w:highlight w:val="none"/>
                <w:lang w:val="en-US" w:eastAsia="zh-CN"/>
              </w:rPr>
              <w:t>厂家</w:t>
            </w:r>
            <w:r>
              <w:rPr>
                <w:rFonts w:hint="eastAsia" w:ascii="宋体" w:hAnsi="宋体" w:eastAsia="宋体" w:cs="宋体"/>
                <w:b/>
                <w:bCs/>
                <w:color w:val="auto"/>
                <w:sz w:val="21"/>
                <w:szCs w:val="21"/>
                <w:highlight w:val="none"/>
              </w:rPr>
              <w:t>技术白皮书或检测报告或印刷宣传彩页或</w:t>
            </w:r>
            <w:r>
              <w:rPr>
                <w:rFonts w:hint="eastAsia" w:ascii="宋体" w:hAnsi="宋体" w:eastAsia="宋体" w:cs="宋体"/>
                <w:b/>
                <w:bCs/>
                <w:color w:val="auto"/>
                <w:sz w:val="21"/>
                <w:szCs w:val="21"/>
                <w:highlight w:val="none"/>
                <w:lang w:val="en-US" w:eastAsia="zh-CN"/>
              </w:rPr>
              <w:t>厂家</w:t>
            </w:r>
            <w:r>
              <w:rPr>
                <w:rFonts w:hint="eastAsia" w:ascii="宋体" w:hAnsi="宋体" w:eastAsia="宋体" w:cs="宋体"/>
                <w:b/>
                <w:bCs/>
                <w:color w:val="auto"/>
                <w:sz w:val="21"/>
                <w:szCs w:val="21"/>
                <w:highlight w:val="none"/>
              </w:rPr>
              <w:t>性能参数说明等第三方证明材料</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若文件有要求的则以文件为准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，不接受投标人自行印刷、打印或者手写的技术支持资料，凡不符合上述要求的，视为无效技术支持资料）</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若投标文件中技术支持资料参数与技术规格偏离表应答不符或无支持资料应答</w:t>
            </w:r>
            <w:r>
              <w:rPr>
                <w:rFonts w:hint="eastAsia" w:ascii="宋体" w:hAnsi="宋体" w:eastAsia="宋体" w:cs="宋体"/>
                <w:b/>
                <w:bCs/>
                <w:color w:val="auto"/>
                <w:sz w:val="21"/>
                <w:szCs w:val="21"/>
                <w:highlight w:val="none"/>
                <w:lang w:val="en-US" w:eastAsia="zh-CN"/>
              </w:rPr>
              <w:t>或</w:t>
            </w:r>
            <w:r>
              <w:rPr>
                <w:rFonts w:hint="eastAsia" w:ascii="宋体" w:hAnsi="宋体" w:eastAsia="宋体" w:cs="宋体"/>
                <w:b/>
                <w:bCs/>
                <w:color w:val="auto"/>
                <w:sz w:val="21"/>
                <w:szCs w:val="21"/>
                <w:highlight w:val="none"/>
              </w:rPr>
              <w:t>投标人提供的支持材料内容存在无法识别的数据导致评标委员会无法评定，而投标人又未在投标文件中作出说明和解释的，视为不响应该条技术参数要求</w:t>
            </w:r>
            <w:r>
              <w:rPr>
                <w:rFonts w:hint="eastAsia" w:ascii="宋体" w:hAnsi="宋体" w:eastAsia="宋体" w:cs="宋体"/>
                <w:b/>
                <w:bCs/>
                <w:color w:val="auto"/>
                <w:sz w:val="21"/>
                <w:szCs w:val="21"/>
                <w:highlight w:val="none"/>
                <w:lang w:eastAsia="zh-CN"/>
              </w:rPr>
              <w:t>。</w:t>
            </w:r>
          </w:p>
        </w:tc>
      </w:tr>
      <w:tr w14:paraId="5F60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Align w:val="center"/>
          </w:tcPr>
          <w:p w14:paraId="4F304347">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13" w:type="dxa"/>
            <w:vAlign w:val="center"/>
          </w:tcPr>
          <w:p w14:paraId="28EBBD22">
            <w:pPr>
              <w:spacing w:line="360" w:lineRule="auto"/>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质量承诺及违约责任承诺</w:t>
            </w:r>
          </w:p>
        </w:tc>
        <w:tc>
          <w:tcPr>
            <w:tcW w:w="1346" w:type="dxa"/>
            <w:vAlign w:val="center"/>
          </w:tcPr>
          <w:p w14:paraId="5FA79EFA">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lang w:val="en-US" w:eastAsia="zh-CN"/>
              </w:rPr>
              <w:t>10分</w:t>
            </w:r>
          </w:p>
        </w:tc>
        <w:tc>
          <w:tcPr>
            <w:tcW w:w="5848" w:type="dxa"/>
            <w:vAlign w:val="center"/>
          </w:tcPr>
          <w:p w14:paraId="1F225EE5">
            <w:pPr>
              <w:pStyle w:val="5"/>
              <w:keepNext w:val="0"/>
              <w:keepLines w:val="0"/>
              <w:pageBreakBefore w:val="0"/>
              <w:widowControl w:val="0"/>
              <w:numPr>
                <w:ilvl w:val="0"/>
                <w:numId w:val="0"/>
              </w:numPr>
              <w:kinsoku w:val="0"/>
              <w:wordWrap/>
              <w:overflowPunct w:val="0"/>
              <w:topLinePunct w:val="0"/>
              <w:autoSpaceDE/>
              <w:autoSpaceDN/>
              <w:bidi w:val="0"/>
              <w:adjustRightInd/>
              <w:snapToGrid/>
              <w:spacing w:before="0" w:line="440" w:lineRule="exact"/>
              <w:ind w:leftChars="0" w:right="0" w:right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Cs w:val="0"/>
                <w:iCs w:val="0"/>
                <w:color w:val="auto"/>
                <w:kern w:val="2"/>
                <w:sz w:val="21"/>
                <w:szCs w:val="21"/>
                <w:highlight w:val="none"/>
                <w:lang w:val="en-US" w:eastAsia="zh-CN" w:bidi="ar-SA"/>
              </w:rPr>
              <w:t>（1）结合采购人的采购要求及实际情况</w:t>
            </w:r>
            <w:r>
              <w:rPr>
                <w:rFonts w:hint="eastAsia" w:ascii="宋体" w:hAnsi="宋体" w:eastAsia="宋体" w:cs="宋体"/>
                <w:bCs w:val="0"/>
                <w:iCs w:val="0"/>
                <w:strike w:val="0"/>
                <w:dstrike w:val="0"/>
                <w:color w:val="auto"/>
                <w:kern w:val="2"/>
                <w:sz w:val="21"/>
                <w:szCs w:val="21"/>
                <w:highlight w:val="none"/>
                <w:lang w:val="en-US" w:eastAsia="zh-CN" w:bidi="ar-SA"/>
              </w:rPr>
              <w:t>制定有详细的</w:t>
            </w:r>
            <w:r>
              <w:rPr>
                <w:rFonts w:hint="eastAsia" w:ascii="宋体" w:hAnsi="宋体" w:eastAsia="宋体" w:cs="宋体"/>
                <w:color w:val="auto"/>
                <w:sz w:val="21"/>
                <w:szCs w:val="21"/>
                <w:highlight w:val="none"/>
                <w:lang w:val="en-US" w:eastAsia="zh-CN"/>
              </w:rPr>
              <w:t>质量承诺及保障措施，且质量承诺及保障措施符合实际情况的得8分，否则得4-7分，未提供则不得分；</w:t>
            </w:r>
          </w:p>
          <w:p w14:paraId="3A7A4EB1">
            <w:pPr>
              <w:spacing w:line="360" w:lineRule="auto"/>
              <w:jc w:val="left"/>
              <w:rPr>
                <w:rFonts w:hint="eastAsia" w:ascii="宋体" w:hAnsi="宋体" w:eastAsia="宋体" w:cs="宋体"/>
                <w:kern w:val="2"/>
                <w:sz w:val="21"/>
                <w:szCs w:val="21"/>
                <w:lang w:val="zh-CN" w:eastAsia="zh-CN" w:bidi="ar-SA"/>
              </w:rPr>
            </w:pPr>
            <w:r>
              <w:rPr>
                <w:rFonts w:hint="eastAsia" w:ascii="宋体" w:hAnsi="宋体" w:eastAsia="宋体" w:cs="宋体"/>
                <w:color w:val="auto"/>
                <w:sz w:val="21"/>
                <w:szCs w:val="21"/>
                <w:highlight w:val="none"/>
                <w:lang w:val="en-US" w:eastAsia="zh-CN"/>
              </w:rPr>
              <w:t>（2）针对质量承诺有违约惩罚措施，且违约处罚措施明确，契合实际的得2分，否则得1分，未提供则不得分。</w:t>
            </w:r>
          </w:p>
        </w:tc>
      </w:tr>
      <w:tr w14:paraId="7D2D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Align w:val="center"/>
          </w:tcPr>
          <w:p w14:paraId="0A035053">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13" w:type="dxa"/>
            <w:vAlign w:val="center"/>
          </w:tcPr>
          <w:p w14:paraId="39534310">
            <w:pPr>
              <w:spacing w:line="360" w:lineRule="auto"/>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售后服务能力及方案</w:t>
            </w:r>
          </w:p>
        </w:tc>
        <w:tc>
          <w:tcPr>
            <w:tcW w:w="1346" w:type="dxa"/>
            <w:vAlign w:val="center"/>
          </w:tcPr>
          <w:p w14:paraId="603A0893">
            <w:pPr>
              <w:spacing w:line="360" w:lineRule="auto"/>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10分</w:t>
            </w:r>
          </w:p>
        </w:tc>
        <w:tc>
          <w:tcPr>
            <w:tcW w:w="5848" w:type="dxa"/>
            <w:vAlign w:val="center"/>
          </w:tcPr>
          <w:p w14:paraId="52E50269">
            <w:pPr>
              <w:pStyle w:val="5"/>
              <w:keepNext w:val="0"/>
              <w:keepLines w:val="0"/>
              <w:pageBreakBefore w:val="0"/>
              <w:widowControl w:val="0"/>
              <w:numPr>
                <w:ilvl w:val="0"/>
                <w:numId w:val="0"/>
              </w:numPr>
              <w:kinsoku w:val="0"/>
              <w:wordWrap/>
              <w:overflowPunct w:val="0"/>
              <w:topLinePunct w:val="0"/>
              <w:autoSpaceDE/>
              <w:autoSpaceDN/>
              <w:bidi w:val="0"/>
              <w:adjustRightInd/>
              <w:snapToGrid/>
              <w:spacing w:before="0" w:line="440" w:lineRule="exact"/>
              <w:ind w:leftChars="0" w:right="0" w:right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根据供应商提供的售后服务能力及方案（①售后服务计划及保障措施（包括售后服务响应、技术支持）、②售后服务团队配置、③售后应急预案、④售后服务承诺）进行综合评审：</w:t>
            </w:r>
          </w:p>
          <w:p w14:paraId="6A8D4435">
            <w:pPr>
              <w:pStyle w:val="5"/>
              <w:keepNext w:val="0"/>
              <w:keepLines w:val="0"/>
              <w:pageBreakBefore w:val="0"/>
              <w:widowControl w:val="0"/>
              <w:numPr>
                <w:ilvl w:val="0"/>
                <w:numId w:val="0"/>
              </w:numPr>
              <w:kinsoku w:val="0"/>
              <w:wordWrap/>
              <w:overflowPunct w:val="0"/>
              <w:topLinePunct w:val="0"/>
              <w:autoSpaceDE/>
              <w:autoSpaceDN/>
              <w:bidi w:val="0"/>
              <w:adjustRightInd/>
              <w:snapToGrid/>
              <w:spacing w:before="0" w:line="440" w:lineRule="exact"/>
              <w:ind w:leftChars="0" w:right="0" w:right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以上4项方案内容全部提供，</w:t>
            </w:r>
            <w:r>
              <w:rPr>
                <w:rFonts w:hint="eastAsia" w:ascii="宋体" w:hAnsi="宋体" w:eastAsia="宋体" w:cs="宋体"/>
                <w:b/>
                <w:bCs/>
                <w:color w:val="auto"/>
                <w:sz w:val="21"/>
                <w:szCs w:val="21"/>
                <w:highlight w:val="none"/>
                <w:lang w:val="en-US" w:eastAsia="zh-CN"/>
              </w:rPr>
              <w:t>售后服务计划</w:t>
            </w:r>
            <w:r>
              <w:rPr>
                <w:rFonts w:hint="eastAsia" w:ascii="宋体" w:hAnsi="宋体" w:eastAsia="宋体" w:cs="宋体"/>
                <w:color w:val="auto"/>
                <w:sz w:val="21"/>
                <w:szCs w:val="21"/>
                <w:highlight w:val="none"/>
                <w:lang w:val="en-US" w:eastAsia="zh-CN"/>
              </w:rPr>
              <w:t>充分考虑了用户实际情况及使用需求、内容全面，保障措施得当有力、响应及时；售后服务团队配置搭配合理、分工明确、人员经验丰富、素质高，有稳定售后服务团队，有固定的售后人员且售后服务人员联系方便，能够提升售后服务效率的；售后应急预案考虑全面，有具体可行的解决方案；售后服务承诺详细明确，并有合理可行的奖惩措施；每项均满足上述描述及项目需求，没有内容不完整或有缺陷或与项目不匹配的得满分10分，每缺少一项方案内容的扣2.5分，每一项方案内容每有1处不完整或有缺陷或与项目不匹配的扣0.5分，每一项方案最多扣2.5分，扣完为止。</w:t>
            </w:r>
          </w:p>
          <w:p w14:paraId="18DC1E5C">
            <w:pPr>
              <w:spacing w:line="360"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内容不完整或有缺陷或与项目不匹配是指非专门针对本项目或不适用项目特性的情形、内容不明确、表述不清晰或不完善</w:t>
            </w:r>
            <w:r>
              <w:rPr>
                <w:rFonts w:hint="eastAsia" w:ascii="宋体" w:hAnsi="宋体" w:eastAsia="宋体" w:cs="宋体"/>
                <w:color w:val="auto"/>
                <w:sz w:val="21"/>
                <w:szCs w:val="21"/>
                <w:highlight w:val="none"/>
                <w:lang w:val="en-US" w:eastAsia="zh-CN"/>
              </w:rPr>
              <w:t>或过于简陋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缺少关键节点</w:t>
            </w:r>
            <w:r>
              <w:rPr>
                <w:rFonts w:hint="eastAsia" w:ascii="宋体" w:hAnsi="宋体" w:eastAsia="宋体" w:cs="宋体"/>
                <w:color w:val="auto"/>
                <w:sz w:val="21"/>
                <w:szCs w:val="21"/>
                <w:highlight w:val="none"/>
                <w:lang w:val="en-US" w:eastAsia="zh-CN"/>
              </w:rPr>
              <w:t>说明或说明不详细</w:t>
            </w:r>
            <w:r>
              <w:rPr>
                <w:rFonts w:hint="eastAsia" w:ascii="宋体" w:hAnsi="宋体" w:eastAsia="宋体" w:cs="宋体"/>
                <w:color w:val="auto"/>
                <w:sz w:val="21"/>
                <w:szCs w:val="21"/>
                <w:highlight w:val="none"/>
              </w:rPr>
              <w:t>、套用其他项目方案、内容前后矛盾、涉及的规范及标准错误、不利于项目实施、不可能实现的情形等任意一种情形。</w:t>
            </w:r>
          </w:p>
        </w:tc>
      </w:tr>
      <w:tr w14:paraId="6AA2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993" w:type="dxa"/>
            <w:vAlign w:val="center"/>
          </w:tcPr>
          <w:p w14:paraId="04066B29">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1313" w:type="dxa"/>
            <w:vAlign w:val="center"/>
          </w:tcPr>
          <w:p w14:paraId="635E4129">
            <w:pPr>
              <w:keepNext w:val="0"/>
              <w:keepLines w:val="0"/>
              <w:pageBreakBefore w:val="0"/>
              <w:widowControl w:val="0"/>
              <w:tabs>
                <w:tab w:val="left" w:pos="426"/>
              </w:tabs>
              <w:kinsoku w:val="0"/>
              <w:wordWrap/>
              <w:overflowPunct w:val="0"/>
              <w:topLinePunct w:val="0"/>
              <w:bidi w:val="0"/>
              <w:spacing w:line="312" w:lineRule="auto"/>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lang w:val="en-US" w:eastAsia="zh-CN" w:bidi="ar-SA"/>
              </w:rPr>
              <w:t>仓储能力及管理水平</w:t>
            </w:r>
          </w:p>
        </w:tc>
        <w:tc>
          <w:tcPr>
            <w:tcW w:w="1346" w:type="dxa"/>
            <w:vAlign w:val="center"/>
          </w:tcPr>
          <w:p w14:paraId="0F1E5958">
            <w:pPr>
              <w:keepNext w:val="0"/>
              <w:keepLines w:val="0"/>
              <w:pageBreakBefore w:val="0"/>
              <w:widowControl w:val="0"/>
              <w:tabs>
                <w:tab w:val="left" w:pos="426"/>
              </w:tabs>
              <w:kinsoku w:val="0"/>
              <w:wordWrap/>
              <w:overflowPunct w:val="0"/>
              <w:topLinePunct w:val="0"/>
              <w:bidi w:val="0"/>
              <w:spacing w:line="312"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5分</w:t>
            </w:r>
          </w:p>
        </w:tc>
        <w:tc>
          <w:tcPr>
            <w:tcW w:w="5848" w:type="dxa"/>
            <w:vAlign w:val="center"/>
          </w:tcPr>
          <w:p w14:paraId="18FDE3F0">
            <w:pPr>
              <w:keepNext w:val="0"/>
              <w:keepLines w:val="0"/>
              <w:pageBreakBefore w:val="0"/>
              <w:widowControl w:val="0"/>
              <w:kinsoku w:val="0"/>
              <w:wordWrap/>
              <w:overflowPunct w:val="0"/>
              <w:topLinePunct w:val="0"/>
              <w:autoSpaceDE w:val="0"/>
              <w:autoSpaceDN w:val="0"/>
              <w:bidi w:val="0"/>
              <w:snapToGrid/>
              <w:spacing w:line="44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1.仓储能力</w:t>
            </w:r>
            <w:r>
              <w:rPr>
                <w:rFonts w:hint="eastAsia" w:ascii="宋体" w:hAnsi="宋体" w:eastAsia="宋体" w:cs="宋体"/>
                <w:strike w:val="0"/>
                <w:dstrike w:val="0"/>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投标人具备仓储能力的得3分。</w:t>
            </w:r>
          </w:p>
          <w:p w14:paraId="34D7A86E">
            <w:pPr>
              <w:keepNext w:val="0"/>
              <w:keepLines w:val="0"/>
              <w:pageBreakBefore w:val="0"/>
              <w:widowControl w:val="0"/>
              <w:kinsoku w:val="0"/>
              <w:wordWrap/>
              <w:overflowPunct w:val="0"/>
              <w:topLinePunct w:val="0"/>
              <w:bidi w:val="0"/>
              <w:snapToGrid/>
              <w:spacing w:line="44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trike w:val="0"/>
                <w:dstrike w:val="0"/>
                <w:color w:val="auto"/>
                <w:kern w:val="2"/>
                <w:sz w:val="21"/>
                <w:szCs w:val="21"/>
                <w:highlight w:val="none"/>
                <w:lang w:val="en-US" w:eastAsia="zh-CN" w:bidi="ar-SA"/>
              </w:rPr>
              <w:t>2.仓储管理水平：</w:t>
            </w:r>
            <w:r>
              <w:rPr>
                <w:rFonts w:hint="eastAsia" w:ascii="宋体" w:hAnsi="宋体" w:eastAsia="宋体" w:cs="宋体"/>
                <w:b w:val="0"/>
                <w:bCs w:val="0"/>
                <w:color w:val="auto"/>
                <w:kern w:val="2"/>
                <w:sz w:val="21"/>
                <w:szCs w:val="21"/>
                <w:highlight w:val="none"/>
                <w:lang w:val="en-US" w:eastAsia="zh-CN" w:bidi="ar-SA"/>
              </w:rPr>
              <w:t>投标企业仓库管理规范，全面实现现代化仓储设施设备并提供相应证明资料的得2分，否则，得0分。</w:t>
            </w:r>
          </w:p>
          <w:p w14:paraId="0FDBB718">
            <w:pPr>
              <w:keepNext w:val="0"/>
              <w:keepLines w:val="0"/>
              <w:pageBreakBefore w:val="0"/>
              <w:widowControl w:val="0"/>
              <w:kinsoku w:val="0"/>
              <w:wordWrap/>
              <w:overflowPunct w:val="0"/>
              <w:topLinePunct w:val="0"/>
              <w:bidi w:val="0"/>
              <w:snapToGrid/>
              <w:spacing w:line="44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仓储为企业自有的，提供相应的房产证或相关主管部门出具的证明文件(房产证明中无仓储面积的以委托合同中面积为准)复印件；租赁或委托的，应提供租赁或委托合同及房产的房产证或相关主管部门出具的证明文件(房产证明中无仓储面积的以委托合同中面积为准)复印件或标注有仓储面积的许可证复印件，未提供或证明材料不齐全或不能指向投标人的，则该项不得分。</w:t>
            </w:r>
          </w:p>
        </w:tc>
      </w:tr>
      <w:tr w14:paraId="3137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993" w:type="dxa"/>
            <w:vAlign w:val="center"/>
          </w:tcPr>
          <w:p w14:paraId="020CEC17">
            <w:pPr>
              <w:widowControl/>
              <w:jc w:val="left"/>
              <w:rPr>
                <w:rFonts w:hint="eastAsia" w:ascii="宋体" w:hAnsi="宋体" w:eastAsia="宋体" w:cs="宋体"/>
                <w:sz w:val="24"/>
                <w:szCs w:val="24"/>
              </w:rPr>
            </w:pPr>
          </w:p>
          <w:p w14:paraId="326FA3A1">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313" w:type="dxa"/>
            <w:vAlign w:val="center"/>
          </w:tcPr>
          <w:p w14:paraId="508DEEAE">
            <w:pPr>
              <w:pStyle w:val="11"/>
              <w:keepNext w:val="0"/>
              <w:keepLines w:val="0"/>
              <w:pageBreakBefore w:val="0"/>
              <w:widowControl w:val="0"/>
              <w:kinsoku w:val="0"/>
              <w:wordWrap/>
              <w:overflowPunct w:val="0"/>
              <w:topLinePunct w:val="0"/>
              <w:bidi w:val="0"/>
              <w:spacing w:line="312" w:lineRule="auto"/>
              <w:jc w:val="center"/>
              <w:rPr>
                <w:rFonts w:hint="eastAsia" w:ascii="宋体" w:hAnsi="宋体" w:eastAsia="宋体" w:cs="宋体"/>
                <w:kern w:val="2"/>
                <w:sz w:val="21"/>
                <w:szCs w:val="21"/>
                <w:lang w:val="en-US" w:eastAsia="zh-CN" w:bidi="zh-CN"/>
              </w:rPr>
            </w:pPr>
            <w:r>
              <w:rPr>
                <w:rFonts w:hint="eastAsia" w:ascii="宋体" w:hAnsi="宋体" w:eastAsia="宋体" w:cs="宋体"/>
                <w:sz w:val="21"/>
                <w:szCs w:val="21"/>
                <w:lang w:val="en-US" w:eastAsia="zh-CN"/>
              </w:rPr>
              <w:t>类似项目</w:t>
            </w:r>
            <w:r>
              <w:rPr>
                <w:rFonts w:hint="eastAsia" w:ascii="宋体" w:hAnsi="宋体" w:eastAsia="宋体" w:cs="宋体"/>
                <w:sz w:val="21"/>
                <w:szCs w:val="21"/>
              </w:rPr>
              <w:t>业绩</w:t>
            </w:r>
          </w:p>
        </w:tc>
        <w:tc>
          <w:tcPr>
            <w:tcW w:w="1346" w:type="dxa"/>
            <w:vAlign w:val="center"/>
          </w:tcPr>
          <w:p w14:paraId="7E658A5E">
            <w:pPr>
              <w:pStyle w:val="11"/>
              <w:keepNext w:val="0"/>
              <w:keepLines w:val="0"/>
              <w:pageBreakBefore w:val="0"/>
              <w:widowControl w:val="0"/>
              <w:kinsoku w:val="0"/>
              <w:wordWrap/>
              <w:overflowPunct w:val="0"/>
              <w:topLinePunct w:val="0"/>
              <w:bidi w:val="0"/>
              <w:spacing w:line="312" w:lineRule="auto"/>
              <w:jc w:val="center"/>
              <w:rPr>
                <w:rFonts w:hint="eastAsia" w:ascii="宋体" w:hAnsi="宋体" w:eastAsia="宋体" w:cs="宋体"/>
                <w:kern w:val="2"/>
                <w:sz w:val="21"/>
                <w:szCs w:val="21"/>
                <w:lang w:val="en-US" w:eastAsia="zh-CN" w:bidi="zh-CN"/>
              </w:rPr>
            </w:pP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5848" w:type="dxa"/>
            <w:vAlign w:val="center"/>
          </w:tcPr>
          <w:p w14:paraId="749CB5BD">
            <w:pPr>
              <w:keepNext w:val="0"/>
              <w:keepLines w:val="0"/>
              <w:pageBreakBefore w:val="0"/>
              <w:widowControl w:val="0"/>
              <w:tabs>
                <w:tab w:val="left" w:pos="426"/>
              </w:tabs>
              <w:kinsoku w:val="0"/>
              <w:wordWrap/>
              <w:overflowPunct w:val="0"/>
              <w:topLinePunct w:val="0"/>
              <w:bidi w:val="0"/>
              <w:spacing w:line="312" w:lineRule="auto"/>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供应商自2021年1月以来承担过的类似项目业绩，每个得1分，满分5分。</w:t>
            </w:r>
          </w:p>
          <w:p w14:paraId="79CDCFF6">
            <w:pPr>
              <w:keepNext w:val="0"/>
              <w:keepLines w:val="0"/>
              <w:pageBreakBefore w:val="0"/>
              <w:widowControl w:val="0"/>
              <w:tabs>
                <w:tab w:val="left" w:pos="426"/>
              </w:tabs>
              <w:kinsoku w:val="0"/>
              <w:wordWrap/>
              <w:overflowPunct w:val="0"/>
              <w:topLinePunct w:val="0"/>
              <w:bidi w:val="0"/>
              <w:spacing w:line="312" w:lineRule="auto"/>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注：响应文件中须提供类似项目的合同或中标（成交）通知书扫描件。无证明材料或证明材料不明确、不齐全、不一致、无法体现业绩内容的不得分，如业绩证明材料不能反映项目内容，须另附业主证明等相关证明材料。</w:t>
            </w:r>
          </w:p>
          <w:p w14:paraId="105AE705">
            <w:pPr>
              <w:keepNext w:val="0"/>
              <w:keepLines w:val="0"/>
              <w:pageBreakBefore w:val="0"/>
              <w:widowControl w:val="0"/>
              <w:tabs>
                <w:tab w:val="left" w:pos="426"/>
              </w:tabs>
              <w:kinsoku w:val="0"/>
              <w:wordWrap/>
              <w:overflowPunct w:val="0"/>
              <w:topLinePunct w:val="0"/>
              <w:bidi w:val="0"/>
              <w:spacing w:line="312" w:lineRule="auto"/>
              <w:ind w:firstLine="420" w:firstLineChars="200"/>
              <w:jc w:val="left"/>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评审小组根据项目情况，结合各投标人业绩进行判定，所提供业绩是否符合本项目采购内容的业绩为有效业绩。</w:t>
            </w:r>
          </w:p>
        </w:tc>
      </w:tr>
    </w:tbl>
    <w:p w14:paraId="3AC82664">
      <w:bookmarkStart w:id="8" w:name="_GoBack"/>
      <w:bookmarkEnd w:id="8"/>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0ZDAyNGIxMzY3NzYyMTU5YjBkZWMwYzVlNjJjZTcifQ=="/>
  </w:docVars>
  <w:rsids>
    <w:rsidRoot w:val="5B1248D8"/>
    <w:rsid w:val="03A3115B"/>
    <w:rsid w:val="5B124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99"/>
    <w:pPr>
      <w:ind w:firstLine="420" w:firstLineChars="100"/>
    </w:pPr>
  </w:style>
  <w:style w:type="paragraph" w:styleId="3">
    <w:name w:val="Body Text"/>
    <w:basedOn w:val="1"/>
    <w:next w:val="4"/>
    <w:qFormat/>
    <w:uiPriority w:val="99"/>
    <w:pPr>
      <w:spacing w:after="120"/>
    </w:pPr>
    <w:rPr>
      <w:rFonts w:ascii="Times New Roman" w:hAnsi="Times New Roman"/>
    </w:rPr>
  </w:style>
  <w:style w:type="paragraph" w:customStyle="1" w:styleId="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5">
    <w:name w:val="toa heading"/>
    <w:basedOn w:val="1"/>
    <w:next w:val="1"/>
    <w:unhideWhenUsed/>
    <w:qFormat/>
    <w:uiPriority w:val="0"/>
    <w:pPr>
      <w:spacing w:before="120"/>
    </w:pPr>
    <w:rPr>
      <w:rFonts w:ascii="Arial" w:hAnsi="Arial" w:cs="Arial"/>
      <w:sz w:val="24"/>
    </w:rPr>
  </w:style>
  <w:style w:type="paragraph" w:styleId="6">
    <w:name w:val="Body Text Indent 2"/>
    <w:basedOn w:val="1"/>
    <w:qFormat/>
    <w:uiPriority w:val="99"/>
    <w:pPr>
      <w:spacing w:after="120" w:line="480" w:lineRule="auto"/>
      <w:ind w:left="420" w:leftChars="200"/>
    </w:pPr>
    <w:rPr>
      <w:rFonts w:ascii="Times New Roman" w:hAnsi="Times New Roman"/>
    </w:rPr>
  </w:style>
  <w:style w:type="character" w:customStyle="1" w:styleId="9">
    <w:name w:val="font21"/>
    <w:basedOn w:val="8"/>
    <w:autoRedefine/>
    <w:qFormat/>
    <w:uiPriority w:val="0"/>
    <w:rPr>
      <w:rFonts w:hint="eastAsia" w:ascii="宋体" w:hAnsi="宋体" w:eastAsia="宋体" w:cs="宋体"/>
      <w:color w:val="000000"/>
      <w:sz w:val="24"/>
      <w:szCs w:val="24"/>
      <w:u w:val="none"/>
    </w:rPr>
  </w:style>
  <w:style w:type="character" w:customStyle="1" w:styleId="10">
    <w:name w:val="font31"/>
    <w:basedOn w:val="8"/>
    <w:autoRedefine/>
    <w:qFormat/>
    <w:uiPriority w:val="0"/>
    <w:rPr>
      <w:rFonts w:hint="eastAsia" w:ascii="宋体" w:hAnsi="宋体" w:eastAsia="宋体" w:cs="宋体"/>
      <w:color w:val="000000"/>
      <w:sz w:val="24"/>
      <w:szCs w:val="24"/>
      <w:u w:val="none"/>
    </w:rPr>
  </w:style>
  <w:style w:type="paragraph" w:customStyle="1" w:styleId="11">
    <w:name w:val="Table Paragraph"/>
    <w:basedOn w:val="1"/>
    <w:autoRedefine/>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2024-07-10T09:22:00Z</dcterms:created>
  <dc:creator>小费费呀</dc:creator>
  <cp:lastModifiedBy>小费费呀</cp:lastModifiedBy>
  <dcterms:modified xsi:type="dcterms:W3CDTF">2024-07-10T09:25:34Z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BC61E0383FD24BBFADAA0B23B9008159_11</vt:lpwstr>
  </property>
</Properties>
</file>