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CF3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szCs w:val="28"/>
        </w:rPr>
      </w:pPr>
      <w:r>
        <w:rPr>
          <w:rFonts w:hint="eastAsia" w:ascii="宋体" w:hAnsi="宋体" w:cs="宋体"/>
          <w:b/>
          <w:bCs/>
          <w:color w:val="auto"/>
          <w:szCs w:val="28"/>
        </w:rPr>
        <w:t>评审标准（综合评分法）</w:t>
      </w:r>
    </w:p>
    <w:tbl>
      <w:tblPr>
        <w:tblStyle w:val="2"/>
        <w:tblW w:w="89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75" w:type="dxa"/>
          <w:left w:w="75" w:type="dxa"/>
          <w:bottom w:w="75" w:type="dxa"/>
          <w:right w:w="75" w:type="dxa"/>
        </w:tblCellMar>
      </w:tblPr>
      <w:tblGrid>
        <w:gridCol w:w="761"/>
        <w:gridCol w:w="1420"/>
        <w:gridCol w:w="2045"/>
        <w:gridCol w:w="3198"/>
        <w:gridCol w:w="785"/>
        <w:gridCol w:w="785"/>
      </w:tblGrid>
      <w:tr w14:paraId="0CF70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c>
          <w:tcPr>
            <w:tcW w:w="2181" w:type="dxa"/>
            <w:gridSpan w:val="2"/>
            <w:vMerge w:val="restart"/>
            <w:tcBorders>
              <w:bottom w:val="outset" w:color="auto" w:sz="6" w:space="0"/>
              <w:right w:val="outset" w:color="auto" w:sz="6" w:space="0"/>
            </w:tcBorders>
            <w:noWrap w:val="0"/>
            <w:vAlign w:val="center"/>
          </w:tcPr>
          <w:p w14:paraId="749D7111">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评分因素</w:t>
            </w:r>
          </w:p>
        </w:tc>
        <w:tc>
          <w:tcPr>
            <w:tcW w:w="2045" w:type="dxa"/>
            <w:vMerge w:val="restart"/>
            <w:tcBorders>
              <w:left w:val="outset" w:color="auto" w:sz="6" w:space="0"/>
              <w:bottom w:val="outset" w:color="auto" w:sz="6" w:space="0"/>
              <w:right w:val="outset" w:color="auto" w:sz="6" w:space="0"/>
            </w:tcBorders>
            <w:noWrap w:val="0"/>
            <w:vAlign w:val="center"/>
          </w:tcPr>
          <w:p w14:paraId="09BC41F6">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评分点</w:t>
            </w:r>
          </w:p>
        </w:tc>
        <w:tc>
          <w:tcPr>
            <w:tcW w:w="3198" w:type="dxa"/>
            <w:vMerge w:val="restart"/>
            <w:tcBorders>
              <w:left w:val="outset" w:color="auto" w:sz="6" w:space="0"/>
              <w:bottom w:val="outset" w:color="auto" w:sz="6" w:space="0"/>
              <w:right w:val="outset" w:color="auto" w:sz="6" w:space="0"/>
            </w:tcBorders>
            <w:noWrap w:val="0"/>
            <w:vAlign w:val="center"/>
          </w:tcPr>
          <w:p w14:paraId="6983D311">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c>
          <w:tcPr>
            <w:tcW w:w="1570" w:type="dxa"/>
            <w:gridSpan w:val="2"/>
            <w:tcBorders>
              <w:left w:val="outset" w:color="auto" w:sz="6" w:space="0"/>
              <w:bottom w:val="outset" w:color="auto" w:sz="6" w:space="0"/>
            </w:tcBorders>
            <w:noWrap w:val="0"/>
            <w:vAlign w:val="center"/>
          </w:tcPr>
          <w:p w14:paraId="1A3B4784">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评审意见</w:t>
            </w:r>
          </w:p>
        </w:tc>
      </w:tr>
      <w:tr w14:paraId="7B4E1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c>
          <w:tcPr>
            <w:tcW w:w="2181" w:type="dxa"/>
            <w:gridSpan w:val="2"/>
            <w:vMerge w:val="continue"/>
            <w:tcBorders>
              <w:top w:val="outset" w:color="auto" w:sz="6" w:space="0"/>
              <w:bottom w:val="outset" w:color="auto" w:sz="6" w:space="0"/>
              <w:right w:val="outset" w:color="auto" w:sz="6" w:space="0"/>
            </w:tcBorders>
            <w:noWrap w:val="0"/>
            <w:vAlign w:val="center"/>
          </w:tcPr>
          <w:p w14:paraId="72481CC1">
            <w:pPr>
              <w:pStyle w:val="4"/>
              <w:jc w:val="center"/>
              <w:rPr>
                <w:rFonts w:hint="eastAsia" w:ascii="宋体" w:hAnsi="宋体" w:eastAsia="宋体" w:cs="宋体"/>
                <w:color w:val="auto"/>
                <w:sz w:val="24"/>
                <w:szCs w:val="24"/>
              </w:rPr>
            </w:pPr>
          </w:p>
        </w:tc>
        <w:tc>
          <w:tcPr>
            <w:tcW w:w="2045" w:type="dxa"/>
            <w:vMerge w:val="continue"/>
            <w:tcBorders>
              <w:top w:val="outset" w:color="auto" w:sz="6" w:space="0"/>
              <w:left w:val="outset" w:color="auto" w:sz="6" w:space="0"/>
              <w:bottom w:val="outset" w:color="auto" w:sz="6" w:space="0"/>
              <w:right w:val="outset" w:color="auto" w:sz="6" w:space="0"/>
            </w:tcBorders>
            <w:noWrap w:val="0"/>
            <w:vAlign w:val="center"/>
          </w:tcPr>
          <w:p w14:paraId="7A5AF762">
            <w:pPr>
              <w:pStyle w:val="4"/>
              <w:jc w:val="center"/>
              <w:rPr>
                <w:rFonts w:hint="eastAsia" w:ascii="宋体" w:hAnsi="宋体" w:eastAsia="宋体" w:cs="宋体"/>
                <w:color w:val="auto"/>
                <w:sz w:val="24"/>
                <w:szCs w:val="24"/>
              </w:rPr>
            </w:pPr>
          </w:p>
        </w:tc>
        <w:tc>
          <w:tcPr>
            <w:tcW w:w="3198" w:type="dxa"/>
            <w:vMerge w:val="continue"/>
            <w:tcBorders>
              <w:top w:val="outset" w:color="auto" w:sz="6" w:space="0"/>
              <w:left w:val="outset" w:color="auto" w:sz="6" w:space="0"/>
              <w:bottom w:val="outset" w:color="auto" w:sz="6" w:space="0"/>
              <w:right w:val="outset" w:color="auto" w:sz="6" w:space="0"/>
            </w:tcBorders>
            <w:noWrap w:val="0"/>
            <w:vAlign w:val="center"/>
          </w:tcPr>
          <w:p w14:paraId="6C8A1C46">
            <w:pPr>
              <w:pStyle w:val="4"/>
              <w:jc w:val="center"/>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right w:val="outset" w:color="auto" w:sz="6" w:space="0"/>
            </w:tcBorders>
            <w:noWrap w:val="0"/>
            <w:vAlign w:val="center"/>
          </w:tcPr>
          <w:p w14:paraId="7C28E9A5">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是</w:t>
            </w:r>
          </w:p>
        </w:tc>
        <w:tc>
          <w:tcPr>
            <w:tcW w:w="785" w:type="dxa"/>
            <w:tcBorders>
              <w:top w:val="outset" w:color="auto" w:sz="6" w:space="0"/>
              <w:left w:val="outset" w:color="auto" w:sz="6" w:space="0"/>
              <w:bottom w:val="outset" w:color="auto" w:sz="6" w:space="0"/>
            </w:tcBorders>
            <w:noWrap w:val="0"/>
            <w:vAlign w:val="center"/>
          </w:tcPr>
          <w:p w14:paraId="0B8A9BA1">
            <w:pPr>
              <w:pStyle w:val="4"/>
              <w:jc w:val="center"/>
              <w:rPr>
                <w:rFonts w:hint="eastAsia" w:ascii="宋体" w:hAnsi="宋体" w:eastAsia="宋体" w:cs="宋体"/>
                <w:color w:val="auto"/>
                <w:sz w:val="24"/>
                <w:szCs w:val="24"/>
              </w:rPr>
            </w:pPr>
            <w:r>
              <w:rPr>
                <w:rFonts w:hint="eastAsia" w:ascii="宋体" w:hAnsi="宋体" w:eastAsia="宋体" w:cs="宋体"/>
                <w:b/>
                <w:color w:val="auto"/>
                <w:sz w:val="24"/>
                <w:szCs w:val="24"/>
              </w:rPr>
              <w:t>否</w:t>
            </w:r>
          </w:p>
        </w:tc>
      </w:tr>
      <w:tr w14:paraId="55AEE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557" w:hRule="atLeast"/>
        </w:trPr>
        <w:tc>
          <w:tcPr>
            <w:tcW w:w="761" w:type="dxa"/>
            <w:vMerge w:val="restart"/>
            <w:tcBorders>
              <w:right w:val="outset" w:color="auto" w:sz="6" w:space="0"/>
            </w:tcBorders>
            <w:noWrap w:val="0"/>
            <w:vAlign w:val="center"/>
          </w:tcPr>
          <w:p w14:paraId="169E5FEF">
            <w:pPr>
              <w:pStyle w:val="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初步评审</w:t>
            </w:r>
          </w:p>
        </w:tc>
        <w:tc>
          <w:tcPr>
            <w:tcW w:w="1420" w:type="dxa"/>
            <w:vMerge w:val="restart"/>
            <w:tcBorders>
              <w:left w:val="outset" w:color="auto" w:sz="6" w:space="0"/>
              <w:right w:val="outset" w:color="auto" w:sz="6" w:space="0"/>
            </w:tcBorders>
            <w:noWrap w:val="0"/>
            <w:vAlign w:val="center"/>
          </w:tcPr>
          <w:p w14:paraId="64EBE7CB">
            <w:pPr>
              <w:pStyle w:val="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资格检查</w:t>
            </w:r>
          </w:p>
        </w:tc>
        <w:tc>
          <w:tcPr>
            <w:tcW w:w="2045" w:type="dxa"/>
            <w:tcBorders>
              <w:top w:val="outset" w:color="auto" w:sz="6" w:space="0"/>
              <w:left w:val="outset" w:color="auto" w:sz="6" w:space="0"/>
              <w:bottom w:val="outset" w:color="auto" w:sz="6" w:space="0"/>
              <w:right w:val="outset" w:color="auto" w:sz="6" w:space="0"/>
            </w:tcBorders>
            <w:noWrap w:val="0"/>
            <w:vAlign w:val="center"/>
          </w:tcPr>
          <w:p w14:paraId="772CE544">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5B312C0D">
            <w:pPr>
              <w:pStyle w:val="4"/>
              <w:rPr>
                <w:rFonts w:hint="eastAsia" w:ascii="宋体" w:hAnsi="宋体" w:eastAsia="宋体" w:cs="宋体"/>
                <w:color w:val="auto"/>
                <w:sz w:val="24"/>
                <w:szCs w:val="24"/>
              </w:rPr>
            </w:pPr>
            <w:r>
              <w:rPr>
                <w:rFonts w:hint="eastAsia" w:ascii="宋体" w:hAnsi="宋体" w:eastAsia="宋体" w:cs="宋体"/>
                <w:color w:val="auto"/>
                <w:kern w:val="0"/>
                <w:sz w:val="24"/>
                <w:szCs w:val="24"/>
                <w:u w:val="none"/>
                <w:lang w:eastAsia="zh-CN"/>
              </w:rPr>
              <w:t>具备</w:t>
            </w:r>
            <w:r>
              <w:rPr>
                <w:rFonts w:hint="eastAsia" w:ascii="宋体" w:hAnsi="宋体" w:eastAsia="宋体" w:cs="宋体"/>
                <w:color w:val="auto"/>
                <w:kern w:val="0"/>
                <w:sz w:val="24"/>
                <w:szCs w:val="24"/>
                <w:u w:val="none"/>
              </w:rPr>
              <w:t>有效</w:t>
            </w:r>
            <w:r>
              <w:rPr>
                <w:rFonts w:hint="eastAsia" w:ascii="宋体" w:hAnsi="宋体" w:eastAsia="宋体" w:cs="宋体"/>
                <w:color w:val="auto"/>
                <w:kern w:val="0"/>
                <w:sz w:val="24"/>
                <w:szCs w:val="24"/>
                <w:u w:val="none"/>
                <w:lang w:eastAsia="zh-CN"/>
              </w:rPr>
              <w:t>的</w:t>
            </w:r>
            <w:r>
              <w:rPr>
                <w:rFonts w:hint="eastAsia" w:ascii="宋体" w:hAnsi="宋体" w:eastAsia="宋体" w:cs="宋体"/>
                <w:color w:val="auto"/>
                <w:kern w:val="0"/>
                <w:sz w:val="24"/>
                <w:szCs w:val="24"/>
                <w:u w:val="none"/>
              </w:rPr>
              <w:t>营业执照</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71887DA4">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713D7CB5">
            <w:pPr>
              <w:pStyle w:val="4"/>
              <w:rPr>
                <w:rFonts w:hint="eastAsia" w:ascii="宋体" w:hAnsi="宋体" w:eastAsia="宋体" w:cs="宋体"/>
                <w:color w:val="auto"/>
                <w:sz w:val="24"/>
                <w:szCs w:val="24"/>
              </w:rPr>
            </w:pPr>
          </w:p>
        </w:tc>
      </w:tr>
      <w:tr w14:paraId="3320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557" w:hRule="atLeast"/>
        </w:trPr>
        <w:tc>
          <w:tcPr>
            <w:tcW w:w="761" w:type="dxa"/>
            <w:vMerge w:val="continue"/>
            <w:tcBorders>
              <w:right w:val="outset" w:color="auto" w:sz="6" w:space="0"/>
            </w:tcBorders>
            <w:noWrap w:val="0"/>
            <w:vAlign w:val="center"/>
          </w:tcPr>
          <w:p w14:paraId="7D9648EC">
            <w:pPr>
              <w:pStyle w:val="4"/>
              <w:jc w:val="center"/>
              <w:rPr>
                <w:rFonts w:hint="eastAsia" w:ascii="宋体" w:hAnsi="宋体" w:eastAsia="宋体" w:cs="宋体"/>
                <w:color w:val="auto"/>
                <w:sz w:val="24"/>
                <w:szCs w:val="24"/>
              </w:rPr>
            </w:pPr>
          </w:p>
        </w:tc>
        <w:tc>
          <w:tcPr>
            <w:tcW w:w="1420" w:type="dxa"/>
            <w:vMerge w:val="continue"/>
            <w:tcBorders>
              <w:left w:val="outset" w:color="auto" w:sz="6" w:space="0"/>
              <w:right w:val="outset" w:color="auto" w:sz="6" w:space="0"/>
            </w:tcBorders>
            <w:noWrap w:val="0"/>
            <w:vAlign w:val="center"/>
          </w:tcPr>
          <w:p w14:paraId="5DA8983A">
            <w:pPr>
              <w:pStyle w:val="4"/>
              <w:jc w:val="center"/>
              <w:rPr>
                <w:rFonts w:hint="eastAsia" w:ascii="宋体" w:hAnsi="宋体" w:eastAsia="宋体" w:cs="宋体"/>
                <w:color w:val="auto"/>
                <w:sz w:val="24"/>
                <w:szCs w:val="24"/>
              </w:rPr>
            </w:pPr>
          </w:p>
        </w:tc>
        <w:tc>
          <w:tcPr>
            <w:tcW w:w="2045" w:type="dxa"/>
            <w:tcBorders>
              <w:top w:val="outset" w:color="auto" w:sz="6" w:space="0"/>
              <w:left w:val="outset" w:color="auto" w:sz="6" w:space="0"/>
              <w:bottom w:val="outset" w:color="auto" w:sz="6" w:space="0"/>
              <w:right w:val="outset" w:color="auto" w:sz="6" w:space="0"/>
            </w:tcBorders>
            <w:noWrap w:val="0"/>
            <w:vAlign w:val="center"/>
          </w:tcPr>
          <w:p w14:paraId="3376B911">
            <w:pPr>
              <w:pStyle w:val="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特定资格条件</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60119250">
            <w:pPr>
              <w:pStyle w:val="4"/>
              <w:rPr>
                <w:rFonts w:hint="eastAsia" w:ascii="宋体" w:hAnsi="宋体" w:eastAsia="宋体" w:cs="宋体"/>
                <w:color w:val="auto"/>
                <w:kern w:val="0"/>
                <w:sz w:val="24"/>
                <w:szCs w:val="24"/>
                <w:u w:val="none"/>
                <w:lang w:eastAsia="zh-CN"/>
              </w:rPr>
            </w:pPr>
            <w:r>
              <w:rPr>
                <w:rFonts w:hint="eastAsia" w:ascii="宋体" w:hAnsi="宋体" w:eastAsia="宋体" w:cs="宋体"/>
                <w:color w:val="auto"/>
                <w:sz w:val="24"/>
                <w:szCs w:val="24"/>
              </w:rPr>
              <w:t>满足</w:t>
            </w:r>
            <w:r>
              <w:rPr>
                <w:rFonts w:hint="eastAsia" w:ascii="宋体" w:hAnsi="宋体" w:eastAsia="宋体" w:cs="宋体"/>
                <w:color w:val="auto"/>
                <w:sz w:val="24"/>
                <w:szCs w:val="24"/>
                <w:lang w:val="en-US" w:eastAsia="zh-CN"/>
              </w:rPr>
              <w:t>询比</w:t>
            </w:r>
            <w:r>
              <w:rPr>
                <w:rFonts w:hint="eastAsia" w:ascii="宋体" w:hAnsi="宋体" w:eastAsia="宋体" w:cs="宋体"/>
                <w:color w:val="auto"/>
                <w:sz w:val="24"/>
                <w:szCs w:val="24"/>
              </w:rPr>
              <w:t>文件要求</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23B2D55E">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32EA15FD">
            <w:pPr>
              <w:pStyle w:val="4"/>
              <w:rPr>
                <w:rFonts w:hint="eastAsia" w:ascii="宋体" w:hAnsi="宋体" w:eastAsia="宋体" w:cs="宋体"/>
                <w:color w:val="auto"/>
                <w:sz w:val="24"/>
                <w:szCs w:val="24"/>
              </w:rPr>
            </w:pPr>
          </w:p>
        </w:tc>
      </w:tr>
      <w:tr w14:paraId="5862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c>
          <w:tcPr>
            <w:tcW w:w="761" w:type="dxa"/>
            <w:vMerge w:val="continue"/>
            <w:tcBorders>
              <w:right w:val="outset" w:color="auto" w:sz="6" w:space="0"/>
            </w:tcBorders>
            <w:noWrap w:val="0"/>
            <w:vAlign w:val="center"/>
          </w:tcPr>
          <w:p w14:paraId="04E78447">
            <w:pPr>
              <w:pStyle w:val="4"/>
              <w:rPr>
                <w:rFonts w:hint="eastAsia" w:ascii="宋体" w:hAnsi="宋体" w:eastAsia="宋体" w:cs="宋体"/>
                <w:color w:val="auto"/>
                <w:sz w:val="24"/>
                <w:szCs w:val="24"/>
              </w:rPr>
            </w:pPr>
          </w:p>
        </w:tc>
        <w:tc>
          <w:tcPr>
            <w:tcW w:w="1420" w:type="dxa"/>
            <w:vMerge w:val="continue"/>
            <w:tcBorders>
              <w:left w:val="outset" w:color="auto" w:sz="6" w:space="0"/>
              <w:right w:val="outset" w:color="auto" w:sz="6" w:space="0"/>
            </w:tcBorders>
            <w:noWrap w:val="0"/>
            <w:vAlign w:val="center"/>
          </w:tcPr>
          <w:p w14:paraId="75C90005">
            <w:pPr>
              <w:pStyle w:val="4"/>
              <w:rPr>
                <w:rFonts w:hint="eastAsia" w:ascii="宋体" w:hAnsi="宋体" w:eastAsia="宋体" w:cs="宋体"/>
                <w:color w:val="auto"/>
                <w:sz w:val="24"/>
                <w:szCs w:val="24"/>
              </w:rPr>
            </w:pPr>
          </w:p>
        </w:tc>
        <w:tc>
          <w:tcPr>
            <w:tcW w:w="2045" w:type="dxa"/>
            <w:tcBorders>
              <w:top w:val="outset" w:color="auto" w:sz="6" w:space="0"/>
              <w:left w:val="outset" w:color="auto" w:sz="6" w:space="0"/>
              <w:bottom w:val="outset" w:color="auto" w:sz="6" w:space="0"/>
              <w:right w:val="outset" w:color="auto" w:sz="6" w:space="0"/>
            </w:tcBorders>
            <w:noWrap w:val="0"/>
            <w:vAlign w:val="center"/>
          </w:tcPr>
          <w:p w14:paraId="74DA9787">
            <w:pPr>
              <w:pStyle w:val="4"/>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36ADBB2C">
            <w:pPr>
              <w:pStyle w:val="4"/>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u w:val="none"/>
              </w:rPr>
              <w:t>供应商须提供在“信用中国”（www.creditchina.gov.cn）和中国政府采购网（www.ccgp.gov.cn）网站上未被列入失信被执行人、重大税收违法案件当事人名单以及政府采购严重违法失信行为记录名单的网页截图或打印件</w:t>
            </w:r>
            <w:r>
              <w:rPr>
                <w:rFonts w:hint="eastAsia" w:ascii="宋体" w:hAnsi="宋体" w:eastAsia="宋体" w:cs="宋体"/>
                <w:color w:val="auto"/>
                <w:kern w:val="0"/>
                <w:sz w:val="24"/>
                <w:szCs w:val="24"/>
                <w:u w:val="none"/>
                <w:lang w:eastAsia="zh-CN"/>
              </w:rPr>
              <w:t>。</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236BF4D9">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688E0A9D">
            <w:pPr>
              <w:pStyle w:val="4"/>
              <w:rPr>
                <w:rFonts w:hint="eastAsia" w:ascii="宋体" w:hAnsi="宋体" w:eastAsia="宋体" w:cs="宋体"/>
                <w:color w:val="auto"/>
                <w:sz w:val="24"/>
                <w:szCs w:val="24"/>
              </w:rPr>
            </w:pPr>
          </w:p>
        </w:tc>
      </w:tr>
      <w:tr w14:paraId="0040F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789" w:hRule="atLeast"/>
        </w:trPr>
        <w:tc>
          <w:tcPr>
            <w:tcW w:w="761" w:type="dxa"/>
            <w:vMerge w:val="continue"/>
            <w:tcBorders>
              <w:right w:val="outset" w:color="auto" w:sz="6" w:space="0"/>
            </w:tcBorders>
            <w:noWrap w:val="0"/>
            <w:vAlign w:val="center"/>
          </w:tcPr>
          <w:p w14:paraId="5B176D02">
            <w:pPr>
              <w:pStyle w:val="4"/>
              <w:rPr>
                <w:rFonts w:hint="eastAsia" w:ascii="宋体" w:hAnsi="宋体" w:eastAsia="宋体" w:cs="宋体"/>
                <w:color w:val="auto"/>
                <w:sz w:val="24"/>
                <w:szCs w:val="24"/>
              </w:rPr>
            </w:pPr>
          </w:p>
        </w:tc>
        <w:tc>
          <w:tcPr>
            <w:tcW w:w="1420" w:type="dxa"/>
            <w:vMerge w:val="restart"/>
            <w:tcBorders>
              <w:top w:val="outset" w:color="auto" w:sz="6" w:space="0"/>
              <w:left w:val="outset" w:color="auto" w:sz="6" w:space="0"/>
              <w:bottom w:val="outset" w:color="auto" w:sz="6" w:space="0"/>
              <w:right w:val="outset" w:color="auto" w:sz="6" w:space="0"/>
            </w:tcBorders>
            <w:noWrap w:val="0"/>
            <w:vAlign w:val="center"/>
          </w:tcPr>
          <w:p w14:paraId="01F8D31D">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符合性检查</w:t>
            </w:r>
          </w:p>
        </w:tc>
        <w:tc>
          <w:tcPr>
            <w:tcW w:w="2045" w:type="dxa"/>
            <w:tcBorders>
              <w:top w:val="outset" w:color="auto" w:sz="6" w:space="0"/>
              <w:left w:val="outset" w:color="auto" w:sz="6" w:space="0"/>
              <w:bottom w:val="outset" w:color="auto" w:sz="6" w:space="0"/>
              <w:right w:val="outset" w:color="auto" w:sz="6" w:space="0"/>
            </w:tcBorders>
            <w:noWrap w:val="0"/>
            <w:vAlign w:val="center"/>
          </w:tcPr>
          <w:p w14:paraId="61987C8B">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投标文件的格式</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2B0FCAAE">
            <w:pPr>
              <w:pStyle w:val="4"/>
              <w:rPr>
                <w:rFonts w:hint="eastAsia" w:ascii="宋体" w:hAnsi="宋体" w:eastAsia="宋体" w:cs="宋体"/>
                <w:color w:val="auto"/>
                <w:sz w:val="24"/>
                <w:szCs w:val="24"/>
              </w:rPr>
            </w:pPr>
            <w:r>
              <w:rPr>
                <w:rFonts w:hint="eastAsia" w:ascii="宋体" w:hAnsi="宋体" w:eastAsia="宋体" w:cs="宋体"/>
                <w:color w:val="auto"/>
                <w:sz w:val="24"/>
                <w:szCs w:val="24"/>
              </w:rPr>
              <w:t>投标文件按</w:t>
            </w:r>
            <w:r>
              <w:rPr>
                <w:rFonts w:hint="eastAsia" w:ascii="宋体" w:hAnsi="宋体" w:eastAsia="宋体" w:cs="宋体"/>
                <w:color w:val="auto"/>
                <w:sz w:val="24"/>
                <w:szCs w:val="24"/>
                <w:lang w:val="en-US" w:eastAsia="zh-CN"/>
              </w:rPr>
              <w:t>询比</w:t>
            </w:r>
            <w:r>
              <w:rPr>
                <w:rFonts w:hint="eastAsia" w:ascii="宋体" w:hAnsi="宋体" w:eastAsia="宋体" w:cs="宋体"/>
                <w:color w:val="auto"/>
                <w:sz w:val="24"/>
                <w:szCs w:val="24"/>
              </w:rPr>
              <w:t>文件规定格式完整提供</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207A8987">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0D2E33B7">
            <w:pPr>
              <w:pStyle w:val="4"/>
              <w:rPr>
                <w:rFonts w:hint="eastAsia" w:ascii="宋体" w:hAnsi="宋体" w:eastAsia="宋体" w:cs="宋体"/>
                <w:color w:val="auto"/>
                <w:sz w:val="24"/>
                <w:szCs w:val="24"/>
              </w:rPr>
            </w:pPr>
          </w:p>
        </w:tc>
      </w:tr>
      <w:tr w14:paraId="7B44A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599" w:hRule="atLeast"/>
        </w:trPr>
        <w:tc>
          <w:tcPr>
            <w:tcW w:w="761" w:type="dxa"/>
            <w:vMerge w:val="continue"/>
            <w:tcBorders>
              <w:right w:val="outset" w:color="auto" w:sz="6" w:space="0"/>
            </w:tcBorders>
            <w:noWrap w:val="0"/>
            <w:vAlign w:val="center"/>
          </w:tcPr>
          <w:p w14:paraId="5E480E42">
            <w:pPr>
              <w:pStyle w:val="4"/>
              <w:rPr>
                <w:rFonts w:hint="eastAsia" w:ascii="宋体" w:hAnsi="宋体" w:eastAsia="宋体" w:cs="宋体"/>
                <w:color w:val="auto"/>
                <w:sz w:val="24"/>
                <w:szCs w:val="24"/>
              </w:rPr>
            </w:pPr>
          </w:p>
        </w:tc>
        <w:tc>
          <w:tcPr>
            <w:tcW w:w="1420" w:type="dxa"/>
            <w:vMerge w:val="continue"/>
            <w:tcBorders>
              <w:left w:val="outset" w:color="auto" w:sz="6" w:space="0"/>
              <w:right w:val="outset" w:color="auto" w:sz="6" w:space="0"/>
            </w:tcBorders>
            <w:noWrap w:val="0"/>
            <w:vAlign w:val="center"/>
          </w:tcPr>
          <w:p w14:paraId="7DA846B2">
            <w:pPr>
              <w:pStyle w:val="4"/>
              <w:jc w:val="center"/>
              <w:rPr>
                <w:rFonts w:hint="eastAsia" w:ascii="宋体" w:hAnsi="宋体" w:eastAsia="宋体" w:cs="宋体"/>
                <w:color w:val="auto"/>
                <w:sz w:val="24"/>
                <w:szCs w:val="24"/>
              </w:rPr>
            </w:pPr>
          </w:p>
        </w:tc>
        <w:tc>
          <w:tcPr>
            <w:tcW w:w="2045" w:type="dxa"/>
            <w:tcBorders>
              <w:top w:val="outset" w:color="auto" w:sz="6" w:space="0"/>
              <w:left w:val="outset" w:color="auto" w:sz="6" w:space="0"/>
              <w:bottom w:val="outset" w:color="auto" w:sz="6" w:space="0"/>
              <w:right w:val="outset" w:color="auto" w:sz="6" w:space="0"/>
            </w:tcBorders>
            <w:noWrap w:val="0"/>
            <w:vAlign w:val="center"/>
          </w:tcPr>
          <w:p w14:paraId="12E97F88">
            <w:pPr>
              <w:pStyle w:val="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法人和授权代表资格</w:t>
            </w:r>
            <w:r>
              <w:rPr>
                <w:rFonts w:hint="eastAsia" w:ascii="宋体" w:hAnsi="宋体" w:eastAsia="宋体" w:cs="宋体"/>
                <w:color w:val="auto"/>
                <w:sz w:val="24"/>
                <w:szCs w:val="24"/>
                <w:lang w:val="en-US" w:eastAsia="zh-CN"/>
              </w:rPr>
              <w:t>证明</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214BCB3F">
            <w:pPr>
              <w:pStyle w:val="4"/>
              <w:rPr>
                <w:rFonts w:hint="eastAsia" w:ascii="宋体" w:hAnsi="宋体" w:eastAsia="宋体" w:cs="宋体"/>
                <w:color w:val="auto"/>
                <w:sz w:val="24"/>
                <w:szCs w:val="24"/>
              </w:rPr>
            </w:pPr>
            <w:r>
              <w:rPr>
                <w:rFonts w:hint="eastAsia" w:ascii="宋体" w:hAnsi="宋体" w:eastAsia="宋体" w:cs="宋体"/>
                <w:color w:val="auto"/>
                <w:sz w:val="24"/>
                <w:szCs w:val="24"/>
              </w:rPr>
              <w:t>具有法定代表人资格证明和法定代表人授权委托书</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64ED0BC5">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3CA014BB">
            <w:pPr>
              <w:pStyle w:val="4"/>
              <w:rPr>
                <w:rFonts w:hint="eastAsia" w:ascii="宋体" w:hAnsi="宋体" w:eastAsia="宋体" w:cs="宋体"/>
                <w:color w:val="auto"/>
                <w:sz w:val="24"/>
                <w:szCs w:val="24"/>
              </w:rPr>
            </w:pPr>
          </w:p>
        </w:tc>
      </w:tr>
      <w:tr w14:paraId="213C1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599" w:hRule="atLeast"/>
        </w:trPr>
        <w:tc>
          <w:tcPr>
            <w:tcW w:w="761" w:type="dxa"/>
            <w:vMerge w:val="continue"/>
            <w:tcBorders>
              <w:right w:val="outset" w:color="auto" w:sz="6" w:space="0"/>
            </w:tcBorders>
            <w:noWrap w:val="0"/>
            <w:vAlign w:val="center"/>
          </w:tcPr>
          <w:p w14:paraId="4B7B635F">
            <w:pPr>
              <w:pStyle w:val="4"/>
              <w:rPr>
                <w:rFonts w:hint="eastAsia" w:ascii="宋体" w:hAnsi="宋体" w:eastAsia="宋体" w:cs="宋体"/>
                <w:color w:val="auto"/>
                <w:sz w:val="24"/>
                <w:szCs w:val="24"/>
              </w:rPr>
            </w:pPr>
          </w:p>
        </w:tc>
        <w:tc>
          <w:tcPr>
            <w:tcW w:w="1420" w:type="dxa"/>
            <w:vMerge w:val="continue"/>
            <w:tcBorders>
              <w:left w:val="outset" w:color="auto" w:sz="6" w:space="0"/>
              <w:right w:val="outset" w:color="auto" w:sz="6" w:space="0"/>
            </w:tcBorders>
            <w:noWrap w:val="0"/>
            <w:vAlign w:val="center"/>
          </w:tcPr>
          <w:p w14:paraId="12936033">
            <w:pPr>
              <w:pStyle w:val="4"/>
              <w:jc w:val="center"/>
              <w:rPr>
                <w:rFonts w:hint="eastAsia" w:ascii="宋体" w:hAnsi="宋体" w:eastAsia="宋体" w:cs="宋体"/>
                <w:color w:val="auto"/>
                <w:sz w:val="24"/>
                <w:szCs w:val="24"/>
              </w:rPr>
            </w:pPr>
          </w:p>
        </w:tc>
        <w:tc>
          <w:tcPr>
            <w:tcW w:w="2045" w:type="dxa"/>
            <w:tcBorders>
              <w:top w:val="outset" w:color="auto" w:sz="6" w:space="0"/>
              <w:left w:val="outset" w:color="auto" w:sz="6" w:space="0"/>
              <w:bottom w:val="outset" w:color="auto" w:sz="6" w:space="0"/>
              <w:right w:val="outset" w:color="auto" w:sz="6" w:space="0"/>
            </w:tcBorders>
            <w:noWrap w:val="0"/>
            <w:vAlign w:val="center"/>
          </w:tcPr>
          <w:p w14:paraId="5DCAAB21">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5CB15B44">
            <w:pPr>
              <w:pStyle w:val="4"/>
              <w:rPr>
                <w:rFonts w:hint="eastAsia" w:ascii="宋体" w:hAnsi="宋体" w:eastAsia="宋体" w:cs="宋体"/>
                <w:color w:val="auto"/>
                <w:sz w:val="24"/>
                <w:szCs w:val="24"/>
              </w:rPr>
            </w:pPr>
            <w:r>
              <w:rPr>
                <w:rFonts w:hint="eastAsia" w:ascii="宋体" w:hAnsi="宋体" w:eastAsia="宋体" w:cs="宋体"/>
                <w:color w:val="auto"/>
                <w:sz w:val="24"/>
                <w:szCs w:val="24"/>
              </w:rPr>
              <w:t>是否与营业执照一致</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2505C5B6">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3DA7DE46">
            <w:pPr>
              <w:pStyle w:val="4"/>
              <w:rPr>
                <w:rFonts w:hint="eastAsia" w:ascii="宋体" w:hAnsi="宋体" w:eastAsia="宋体" w:cs="宋体"/>
                <w:color w:val="auto"/>
                <w:sz w:val="24"/>
                <w:szCs w:val="24"/>
              </w:rPr>
            </w:pPr>
          </w:p>
        </w:tc>
      </w:tr>
      <w:tr w14:paraId="6DC6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c>
          <w:tcPr>
            <w:tcW w:w="761" w:type="dxa"/>
            <w:vMerge w:val="continue"/>
            <w:tcBorders>
              <w:right w:val="outset" w:color="auto" w:sz="6" w:space="0"/>
            </w:tcBorders>
            <w:noWrap w:val="0"/>
            <w:vAlign w:val="center"/>
          </w:tcPr>
          <w:p w14:paraId="0C47CE4F">
            <w:pPr>
              <w:pStyle w:val="4"/>
              <w:rPr>
                <w:rFonts w:hint="eastAsia" w:ascii="宋体" w:hAnsi="宋体" w:eastAsia="宋体" w:cs="宋体"/>
                <w:color w:val="auto"/>
                <w:sz w:val="24"/>
                <w:szCs w:val="24"/>
              </w:rPr>
            </w:pPr>
          </w:p>
        </w:tc>
        <w:tc>
          <w:tcPr>
            <w:tcW w:w="1420" w:type="dxa"/>
            <w:vMerge w:val="continue"/>
            <w:tcBorders>
              <w:top w:val="outset" w:color="auto" w:sz="6" w:space="0"/>
              <w:left w:val="outset" w:color="auto" w:sz="6" w:space="0"/>
              <w:bottom w:val="outset" w:color="auto" w:sz="6" w:space="0"/>
              <w:right w:val="outset" w:color="auto" w:sz="6" w:space="0"/>
            </w:tcBorders>
            <w:noWrap w:val="0"/>
            <w:vAlign w:val="center"/>
          </w:tcPr>
          <w:p w14:paraId="79EC2FFD">
            <w:pPr>
              <w:pStyle w:val="4"/>
              <w:rPr>
                <w:rFonts w:hint="eastAsia" w:ascii="宋体" w:hAnsi="宋体" w:eastAsia="宋体" w:cs="宋体"/>
                <w:color w:val="auto"/>
                <w:sz w:val="24"/>
                <w:szCs w:val="24"/>
              </w:rPr>
            </w:pPr>
          </w:p>
        </w:tc>
        <w:tc>
          <w:tcPr>
            <w:tcW w:w="2045" w:type="dxa"/>
            <w:tcBorders>
              <w:top w:val="outset" w:color="auto" w:sz="6" w:space="0"/>
              <w:left w:val="outset" w:color="auto" w:sz="6" w:space="0"/>
              <w:bottom w:val="outset" w:color="auto" w:sz="6" w:space="0"/>
              <w:right w:val="outset" w:color="auto" w:sz="6" w:space="0"/>
            </w:tcBorders>
            <w:noWrap w:val="0"/>
            <w:vAlign w:val="center"/>
          </w:tcPr>
          <w:p w14:paraId="26AF2984">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投标文件签署</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0D28F0FF">
            <w:pPr>
              <w:pStyle w:val="4"/>
              <w:rPr>
                <w:rFonts w:hint="eastAsia" w:ascii="宋体" w:hAnsi="宋体" w:eastAsia="宋体" w:cs="宋体"/>
                <w:color w:val="auto"/>
                <w:sz w:val="24"/>
                <w:szCs w:val="24"/>
              </w:rPr>
            </w:pPr>
            <w:r>
              <w:rPr>
                <w:rFonts w:hint="eastAsia" w:ascii="宋体" w:hAnsi="宋体" w:eastAsia="宋体" w:cs="宋体"/>
                <w:color w:val="auto"/>
                <w:sz w:val="24"/>
                <w:szCs w:val="24"/>
              </w:rPr>
              <w:t>投标文件上法定代表人或其授权代理人的签字、供应商的单位章齐全符合采购文件规定。</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2876B697">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65FBF9C0">
            <w:pPr>
              <w:pStyle w:val="4"/>
              <w:rPr>
                <w:rFonts w:hint="eastAsia" w:ascii="宋体" w:hAnsi="宋体" w:eastAsia="宋体" w:cs="宋体"/>
                <w:color w:val="auto"/>
                <w:sz w:val="24"/>
                <w:szCs w:val="24"/>
              </w:rPr>
            </w:pPr>
          </w:p>
        </w:tc>
      </w:tr>
      <w:tr w14:paraId="0A712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680" w:hRule="atLeast"/>
        </w:trPr>
        <w:tc>
          <w:tcPr>
            <w:tcW w:w="761" w:type="dxa"/>
            <w:vMerge w:val="continue"/>
            <w:tcBorders>
              <w:right w:val="outset" w:color="auto" w:sz="6" w:space="0"/>
            </w:tcBorders>
            <w:noWrap w:val="0"/>
            <w:vAlign w:val="center"/>
          </w:tcPr>
          <w:p w14:paraId="52EC74C8">
            <w:pPr>
              <w:pStyle w:val="4"/>
              <w:rPr>
                <w:rFonts w:hint="eastAsia" w:ascii="宋体" w:hAnsi="宋体" w:eastAsia="宋体" w:cs="宋体"/>
                <w:color w:val="auto"/>
                <w:sz w:val="24"/>
                <w:szCs w:val="24"/>
              </w:rPr>
            </w:pPr>
          </w:p>
        </w:tc>
        <w:tc>
          <w:tcPr>
            <w:tcW w:w="1420" w:type="dxa"/>
            <w:vMerge w:val="continue"/>
            <w:tcBorders>
              <w:top w:val="outset" w:color="auto" w:sz="6" w:space="0"/>
              <w:left w:val="outset" w:color="auto" w:sz="6" w:space="0"/>
              <w:bottom w:val="outset" w:color="auto" w:sz="6" w:space="0"/>
              <w:right w:val="outset" w:color="auto" w:sz="6" w:space="0"/>
            </w:tcBorders>
            <w:noWrap w:val="0"/>
            <w:vAlign w:val="center"/>
          </w:tcPr>
          <w:p w14:paraId="184E5015">
            <w:pPr>
              <w:pStyle w:val="4"/>
              <w:rPr>
                <w:rFonts w:hint="eastAsia" w:ascii="宋体" w:hAnsi="宋体" w:eastAsia="宋体" w:cs="宋体"/>
                <w:color w:val="auto"/>
                <w:sz w:val="24"/>
                <w:szCs w:val="24"/>
              </w:rPr>
            </w:pPr>
          </w:p>
        </w:tc>
        <w:tc>
          <w:tcPr>
            <w:tcW w:w="2045" w:type="dxa"/>
            <w:tcBorders>
              <w:top w:val="outset" w:color="auto" w:sz="6" w:space="0"/>
              <w:left w:val="outset" w:color="auto" w:sz="6" w:space="0"/>
              <w:bottom w:val="outset" w:color="auto" w:sz="6" w:space="0"/>
              <w:right w:val="outset" w:color="auto" w:sz="6" w:space="0"/>
            </w:tcBorders>
            <w:noWrap w:val="0"/>
            <w:vAlign w:val="center"/>
          </w:tcPr>
          <w:p w14:paraId="109DA81A">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价</w:t>
            </w:r>
          </w:p>
        </w:tc>
        <w:tc>
          <w:tcPr>
            <w:tcW w:w="3198" w:type="dxa"/>
            <w:tcBorders>
              <w:top w:val="outset" w:color="auto" w:sz="6" w:space="0"/>
              <w:left w:val="outset" w:color="auto" w:sz="6" w:space="0"/>
              <w:bottom w:val="outset" w:color="auto" w:sz="6" w:space="0"/>
              <w:right w:val="outset" w:color="auto" w:sz="6" w:space="0"/>
            </w:tcBorders>
            <w:noWrap w:val="0"/>
            <w:vAlign w:val="center"/>
          </w:tcPr>
          <w:p w14:paraId="33A67599">
            <w:pPr>
              <w:pStyle w:val="4"/>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报价唯一，</w:t>
            </w:r>
            <w:r>
              <w:rPr>
                <w:rFonts w:hint="eastAsia" w:ascii="宋体" w:hAnsi="宋体" w:eastAsia="宋体" w:cs="宋体"/>
                <w:color w:val="auto"/>
                <w:sz w:val="24"/>
                <w:szCs w:val="24"/>
              </w:rPr>
              <w:t>其报价未超过采购预算金额</w:t>
            </w:r>
          </w:p>
        </w:tc>
        <w:tc>
          <w:tcPr>
            <w:tcW w:w="785" w:type="dxa"/>
            <w:tcBorders>
              <w:top w:val="outset" w:color="auto" w:sz="6" w:space="0"/>
              <w:left w:val="outset" w:color="auto" w:sz="6" w:space="0"/>
              <w:bottom w:val="outset" w:color="auto" w:sz="6" w:space="0"/>
              <w:right w:val="outset" w:color="auto" w:sz="6" w:space="0"/>
            </w:tcBorders>
            <w:noWrap w:val="0"/>
            <w:vAlign w:val="center"/>
          </w:tcPr>
          <w:p w14:paraId="31A46D08">
            <w:pPr>
              <w:pStyle w:val="4"/>
              <w:rPr>
                <w:rFonts w:hint="eastAsia" w:ascii="宋体" w:hAnsi="宋体" w:eastAsia="宋体" w:cs="宋体"/>
                <w:color w:val="auto"/>
                <w:sz w:val="24"/>
                <w:szCs w:val="24"/>
              </w:rPr>
            </w:pPr>
          </w:p>
        </w:tc>
        <w:tc>
          <w:tcPr>
            <w:tcW w:w="785" w:type="dxa"/>
            <w:tcBorders>
              <w:top w:val="outset" w:color="auto" w:sz="6" w:space="0"/>
              <w:left w:val="outset" w:color="auto" w:sz="6" w:space="0"/>
              <w:bottom w:val="outset" w:color="auto" w:sz="6" w:space="0"/>
            </w:tcBorders>
            <w:noWrap w:val="0"/>
            <w:vAlign w:val="center"/>
          </w:tcPr>
          <w:p w14:paraId="30AB772B">
            <w:pPr>
              <w:pStyle w:val="4"/>
              <w:rPr>
                <w:rFonts w:hint="eastAsia" w:ascii="宋体" w:hAnsi="宋体" w:eastAsia="宋体" w:cs="宋体"/>
                <w:color w:val="auto"/>
                <w:sz w:val="24"/>
                <w:szCs w:val="24"/>
              </w:rPr>
            </w:pPr>
          </w:p>
        </w:tc>
      </w:tr>
      <w:tr w14:paraId="60BAE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75" w:type="dxa"/>
            <w:left w:w="75" w:type="dxa"/>
            <w:bottom w:w="75" w:type="dxa"/>
            <w:right w:w="75" w:type="dxa"/>
          </w:tblCellMar>
        </w:tblPrEx>
        <w:trPr>
          <w:trHeight w:val="2120" w:hRule="atLeast"/>
        </w:trPr>
        <w:tc>
          <w:tcPr>
            <w:tcW w:w="761" w:type="dxa"/>
            <w:vMerge w:val="continue"/>
            <w:tcBorders>
              <w:right w:val="outset" w:color="auto" w:sz="6" w:space="0"/>
            </w:tcBorders>
            <w:noWrap w:val="0"/>
            <w:vAlign w:val="center"/>
          </w:tcPr>
          <w:p w14:paraId="717F7920">
            <w:pPr>
              <w:pStyle w:val="4"/>
              <w:rPr>
                <w:rFonts w:hint="eastAsia" w:ascii="宋体" w:hAnsi="宋体" w:eastAsia="宋体" w:cs="宋体"/>
                <w:color w:val="auto"/>
                <w:sz w:val="24"/>
                <w:szCs w:val="24"/>
              </w:rPr>
            </w:pPr>
          </w:p>
        </w:tc>
        <w:tc>
          <w:tcPr>
            <w:tcW w:w="1420" w:type="dxa"/>
            <w:vMerge w:val="continue"/>
            <w:tcBorders>
              <w:top w:val="outset" w:color="auto" w:sz="6" w:space="0"/>
              <w:left w:val="outset" w:color="auto" w:sz="6" w:space="0"/>
              <w:right w:val="outset" w:color="auto" w:sz="6" w:space="0"/>
            </w:tcBorders>
            <w:noWrap w:val="0"/>
            <w:vAlign w:val="center"/>
          </w:tcPr>
          <w:p w14:paraId="381413B9">
            <w:pPr>
              <w:pStyle w:val="4"/>
              <w:rPr>
                <w:rFonts w:hint="eastAsia" w:ascii="宋体" w:hAnsi="宋体" w:eastAsia="宋体" w:cs="宋体"/>
                <w:color w:val="auto"/>
                <w:sz w:val="24"/>
                <w:szCs w:val="24"/>
              </w:rPr>
            </w:pPr>
          </w:p>
        </w:tc>
        <w:tc>
          <w:tcPr>
            <w:tcW w:w="2045" w:type="dxa"/>
            <w:tcBorders>
              <w:top w:val="outset" w:color="auto" w:sz="6" w:space="0"/>
              <w:left w:val="outset" w:color="auto" w:sz="6" w:space="0"/>
              <w:right w:val="outset" w:color="auto" w:sz="6" w:space="0"/>
            </w:tcBorders>
            <w:noWrap w:val="0"/>
            <w:vAlign w:val="center"/>
          </w:tcPr>
          <w:p w14:paraId="2FBEF591">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t>其</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他</w:t>
            </w:r>
          </w:p>
        </w:tc>
        <w:tc>
          <w:tcPr>
            <w:tcW w:w="3198" w:type="dxa"/>
            <w:tcBorders>
              <w:top w:val="outset" w:color="auto" w:sz="6" w:space="0"/>
              <w:left w:val="outset" w:color="auto" w:sz="6" w:space="0"/>
              <w:right w:val="outset" w:color="auto" w:sz="6" w:space="0"/>
            </w:tcBorders>
            <w:noWrap w:val="0"/>
            <w:vAlign w:val="center"/>
          </w:tcPr>
          <w:p w14:paraId="054048FD">
            <w:pPr>
              <w:pStyle w:val="4"/>
              <w:rPr>
                <w:rFonts w:hint="eastAsia" w:ascii="宋体" w:hAnsi="宋体" w:eastAsia="宋体" w:cs="宋体"/>
                <w:color w:val="auto"/>
                <w:sz w:val="24"/>
                <w:szCs w:val="24"/>
              </w:rPr>
            </w:pPr>
            <w:r>
              <w:rPr>
                <w:rFonts w:hint="eastAsia" w:ascii="宋体" w:hAnsi="宋体" w:eastAsia="宋体" w:cs="宋体"/>
                <w:color w:val="auto"/>
                <w:sz w:val="24"/>
                <w:szCs w:val="24"/>
              </w:rPr>
              <w:t>投标文件未附有采购人不能接受的附加条件及法律、法规和采购文件规定的其他无效情形。</w:t>
            </w:r>
          </w:p>
        </w:tc>
        <w:tc>
          <w:tcPr>
            <w:tcW w:w="785" w:type="dxa"/>
            <w:tcBorders>
              <w:top w:val="outset" w:color="auto" w:sz="6" w:space="0"/>
              <w:left w:val="outset" w:color="auto" w:sz="6" w:space="0"/>
              <w:right w:val="outset" w:color="auto" w:sz="6" w:space="0"/>
            </w:tcBorders>
            <w:noWrap w:val="0"/>
            <w:vAlign w:val="center"/>
          </w:tcPr>
          <w:p w14:paraId="25FAB6DB">
            <w:pPr>
              <w:pStyle w:val="4"/>
              <w:rPr>
                <w:rFonts w:hint="eastAsia" w:ascii="宋体" w:hAnsi="宋体" w:eastAsia="宋体" w:cs="宋体"/>
                <w:color w:val="auto"/>
                <w:sz w:val="24"/>
                <w:szCs w:val="24"/>
              </w:rPr>
            </w:pPr>
          </w:p>
        </w:tc>
        <w:tc>
          <w:tcPr>
            <w:tcW w:w="785" w:type="dxa"/>
            <w:tcBorders>
              <w:top w:val="outset" w:color="auto" w:sz="6" w:space="0"/>
              <w:left w:val="outset" w:color="auto" w:sz="6" w:space="0"/>
            </w:tcBorders>
            <w:noWrap w:val="0"/>
            <w:vAlign w:val="center"/>
          </w:tcPr>
          <w:p w14:paraId="78DF9AED">
            <w:pPr>
              <w:pStyle w:val="4"/>
              <w:rPr>
                <w:rFonts w:hint="eastAsia" w:ascii="宋体" w:hAnsi="宋体" w:eastAsia="宋体" w:cs="宋体"/>
                <w:color w:val="auto"/>
                <w:sz w:val="24"/>
                <w:szCs w:val="24"/>
              </w:rPr>
            </w:pPr>
          </w:p>
        </w:tc>
      </w:tr>
    </w:tbl>
    <w:p w14:paraId="5A40037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bCs/>
          <w:color w:val="auto"/>
          <w:szCs w:val="28"/>
        </w:rPr>
      </w:pPr>
      <w:r>
        <w:rPr>
          <w:rFonts w:hint="eastAsia" w:ascii="宋体" w:hAnsi="宋体" w:cs="宋体"/>
          <w:b/>
          <w:bCs/>
          <w:color w:val="auto"/>
          <w:szCs w:val="28"/>
        </w:rPr>
        <w:br w:type="page"/>
      </w:r>
    </w:p>
    <w:p w14:paraId="0D7B4BE1">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ascii="宋体" w:hAnsi="宋体" w:cs="宋体"/>
          <w:color w:val="auto"/>
          <w:sz w:val="24"/>
          <w:szCs w:val="24"/>
        </w:rPr>
      </w:pPr>
    </w:p>
    <w:tbl>
      <w:tblPr>
        <w:tblStyle w:val="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14:paraId="2339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14:paraId="1AD5176F">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14:paraId="1AAC987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14:paraId="0465A15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14:paraId="607E2B2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14:paraId="220B1C8C">
            <w:pPr>
              <w:pStyle w:val="7"/>
              <w:keepNext w:val="0"/>
              <w:keepLines w:val="0"/>
              <w:pageBreakBefore w:val="0"/>
              <w:kinsoku/>
              <w:wordWrap/>
              <w:overflowPunct/>
              <w:topLinePunct w:val="0"/>
              <w:autoSpaceDE/>
              <w:autoSpaceDN/>
              <w:bidi w:val="0"/>
              <w:adjustRightInd/>
              <w:snapToGrid/>
              <w:spacing w:before="0" w:after="0" w:line="240" w:lineRule="auto"/>
              <w:textAlignment w:val="auto"/>
              <w:rPr>
                <w:rFonts w:ascii="宋体" w:hAnsi="宋体" w:eastAsia="宋体" w:cs="宋体"/>
                <w:color w:val="auto"/>
                <w:szCs w:val="24"/>
              </w:rPr>
            </w:pPr>
            <w:r>
              <w:rPr>
                <w:rFonts w:hint="eastAsia" w:ascii="宋体" w:hAnsi="宋体" w:eastAsia="宋体" w:cs="宋体"/>
                <w:color w:val="auto"/>
                <w:szCs w:val="24"/>
              </w:rPr>
              <w:t>说明</w:t>
            </w:r>
          </w:p>
        </w:tc>
      </w:tr>
      <w:tr w14:paraId="45EB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14:paraId="3885997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14:paraId="5C486D34">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14:paraId="49D286D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方正仿宋_GBK"/>
                <w:color w:val="auto"/>
                <w:sz w:val="24"/>
                <w:szCs w:val="24"/>
                <w:lang w:val="en-US"/>
              </w:rPr>
            </w:pPr>
            <w:r>
              <w:rPr>
                <w:rFonts w:hint="eastAsia" w:ascii="宋体" w:hAnsi="宋体" w:cs="方正仿宋_GBK"/>
                <w:color w:val="auto"/>
                <w:sz w:val="24"/>
                <w:szCs w:val="24"/>
                <w:lang w:val="en-US" w:eastAsia="zh-CN"/>
              </w:rPr>
              <w:t>30</w:t>
            </w:r>
          </w:p>
        </w:tc>
        <w:tc>
          <w:tcPr>
            <w:tcW w:w="5997" w:type="dxa"/>
            <w:noWrap w:val="0"/>
            <w:vAlign w:val="center"/>
          </w:tcPr>
          <w:p w14:paraId="185546F7">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hint="eastAsia" w:ascii="宋体" w:hAnsi="宋体" w:cs="宋体"/>
                <w:color w:val="auto"/>
                <w:sz w:val="24"/>
                <w:szCs w:val="24"/>
              </w:rPr>
            </w:pPr>
            <w:r>
              <w:rPr>
                <w:rFonts w:hint="eastAsia" w:ascii="宋体" w:hAnsi="宋体" w:cs="宋体"/>
                <w:color w:val="auto"/>
                <w:sz w:val="24"/>
                <w:szCs w:val="24"/>
              </w:rPr>
              <w:t>有效的投标报价中的最低价为评标基准价，按照下列公式计算每个投标人的投标价格得分。</w:t>
            </w:r>
          </w:p>
          <w:p w14:paraId="47EE1D31">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方正仿宋_GBK"/>
                <w:color w:val="auto"/>
                <w:sz w:val="24"/>
                <w:szCs w:val="24"/>
              </w:rPr>
            </w:pPr>
            <w:r>
              <w:rPr>
                <w:rFonts w:hint="eastAsia" w:ascii="宋体" w:hAnsi="宋体" w:cs="宋体"/>
                <w:color w:val="auto"/>
                <w:sz w:val="24"/>
                <w:szCs w:val="24"/>
              </w:rPr>
              <w:t>投标报价得分＝（评标基准价/投标报价）×</w:t>
            </w:r>
            <w:r>
              <w:rPr>
                <w:rFonts w:hint="eastAsia" w:ascii="宋体" w:hAnsi="宋体" w:cs="宋体"/>
                <w:color w:val="auto"/>
                <w:sz w:val="24"/>
                <w:szCs w:val="24"/>
                <w:lang w:val="en-US" w:eastAsia="zh-CN"/>
              </w:rPr>
              <w:t>3</w:t>
            </w:r>
            <w:r>
              <w:rPr>
                <w:rFonts w:hint="eastAsia" w:ascii="宋体" w:hAnsi="宋体" w:cs="宋体"/>
                <w:color w:val="auto"/>
                <w:sz w:val="24"/>
                <w:szCs w:val="24"/>
              </w:rPr>
              <w:t>0。</w:t>
            </w:r>
          </w:p>
        </w:tc>
        <w:tc>
          <w:tcPr>
            <w:tcW w:w="1404" w:type="dxa"/>
            <w:noWrap w:val="0"/>
            <w:vAlign w:val="center"/>
          </w:tcPr>
          <w:p w14:paraId="792B385D">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方正仿宋_GBK"/>
                <w:color w:val="auto"/>
                <w:sz w:val="24"/>
                <w:szCs w:val="24"/>
              </w:rPr>
            </w:pPr>
            <w:r>
              <w:rPr>
                <w:rFonts w:hint="eastAsia" w:ascii="宋体" w:hAnsi="宋体" w:cs="宋体"/>
                <w:color w:val="auto"/>
                <w:sz w:val="24"/>
                <w:szCs w:val="24"/>
              </w:rPr>
              <w:t>高于预算价为无效报价</w:t>
            </w:r>
          </w:p>
        </w:tc>
      </w:tr>
      <w:tr w14:paraId="1581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14:paraId="47BC858E">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14:paraId="117759A8">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14:paraId="608B56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微软雅黑" w:cs="方正仿宋_GBK"/>
                <w:color w:val="auto"/>
                <w:sz w:val="24"/>
                <w:szCs w:val="24"/>
                <w:lang w:val="en-US" w:eastAsia="zh-CN"/>
              </w:rPr>
            </w:pPr>
            <w:r>
              <w:rPr>
                <w:rFonts w:hint="eastAsia" w:ascii="宋体" w:hAnsi="宋体" w:eastAsia="微软雅黑" w:cs="方正仿宋_GBK"/>
                <w:color w:val="auto"/>
                <w:sz w:val="24"/>
                <w:szCs w:val="24"/>
                <w:lang w:val="en-US" w:eastAsia="zh-CN"/>
              </w:rPr>
              <w:t>50</w:t>
            </w:r>
          </w:p>
        </w:tc>
        <w:tc>
          <w:tcPr>
            <w:tcW w:w="5997" w:type="dxa"/>
            <w:noWrap w:val="0"/>
            <w:vAlign w:val="center"/>
          </w:tcPr>
          <w:p w14:paraId="2A916F84">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14:paraId="39A02CBD">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1、服务方案。（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4F560D50">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①方案描述清晰，完整可行，得</w:t>
            </w:r>
            <w:r>
              <w:rPr>
                <w:rFonts w:hint="eastAsia" w:ascii="宋体" w:hAnsi="宋体" w:cs="宋体"/>
                <w:color w:val="auto"/>
                <w:sz w:val="24"/>
                <w:szCs w:val="24"/>
                <w:lang w:val="en-US" w:eastAsia="zh-CN"/>
              </w:rPr>
              <w:t>14-20</w:t>
            </w:r>
            <w:r>
              <w:rPr>
                <w:rFonts w:hint="eastAsia" w:ascii="宋体" w:hAnsi="宋体" w:cs="宋体"/>
                <w:color w:val="auto"/>
                <w:sz w:val="24"/>
                <w:szCs w:val="24"/>
              </w:rPr>
              <w:t>分。</w:t>
            </w:r>
          </w:p>
          <w:p w14:paraId="786A4DF1">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②方案描述较清晰，较可行，得</w:t>
            </w:r>
            <w:r>
              <w:rPr>
                <w:rFonts w:hint="eastAsia" w:ascii="宋体" w:hAnsi="宋体" w:cs="宋体"/>
                <w:color w:val="auto"/>
                <w:sz w:val="24"/>
                <w:szCs w:val="24"/>
                <w:lang w:val="en-US" w:eastAsia="zh-CN"/>
              </w:rPr>
              <w:t>7</w:t>
            </w: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分。</w:t>
            </w:r>
          </w:p>
          <w:p w14:paraId="5B6A40F8">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③方案描述不够清晰，可行性一般，得1-7分。</w:t>
            </w:r>
          </w:p>
          <w:p w14:paraId="06B63F4B">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④无方案，得0分。</w:t>
            </w:r>
          </w:p>
          <w:p w14:paraId="0C786D88">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hint="eastAsia" w:ascii="宋体" w:hAnsi="宋体" w:cs="宋体"/>
                <w:color w:val="auto"/>
                <w:sz w:val="24"/>
                <w:szCs w:val="24"/>
              </w:rPr>
            </w:pPr>
          </w:p>
          <w:p w14:paraId="77A7E3C7">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2、服务质量保障方案。（</w:t>
            </w:r>
            <w:r>
              <w:rPr>
                <w:rFonts w:hint="eastAsia" w:ascii="宋体" w:hAnsi="宋体" w:cs="宋体"/>
                <w:color w:val="auto"/>
                <w:sz w:val="24"/>
                <w:szCs w:val="24"/>
                <w:lang w:val="en-US" w:eastAsia="zh-CN"/>
              </w:rPr>
              <w:t>20</w:t>
            </w:r>
            <w:r>
              <w:rPr>
                <w:rFonts w:hint="eastAsia" w:ascii="宋体" w:hAnsi="宋体" w:cs="宋体"/>
                <w:color w:val="auto"/>
                <w:sz w:val="24"/>
                <w:szCs w:val="24"/>
              </w:rPr>
              <w:t>分）</w:t>
            </w:r>
          </w:p>
          <w:p w14:paraId="61B290E2">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①方案描述清晰，完整</w:t>
            </w:r>
            <w:bookmarkStart w:id="0" w:name="_GoBack"/>
            <w:bookmarkEnd w:id="0"/>
            <w:r>
              <w:rPr>
                <w:rFonts w:hint="eastAsia" w:ascii="宋体" w:hAnsi="宋体" w:cs="宋体"/>
                <w:color w:val="auto"/>
                <w:sz w:val="24"/>
                <w:szCs w:val="24"/>
              </w:rPr>
              <w:t>可行，得</w:t>
            </w:r>
            <w:r>
              <w:rPr>
                <w:rFonts w:hint="eastAsia" w:ascii="宋体" w:hAnsi="宋体" w:cs="宋体"/>
                <w:color w:val="auto"/>
                <w:sz w:val="24"/>
                <w:szCs w:val="24"/>
                <w:lang w:val="en-US" w:eastAsia="zh-CN"/>
              </w:rPr>
              <w:t>14-20</w:t>
            </w:r>
            <w:r>
              <w:rPr>
                <w:rFonts w:hint="eastAsia" w:ascii="宋体" w:hAnsi="宋体" w:cs="宋体"/>
                <w:color w:val="auto"/>
                <w:sz w:val="24"/>
                <w:szCs w:val="24"/>
              </w:rPr>
              <w:t>分。</w:t>
            </w:r>
          </w:p>
          <w:p w14:paraId="3513B0A5">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②方案描述较清晰，较可行，得</w:t>
            </w:r>
            <w:r>
              <w:rPr>
                <w:rFonts w:hint="eastAsia" w:ascii="宋体" w:hAnsi="宋体" w:cs="宋体"/>
                <w:color w:val="auto"/>
                <w:sz w:val="24"/>
                <w:szCs w:val="24"/>
                <w:lang w:val="en-US" w:eastAsia="zh-CN"/>
              </w:rPr>
              <w:t>7-13</w:t>
            </w:r>
            <w:r>
              <w:rPr>
                <w:rFonts w:hint="eastAsia" w:ascii="宋体" w:hAnsi="宋体" w:cs="宋体"/>
                <w:color w:val="auto"/>
                <w:sz w:val="24"/>
                <w:szCs w:val="24"/>
              </w:rPr>
              <w:t>分。</w:t>
            </w:r>
          </w:p>
          <w:p w14:paraId="50BA1B2B">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14:paraId="75A186E1">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④无方案，得0分。</w:t>
            </w:r>
          </w:p>
          <w:p w14:paraId="575D2207">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p>
          <w:p w14:paraId="3AB44372">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、服务</w:t>
            </w:r>
            <w:r>
              <w:rPr>
                <w:rFonts w:hint="eastAsia" w:ascii="宋体" w:hAnsi="宋体" w:cs="宋体"/>
                <w:color w:val="auto"/>
                <w:sz w:val="24"/>
                <w:szCs w:val="24"/>
                <w:lang w:val="en-US" w:eastAsia="zh-CN"/>
              </w:rPr>
              <w:t>承诺</w:t>
            </w:r>
            <w:r>
              <w:rPr>
                <w:rFonts w:hint="eastAsia" w:ascii="宋体" w:hAnsi="宋体" w:cs="宋体"/>
                <w:color w:val="auto"/>
                <w:sz w:val="24"/>
                <w:szCs w:val="24"/>
              </w:rPr>
              <w:t>（10分）</w:t>
            </w:r>
          </w:p>
          <w:p w14:paraId="67D30DAF">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①方案描述清晰，完整可行，得10分。</w:t>
            </w:r>
          </w:p>
          <w:p w14:paraId="31FAF284">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②方案描述较清晰，较可行，得5-9分。</w:t>
            </w:r>
          </w:p>
          <w:p w14:paraId="78BD2687">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③方案描述不够清晰，可行性一般，得1-4分。</w:t>
            </w:r>
          </w:p>
          <w:p w14:paraId="6F0350A5">
            <w:pPr>
              <w:keepNext w:val="0"/>
              <w:keepLines w:val="0"/>
              <w:pageBreakBefore w:val="0"/>
              <w:widowControl/>
              <w:kinsoku/>
              <w:wordWrap/>
              <w:overflowPunct/>
              <w:topLinePunct w:val="0"/>
              <w:autoSpaceDE/>
              <w:autoSpaceDN/>
              <w:bidi w:val="0"/>
              <w:adjustRightInd/>
              <w:snapToGrid/>
              <w:spacing w:line="240" w:lineRule="auto"/>
              <w:textAlignment w:val="auto"/>
              <w:outlineLvl w:val="2"/>
              <w:rPr>
                <w:rFonts w:ascii="宋体" w:hAnsi="宋体" w:cs="宋体"/>
                <w:color w:val="auto"/>
                <w:sz w:val="24"/>
                <w:szCs w:val="24"/>
              </w:rPr>
            </w:pPr>
            <w:r>
              <w:rPr>
                <w:rFonts w:hint="eastAsia" w:ascii="宋体" w:hAnsi="宋体" w:cs="宋体"/>
                <w:color w:val="auto"/>
                <w:sz w:val="24"/>
                <w:szCs w:val="24"/>
              </w:rPr>
              <w:t>④无方案，得0分。</w:t>
            </w:r>
          </w:p>
        </w:tc>
        <w:tc>
          <w:tcPr>
            <w:tcW w:w="1404" w:type="dxa"/>
            <w:noWrap w:val="0"/>
            <w:vAlign w:val="center"/>
          </w:tcPr>
          <w:p w14:paraId="33A6A452">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14:paraId="5560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14:paraId="580B606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14:paraId="7BEC07B0">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14:paraId="37F6D4B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2"/>
              <w:rPr>
                <w:rFonts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0</w:t>
            </w:r>
          </w:p>
        </w:tc>
        <w:tc>
          <w:tcPr>
            <w:tcW w:w="5997" w:type="dxa"/>
            <w:noWrap w:val="0"/>
            <w:vAlign w:val="center"/>
          </w:tcPr>
          <w:p w14:paraId="25A46FD9">
            <w:pPr>
              <w:pStyle w:val="8"/>
              <w:keepNext w:val="0"/>
              <w:keepLines w:val="0"/>
              <w:pageBreakBefore w:val="0"/>
              <w:kinsoku/>
              <w:wordWrap/>
              <w:overflowPunct/>
              <w:topLinePunct w:val="0"/>
              <w:autoSpaceDE/>
              <w:autoSpaceDN/>
              <w:bidi w:val="0"/>
              <w:adjustRightInd/>
              <w:snapToGrid/>
              <w:spacing w:line="25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1、类似业绩。（20分）</w:t>
            </w:r>
          </w:p>
          <w:p w14:paraId="0220D2A6">
            <w:pPr>
              <w:pStyle w:val="8"/>
              <w:keepNext w:val="0"/>
              <w:keepLines w:val="0"/>
              <w:pageBreakBefore w:val="0"/>
              <w:kinsoku/>
              <w:wordWrap/>
              <w:overflowPunct/>
              <w:topLinePunct w:val="0"/>
              <w:autoSpaceDE/>
              <w:autoSpaceDN/>
              <w:bidi w:val="0"/>
              <w:adjustRightInd/>
              <w:snapToGrid/>
              <w:spacing w:line="250" w:lineRule="exact"/>
              <w:textAlignment w:val="auto"/>
              <w:rPr>
                <w:rFonts w:ascii="宋体" w:hAnsi="宋体" w:cs="宋体"/>
                <w:color w:val="auto"/>
                <w:sz w:val="24"/>
                <w:szCs w:val="24"/>
              </w:rPr>
            </w:pPr>
            <w:r>
              <w:rPr>
                <w:rFonts w:hint="eastAsia" w:ascii="宋体" w:hAnsi="宋体" w:eastAsia="宋体" w:cs="宋体"/>
                <w:color w:val="auto"/>
                <w:sz w:val="24"/>
                <w:szCs w:val="24"/>
                <w:lang w:eastAsia="zh-CN"/>
              </w:rPr>
              <w:t>供应商自20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月起在全国范围内提供过类似服务的，一个得5分，须付相关证明文件（中标/成交通知书或合同协议书或竣工验收证明），共20分。</w:t>
            </w:r>
          </w:p>
        </w:tc>
        <w:tc>
          <w:tcPr>
            <w:tcW w:w="1404" w:type="dxa"/>
            <w:noWrap w:val="0"/>
            <w:vAlign w:val="center"/>
          </w:tcPr>
          <w:p w14:paraId="7843D499">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方正仿宋_GBK"/>
                <w:color w:val="auto"/>
                <w:sz w:val="24"/>
                <w:szCs w:val="24"/>
              </w:rPr>
            </w:pPr>
            <w:r>
              <w:rPr>
                <w:rFonts w:hint="eastAsia" w:ascii="宋体" w:hAnsi="宋体" w:cs="宋体"/>
                <w:color w:val="auto"/>
                <w:sz w:val="24"/>
                <w:szCs w:val="24"/>
              </w:rPr>
              <w:t>提供合同或其他有效证明文件扫描件。</w:t>
            </w:r>
          </w:p>
        </w:tc>
      </w:tr>
    </w:tbl>
    <w:p w14:paraId="2A3EF8DA">
      <w:pPr>
        <w:pageBreakBefore w:val="0"/>
        <w:kinsoku/>
        <w:wordWrap/>
        <w:overflowPunct/>
        <w:topLinePunct w:val="0"/>
        <w:autoSpaceDE/>
        <w:autoSpaceDN/>
        <w:bidi w:val="0"/>
        <w:adjustRightInd/>
        <w:spacing w:line="240" w:lineRule="auto"/>
        <w:jc w:val="both"/>
        <w:textAlignment w:val="auto"/>
        <w:rPr>
          <w:rFonts w:hint="eastAsia" w:ascii="宋体" w:hAnsi="宋体" w:cs="宋体"/>
          <w:b/>
          <w:color w:val="auto"/>
          <w:szCs w:val="28"/>
        </w:rPr>
      </w:pPr>
    </w:p>
    <w:p w14:paraId="237A22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ZjAwNDk3N2NhOTEzNTM4MWIxNTI1ZDhiM2YzMWUifQ=="/>
  </w:docVars>
  <w:rsids>
    <w:rsidRoot w:val="00000000"/>
    <w:rsid w:val="62B4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next w:val="5"/>
    <w:qFormat/>
    <w:uiPriority w:val="0"/>
    <w:pPr>
      <w:jc w:val="both"/>
    </w:pPr>
    <w:rPr>
      <w:rFonts w:ascii="Times New Roman" w:hAnsi="Times New Roman" w:eastAsia="宋体" w:cs="Times New Roman"/>
      <w:kern w:val="2"/>
      <w:sz w:val="21"/>
      <w:szCs w:val="21"/>
      <w:lang w:val="en-US" w:eastAsia="zh-CN" w:bidi="ar-SA"/>
    </w:rPr>
  </w:style>
  <w:style w:type="paragraph" w:customStyle="1" w:styleId="5">
    <w:name w:val="Body Text"/>
    <w:basedOn w:val="4"/>
    <w:next w:val="6"/>
    <w:qFormat/>
    <w:uiPriority w:val="0"/>
    <w:pPr>
      <w:spacing w:after="120"/>
    </w:pPr>
    <w:rPr>
      <w:sz w:val="21"/>
    </w:rPr>
  </w:style>
  <w:style w:type="paragraph" w:customStyle="1" w:styleId="6">
    <w:name w:val="_Style 2_0"/>
    <w:basedOn w:val="4"/>
    <w:qFormat/>
    <w:uiPriority w:val="0"/>
    <w:pPr>
      <w:ind w:firstLine="420" w:firstLineChars="200"/>
    </w:pPr>
  </w:style>
  <w:style w:type="paragraph" w:customStyle="1" w:styleId="7">
    <w:name w:val="图例"/>
    <w:basedOn w:val="1"/>
    <w:qFormat/>
    <w:uiPriority w:val="0"/>
    <w:pPr>
      <w:spacing w:before="120" w:after="120" w:line="360" w:lineRule="auto"/>
      <w:jc w:val="center"/>
    </w:pPr>
    <w:rPr>
      <w:rFonts w:eastAsia="仿宋_GB2312"/>
      <w:b/>
      <w:sz w:val="24"/>
    </w:rPr>
  </w:style>
  <w:style w:type="paragraph" w:customStyle="1" w:styleId="8">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十师北屯工业园区朱忠喜</cp:lastModifiedBy>
  <dcterms:modified xsi:type="dcterms:W3CDTF">2024-07-17T10:37:26Z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0244DB43C61F4801B01AC051ABE44440_12</vt:lpwstr>
  </property>
</Properties>
</file>