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F00C5">
      <w:pPr>
        <w:keepNext/>
        <w:keepLines/>
        <w:widowControl w:val="0"/>
        <w:spacing w:before="0" w:after="0" w:line="312" w:lineRule="auto"/>
        <w:jc w:val="both"/>
        <w:outlineLvl w:val="1"/>
        <w:rPr>
          <w:rFonts w:ascii="宋体" w:hAnsi="宋体" w:eastAsia="宋体" w:cs="宋体"/>
          <w:b/>
          <w:bCs/>
          <w:kern w:val="2"/>
          <w:sz w:val="36"/>
          <w:szCs w:val="30"/>
          <w:lang w:val="en-US" w:eastAsia="zh-CN" w:bidi="ar-SA"/>
        </w:rPr>
      </w:pPr>
      <w:r>
        <w:rPr>
          <w:rFonts w:hint="eastAsia" w:ascii="宋体" w:hAnsi="宋体" w:eastAsia="宋体" w:cs="宋体"/>
          <w:b/>
          <w:bCs/>
          <w:kern w:val="2"/>
          <w:sz w:val="36"/>
          <w:szCs w:val="30"/>
          <w:lang w:val="en-US" w:eastAsia="zh-CN" w:bidi="ar-SA"/>
        </w:rPr>
        <w:t>第四篇 谈判程序及方法、评审标准、无效响应和</w:t>
      </w:r>
      <w:r>
        <w:rPr>
          <w:rFonts w:hint="eastAsia" w:ascii="宋体" w:hAnsi="宋体" w:eastAsia="宋体" w:cs="宋体"/>
          <w:b/>
          <w:bCs/>
          <w:kern w:val="2"/>
          <w:sz w:val="36"/>
          <w:szCs w:val="36"/>
          <w:lang w:val="en-US" w:eastAsia="zh-CN" w:bidi="ar-SA"/>
        </w:rPr>
        <w:t>采购终止</w:t>
      </w:r>
    </w:p>
    <w:p w14:paraId="420C3F8F">
      <w:pPr>
        <w:keepNext/>
        <w:keepLines/>
        <w:widowControl w:val="0"/>
        <w:spacing w:before="0" w:after="0" w:line="360" w:lineRule="auto"/>
        <w:jc w:val="both"/>
        <w:outlineLvl w:val="2"/>
        <w:rPr>
          <w:rFonts w:hint="eastAsia" w:ascii="宋体" w:hAnsi="宋体" w:eastAsia="宋体" w:cs="宋体"/>
          <w:b/>
          <w:kern w:val="2"/>
          <w:sz w:val="24"/>
          <w:szCs w:val="24"/>
          <w:lang w:val="en-US" w:eastAsia="zh-CN" w:bidi="ar-SA"/>
        </w:rPr>
      </w:pPr>
      <w:bookmarkStart w:id="0" w:name="_Toc3500"/>
      <w:bookmarkStart w:id="1" w:name="_Toc138018593"/>
      <w:r>
        <w:rPr>
          <w:rFonts w:hint="eastAsia" w:ascii="宋体" w:hAnsi="宋体" w:eastAsia="宋体" w:cs="宋体"/>
          <w:b/>
          <w:kern w:val="2"/>
          <w:sz w:val="24"/>
          <w:szCs w:val="24"/>
          <w:lang w:val="en-US" w:eastAsia="zh-CN" w:bidi="ar-SA"/>
        </w:rPr>
        <w:t>一、谈判程序及方法</w:t>
      </w:r>
      <w:bookmarkEnd w:id="0"/>
      <w:bookmarkEnd w:id="1"/>
    </w:p>
    <w:p w14:paraId="4FAA634F">
      <w:pPr>
        <w:spacing w:line="360" w:lineRule="auto"/>
        <w:ind w:firstLine="480" w:firstLineChars="200"/>
        <w:rPr>
          <w:rFonts w:hint="eastAsia" w:ascii="宋体" w:hAnsi="宋体" w:cs="宋体"/>
          <w:sz w:val="24"/>
          <w:szCs w:val="24"/>
        </w:rPr>
      </w:pPr>
      <w:r>
        <w:rPr>
          <w:rFonts w:hint="eastAsia" w:ascii="宋体" w:hAnsi="宋体" w:cs="宋体"/>
          <w:sz w:val="24"/>
          <w:szCs w:val="24"/>
        </w:rPr>
        <w:t>（一）谈判按谈判文件规定的时间和地点进行，供应商须有法定代表人或其授权代表参加并签到。线下谈判以供应商签到顺序确定谈判顺序，由本项目的谈判小组分别与各供应商进行谈判。</w:t>
      </w:r>
    </w:p>
    <w:p w14:paraId="386A4CA3">
      <w:pPr>
        <w:spacing w:line="360" w:lineRule="auto"/>
        <w:ind w:firstLine="480" w:firstLineChars="200"/>
        <w:rPr>
          <w:rFonts w:hint="eastAsia" w:ascii="宋体" w:hAnsi="宋体" w:cs="宋体"/>
          <w:sz w:val="24"/>
          <w:szCs w:val="24"/>
        </w:rPr>
      </w:pPr>
      <w:r>
        <w:rPr>
          <w:rFonts w:hint="eastAsia" w:ascii="宋体" w:hAnsi="宋体" w:cs="宋体"/>
          <w:sz w:val="24"/>
          <w:szCs w:val="24"/>
        </w:rPr>
        <w:t>（二）谈判小组对各供应商的资格条件、响应文件的有效性、完整性和响应程度进行审查。各供应商只有在完全符合要求的前提下，才能参与正式谈判。</w:t>
      </w:r>
    </w:p>
    <w:p w14:paraId="6FD4960C">
      <w:pPr>
        <w:snapToGrid w:val="0"/>
        <w:spacing w:line="360" w:lineRule="auto"/>
        <w:ind w:firstLine="480" w:firstLineChars="200"/>
        <w:rPr>
          <w:rFonts w:hint="eastAsia"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资格性检查。依据法律法规和谈判采购文件的规定，对响应文件中的资格证明进行审查，以确定供应商是否具备谈判资格。资格性检查资料表如下：</w:t>
      </w:r>
    </w:p>
    <w:tbl>
      <w:tblPr>
        <w:tblStyle w:val="5"/>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792"/>
        <w:gridCol w:w="5301"/>
      </w:tblGrid>
      <w:tr w14:paraId="4C3F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center"/>
          </w:tcPr>
          <w:p w14:paraId="6CFFFE07">
            <w:pPr>
              <w:spacing w:line="360" w:lineRule="auto"/>
              <w:jc w:val="center"/>
              <w:rPr>
                <w:rFonts w:hint="eastAsia" w:ascii="宋体" w:hAnsi="宋体" w:cs="宋体"/>
                <w:b/>
                <w:kern w:val="0"/>
                <w:sz w:val="21"/>
                <w:szCs w:val="21"/>
              </w:rPr>
            </w:pPr>
            <w:r>
              <w:rPr>
                <w:rFonts w:hint="eastAsia" w:ascii="宋体" w:hAnsi="宋体" w:cs="宋体"/>
                <w:b/>
                <w:kern w:val="0"/>
                <w:sz w:val="21"/>
                <w:szCs w:val="21"/>
              </w:rPr>
              <w:t>序号</w:t>
            </w:r>
          </w:p>
        </w:tc>
        <w:tc>
          <w:tcPr>
            <w:tcW w:w="4501" w:type="dxa"/>
            <w:gridSpan w:val="2"/>
            <w:noWrap w:val="0"/>
            <w:vAlign w:val="center"/>
          </w:tcPr>
          <w:p w14:paraId="37A5EE26">
            <w:pPr>
              <w:spacing w:line="360" w:lineRule="auto"/>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301" w:type="dxa"/>
            <w:noWrap w:val="0"/>
            <w:vAlign w:val="center"/>
          </w:tcPr>
          <w:p w14:paraId="25DF76C4">
            <w:pPr>
              <w:spacing w:line="360" w:lineRule="auto"/>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4ADA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76" w:type="dxa"/>
            <w:vMerge w:val="restart"/>
            <w:noWrap w:val="0"/>
            <w:vAlign w:val="center"/>
          </w:tcPr>
          <w:p w14:paraId="25C4D0ED">
            <w:pPr>
              <w:spacing w:line="360" w:lineRule="auto"/>
              <w:jc w:val="center"/>
              <w:rPr>
                <w:rFonts w:hint="eastAsia" w:ascii="宋体" w:hAnsi="宋体" w:cs="宋体"/>
                <w:sz w:val="21"/>
                <w:szCs w:val="21"/>
              </w:rPr>
            </w:pPr>
            <w:r>
              <w:rPr>
                <w:rFonts w:hint="eastAsia" w:ascii="宋体" w:hAnsi="宋体" w:cs="宋体"/>
                <w:sz w:val="21"/>
                <w:szCs w:val="21"/>
              </w:rPr>
              <w:t>1</w:t>
            </w:r>
          </w:p>
        </w:tc>
        <w:tc>
          <w:tcPr>
            <w:tcW w:w="709" w:type="dxa"/>
            <w:vMerge w:val="restart"/>
            <w:noWrap w:val="0"/>
            <w:vAlign w:val="center"/>
          </w:tcPr>
          <w:p w14:paraId="64584A81">
            <w:pPr>
              <w:spacing w:line="360" w:lineRule="auto"/>
              <w:rPr>
                <w:rFonts w:hint="eastAsia" w:ascii="宋体" w:hAnsi="宋体" w:cs="宋体"/>
                <w:sz w:val="21"/>
                <w:szCs w:val="21"/>
                <w:lang w:val="zh-CN"/>
              </w:rPr>
            </w:pPr>
            <w:r>
              <w:rPr>
                <w:rFonts w:hint="eastAsia" w:ascii="宋体" w:hAnsi="宋体" w:cs="宋体"/>
                <w:sz w:val="21"/>
                <w:szCs w:val="21"/>
              </w:rPr>
              <w:t>供应商</w:t>
            </w:r>
            <w:r>
              <w:rPr>
                <w:rFonts w:hint="eastAsia" w:ascii="宋体" w:hAnsi="宋体" w:cs="宋体"/>
                <w:sz w:val="21"/>
                <w:szCs w:val="21"/>
                <w:lang w:val="zh-CN"/>
              </w:rPr>
              <w:t>应符合的基本资格条件</w:t>
            </w:r>
          </w:p>
        </w:tc>
        <w:tc>
          <w:tcPr>
            <w:tcW w:w="3792" w:type="dxa"/>
            <w:noWrap w:val="0"/>
            <w:vAlign w:val="center"/>
          </w:tcPr>
          <w:p w14:paraId="53B2C8F6">
            <w:pPr>
              <w:spacing w:line="240" w:lineRule="auto"/>
              <w:rPr>
                <w:rFonts w:hint="eastAsia" w:ascii="宋体" w:hAnsi="宋体" w:cs="宋体"/>
                <w:sz w:val="21"/>
                <w:szCs w:val="21"/>
              </w:rPr>
            </w:pPr>
            <w:r>
              <w:rPr>
                <w:rFonts w:hint="eastAsia" w:ascii="宋体" w:hAnsi="宋体" w:cs="宋体"/>
                <w:sz w:val="21"/>
                <w:szCs w:val="21"/>
                <w:lang w:val="en-US" w:eastAsia="zh-CN"/>
              </w:rPr>
              <w:t>1.具有独立承担民事责任的能力,提供有效的营业执照或者其他主体资格证明文件;</w:t>
            </w:r>
          </w:p>
        </w:tc>
        <w:tc>
          <w:tcPr>
            <w:tcW w:w="5301" w:type="dxa"/>
            <w:noWrap w:val="0"/>
            <w:vAlign w:val="center"/>
          </w:tcPr>
          <w:p w14:paraId="11FFCAE0">
            <w:pPr>
              <w:spacing w:line="240" w:lineRule="auto"/>
              <w:rPr>
                <w:rFonts w:hint="eastAsia" w:ascii="宋体" w:hAnsi="宋体" w:cs="宋体"/>
                <w:sz w:val="21"/>
                <w:szCs w:val="21"/>
              </w:rPr>
            </w:pPr>
            <w:r>
              <w:rPr>
                <w:rFonts w:hint="eastAsia" w:ascii="宋体" w:hAnsi="宋体" w:cs="宋体"/>
                <w:sz w:val="21"/>
                <w:szCs w:val="21"/>
              </w:rPr>
              <w:t>提供有效的营业执照或者其他主体资格证明文件、供应商法定代表人身份证明和法定代表人授权代表委托书。</w:t>
            </w:r>
          </w:p>
        </w:tc>
      </w:tr>
      <w:tr w14:paraId="6A3E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76" w:type="dxa"/>
            <w:vMerge w:val="continue"/>
            <w:noWrap w:val="0"/>
            <w:vAlign w:val="center"/>
          </w:tcPr>
          <w:p w14:paraId="6A569CEF">
            <w:pPr>
              <w:spacing w:line="360" w:lineRule="auto"/>
              <w:jc w:val="center"/>
              <w:rPr>
                <w:rFonts w:hint="eastAsia" w:ascii="宋体" w:hAnsi="宋体" w:cs="宋体"/>
                <w:sz w:val="21"/>
                <w:szCs w:val="21"/>
              </w:rPr>
            </w:pPr>
          </w:p>
        </w:tc>
        <w:tc>
          <w:tcPr>
            <w:tcW w:w="709" w:type="dxa"/>
            <w:vMerge w:val="continue"/>
            <w:noWrap w:val="0"/>
            <w:vAlign w:val="center"/>
          </w:tcPr>
          <w:p w14:paraId="0AB0ED49">
            <w:pPr>
              <w:spacing w:line="360" w:lineRule="auto"/>
              <w:rPr>
                <w:rFonts w:hint="eastAsia" w:ascii="宋体" w:hAnsi="宋体" w:cs="宋体"/>
                <w:sz w:val="21"/>
                <w:szCs w:val="21"/>
                <w:lang w:val="zh-CN"/>
              </w:rPr>
            </w:pPr>
          </w:p>
        </w:tc>
        <w:tc>
          <w:tcPr>
            <w:tcW w:w="3792" w:type="dxa"/>
            <w:noWrap w:val="0"/>
            <w:vAlign w:val="center"/>
          </w:tcPr>
          <w:p w14:paraId="634D8BE9">
            <w:pPr>
              <w:spacing w:line="240"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具有良好的商业信誉和健全的财务会计制度</w:t>
            </w:r>
          </w:p>
        </w:tc>
        <w:tc>
          <w:tcPr>
            <w:tcW w:w="5301" w:type="dxa"/>
            <w:noWrap w:val="0"/>
            <w:vAlign w:val="center"/>
          </w:tcPr>
          <w:p w14:paraId="18236030">
            <w:pPr>
              <w:spacing w:line="240" w:lineRule="auto"/>
              <w:rPr>
                <w:rFonts w:hint="eastAsia" w:ascii="宋体" w:hAnsi="宋体" w:cs="宋体"/>
                <w:sz w:val="21"/>
                <w:szCs w:val="21"/>
                <w:lang w:val="zh-CN"/>
              </w:rPr>
            </w:pPr>
            <w:r>
              <w:rPr>
                <w:rFonts w:hint="eastAsia" w:ascii="宋体" w:hAnsi="宋体" w:cs="宋体"/>
                <w:sz w:val="21"/>
                <w:szCs w:val="21"/>
              </w:rPr>
              <w:t>提供近一年（2022年</w:t>
            </w:r>
            <w:r>
              <w:rPr>
                <w:rFonts w:hint="eastAsia" w:ascii="宋体" w:hAnsi="宋体" w:cs="宋体"/>
                <w:sz w:val="21"/>
                <w:szCs w:val="21"/>
                <w:lang w:val="en-US" w:eastAsia="zh-CN"/>
              </w:rPr>
              <w:t>或2023年</w:t>
            </w:r>
            <w:r>
              <w:rPr>
                <w:rFonts w:hint="eastAsia" w:ascii="宋体" w:hAnsi="宋体" w:cs="宋体"/>
                <w:sz w:val="21"/>
                <w:szCs w:val="21"/>
              </w:rPr>
              <w:t>）的财务审计报告和财务报表，成立不满一年的无需提供。</w:t>
            </w:r>
          </w:p>
        </w:tc>
      </w:tr>
      <w:tr w14:paraId="34F3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76" w:type="dxa"/>
            <w:vMerge w:val="continue"/>
            <w:noWrap w:val="0"/>
            <w:vAlign w:val="center"/>
          </w:tcPr>
          <w:p w14:paraId="16E710F9">
            <w:pPr>
              <w:spacing w:line="360" w:lineRule="auto"/>
              <w:jc w:val="center"/>
              <w:rPr>
                <w:rFonts w:hint="eastAsia" w:ascii="宋体" w:hAnsi="宋体" w:cs="宋体"/>
                <w:sz w:val="21"/>
                <w:szCs w:val="21"/>
              </w:rPr>
            </w:pPr>
          </w:p>
        </w:tc>
        <w:tc>
          <w:tcPr>
            <w:tcW w:w="709" w:type="dxa"/>
            <w:vMerge w:val="continue"/>
            <w:noWrap w:val="0"/>
            <w:vAlign w:val="center"/>
          </w:tcPr>
          <w:p w14:paraId="43D6B93E">
            <w:pPr>
              <w:spacing w:line="360" w:lineRule="auto"/>
              <w:rPr>
                <w:rFonts w:hint="eastAsia" w:ascii="宋体" w:hAnsi="宋体" w:cs="宋体"/>
                <w:sz w:val="21"/>
                <w:szCs w:val="21"/>
                <w:lang w:val="zh-CN"/>
              </w:rPr>
            </w:pPr>
          </w:p>
        </w:tc>
        <w:tc>
          <w:tcPr>
            <w:tcW w:w="3792" w:type="dxa"/>
            <w:noWrap w:val="0"/>
            <w:vAlign w:val="center"/>
          </w:tcPr>
          <w:p w14:paraId="58EF7B1B">
            <w:pPr>
              <w:spacing w:line="240" w:lineRule="auto"/>
              <w:rPr>
                <w:rFonts w:hint="eastAsia" w:ascii="宋体" w:hAnsi="宋体" w:cs="宋体"/>
                <w:sz w:val="21"/>
                <w:szCs w:val="21"/>
                <w:lang w:val="zh-CN"/>
              </w:rPr>
            </w:pPr>
            <w:r>
              <w:rPr>
                <w:rFonts w:hint="eastAsia" w:ascii="宋体" w:hAnsi="宋体" w:cs="宋体"/>
                <w:sz w:val="21"/>
                <w:szCs w:val="21"/>
                <w:lang w:val="en-US" w:eastAsia="zh-CN"/>
              </w:rPr>
              <w:t>3.</w:t>
            </w:r>
            <w:r>
              <w:rPr>
                <w:rFonts w:hint="eastAsia" w:ascii="宋体" w:hAnsi="宋体" w:cs="宋体"/>
                <w:sz w:val="21"/>
                <w:szCs w:val="21"/>
                <w:lang w:val="zh-CN"/>
              </w:rPr>
              <w:t>具有履行合同所必需的设备和专业技术能力</w:t>
            </w:r>
          </w:p>
        </w:tc>
        <w:tc>
          <w:tcPr>
            <w:tcW w:w="5301" w:type="dxa"/>
            <w:noWrap w:val="0"/>
            <w:vAlign w:val="center"/>
          </w:tcPr>
          <w:p w14:paraId="65C5113D">
            <w:pPr>
              <w:spacing w:line="240" w:lineRule="auto"/>
              <w:rPr>
                <w:rFonts w:hint="eastAsia" w:ascii="宋体" w:hAnsi="宋体" w:cs="宋体"/>
                <w:sz w:val="21"/>
                <w:szCs w:val="21"/>
                <w:lang w:val="zh-CN"/>
              </w:rPr>
            </w:pPr>
            <w:r>
              <w:rPr>
                <w:rFonts w:hint="eastAsia" w:ascii="宋体" w:hAnsi="宋体" w:cs="宋体"/>
                <w:sz w:val="21"/>
                <w:szCs w:val="21"/>
              </w:rPr>
              <w:t>供应商提供书面声明（见格式文件）</w:t>
            </w:r>
          </w:p>
        </w:tc>
      </w:tr>
      <w:tr w14:paraId="6020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76" w:type="dxa"/>
            <w:vMerge w:val="continue"/>
            <w:noWrap w:val="0"/>
            <w:vAlign w:val="center"/>
          </w:tcPr>
          <w:p w14:paraId="66F9F75A">
            <w:pPr>
              <w:spacing w:line="360" w:lineRule="auto"/>
              <w:jc w:val="center"/>
              <w:rPr>
                <w:rFonts w:hint="eastAsia" w:ascii="宋体" w:hAnsi="宋体" w:cs="宋体"/>
                <w:sz w:val="21"/>
                <w:szCs w:val="21"/>
              </w:rPr>
            </w:pPr>
          </w:p>
        </w:tc>
        <w:tc>
          <w:tcPr>
            <w:tcW w:w="709" w:type="dxa"/>
            <w:vMerge w:val="continue"/>
            <w:noWrap w:val="0"/>
            <w:vAlign w:val="center"/>
          </w:tcPr>
          <w:p w14:paraId="1D0FBBB4">
            <w:pPr>
              <w:spacing w:line="360" w:lineRule="auto"/>
              <w:rPr>
                <w:rFonts w:hint="eastAsia" w:ascii="宋体" w:hAnsi="宋体" w:cs="宋体"/>
                <w:sz w:val="21"/>
                <w:szCs w:val="21"/>
                <w:lang w:val="zh-CN"/>
              </w:rPr>
            </w:pPr>
          </w:p>
        </w:tc>
        <w:tc>
          <w:tcPr>
            <w:tcW w:w="3792" w:type="dxa"/>
            <w:noWrap w:val="0"/>
            <w:vAlign w:val="center"/>
          </w:tcPr>
          <w:p w14:paraId="71D0DA3F">
            <w:pPr>
              <w:spacing w:line="240" w:lineRule="auto"/>
              <w:rPr>
                <w:rFonts w:hint="eastAsia" w:ascii="宋体" w:hAnsi="宋体" w:cs="宋体"/>
                <w:sz w:val="21"/>
                <w:szCs w:val="21"/>
                <w:lang w:val="zh-CN"/>
              </w:rPr>
            </w:pPr>
            <w:r>
              <w:rPr>
                <w:rFonts w:hint="eastAsia" w:ascii="宋体" w:hAnsi="宋体" w:cs="宋体"/>
                <w:sz w:val="21"/>
                <w:szCs w:val="21"/>
                <w:lang w:val="en-US" w:eastAsia="zh-CN"/>
              </w:rPr>
              <w:t>4.有依法缴纳税收和社会保障资金的良好记录</w:t>
            </w:r>
          </w:p>
        </w:tc>
        <w:tc>
          <w:tcPr>
            <w:tcW w:w="5301" w:type="dxa"/>
            <w:noWrap w:val="0"/>
            <w:vAlign w:val="center"/>
          </w:tcPr>
          <w:p w14:paraId="24BBAA69">
            <w:pPr>
              <w:spacing w:line="240" w:lineRule="auto"/>
              <w:rPr>
                <w:rFonts w:hint="eastAsia" w:ascii="宋体" w:hAnsi="宋体" w:cs="宋体"/>
                <w:sz w:val="21"/>
                <w:szCs w:val="21"/>
                <w:lang w:val="zh-CN"/>
              </w:rPr>
            </w:pPr>
            <w:r>
              <w:rPr>
                <w:rFonts w:hint="eastAsia" w:ascii="宋体" w:hAnsi="宋体" w:cs="宋体"/>
                <w:sz w:val="21"/>
                <w:szCs w:val="21"/>
              </w:rPr>
              <w:t>提供20</w:t>
            </w:r>
            <w:r>
              <w:rPr>
                <w:rFonts w:hint="eastAsia" w:ascii="宋体" w:hAnsi="宋体" w:cs="宋体"/>
                <w:sz w:val="21"/>
                <w:szCs w:val="21"/>
                <w:lang w:val="en-US" w:eastAsia="zh-CN"/>
              </w:rPr>
              <w:t>23</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月至今任意1个月缴税证明和社会保险费缴纳凭证（免税企业或新成立企业提供相关证明材料）。</w:t>
            </w:r>
          </w:p>
        </w:tc>
      </w:tr>
      <w:tr w14:paraId="44B7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76" w:type="dxa"/>
            <w:vMerge w:val="continue"/>
            <w:noWrap w:val="0"/>
            <w:vAlign w:val="center"/>
          </w:tcPr>
          <w:p w14:paraId="312C6F7C">
            <w:pPr>
              <w:spacing w:line="360" w:lineRule="auto"/>
              <w:jc w:val="center"/>
              <w:rPr>
                <w:rFonts w:hint="eastAsia" w:ascii="宋体" w:hAnsi="宋体" w:cs="宋体"/>
                <w:sz w:val="21"/>
                <w:szCs w:val="21"/>
              </w:rPr>
            </w:pPr>
          </w:p>
        </w:tc>
        <w:tc>
          <w:tcPr>
            <w:tcW w:w="709" w:type="dxa"/>
            <w:vMerge w:val="continue"/>
            <w:noWrap w:val="0"/>
            <w:vAlign w:val="center"/>
          </w:tcPr>
          <w:p w14:paraId="52CF6158">
            <w:pPr>
              <w:spacing w:line="360" w:lineRule="auto"/>
              <w:rPr>
                <w:rFonts w:hint="eastAsia" w:ascii="宋体" w:hAnsi="宋体" w:cs="宋体"/>
                <w:sz w:val="21"/>
                <w:szCs w:val="21"/>
                <w:lang w:val="zh-CN"/>
              </w:rPr>
            </w:pPr>
          </w:p>
        </w:tc>
        <w:tc>
          <w:tcPr>
            <w:tcW w:w="3792" w:type="dxa"/>
            <w:noWrap w:val="0"/>
            <w:vAlign w:val="center"/>
          </w:tcPr>
          <w:p w14:paraId="5DBDF70D">
            <w:pPr>
              <w:spacing w:line="240" w:lineRule="auto"/>
              <w:rPr>
                <w:rFonts w:hint="eastAsia"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rPr>
              <w:t>参加政府采购活动前三年内，在经营活动中没有重大违法记录</w:t>
            </w:r>
          </w:p>
        </w:tc>
        <w:tc>
          <w:tcPr>
            <w:tcW w:w="5301" w:type="dxa"/>
            <w:noWrap w:val="0"/>
            <w:vAlign w:val="center"/>
          </w:tcPr>
          <w:p w14:paraId="1A7932EC">
            <w:pPr>
              <w:spacing w:line="240"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供应商提供书面声明（见格式文件）；</w:t>
            </w:r>
          </w:p>
          <w:p w14:paraId="73A3657F">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C70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2A3BBF62">
            <w:pPr>
              <w:spacing w:line="360" w:lineRule="auto"/>
              <w:jc w:val="center"/>
              <w:rPr>
                <w:rFonts w:hint="eastAsia" w:ascii="宋体" w:hAnsi="宋体" w:cs="宋体"/>
                <w:sz w:val="21"/>
                <w:szCs w:val="21"/>
              </w:rPr>
            </w:pPr>
          </w:p>
        </w:tc>
        <w:tc>
          <w:tcPr>
            <w:tcW w:w="709" w:type="dxa"/>
            <w:vMerge w:val="continue"/>
            <w:noWrap w:val="0"/>
            <w:vAlign w:val="center"/>
          </w:tcPr>
          <w:p w14:paraId="3D9CA5BB">
            <w:pPr>
              <w:spacing w:line="360" w:lineRule="auto"/>
              <w:rPr>
                <w:rFonts w:hint="eastAsia" w:ascii="宋体" w:hAnsi="宋体" w:cs="宋体"/>
                <w:sz w:val="21"/>
                <w:szCs w:val="21"/>
                <w:lang w:val="zh-CN"/>
              </w:rPr>
            </w:pPr>
          </w:p>
        </w:tc>
        <w:tc>
          <w:tcPr>
            <w:tcW w:w="3792" w:type="dxa"/>
            <w:noWrap w:val="0"/>
            <w:vAlign w:val="center"/>
          </w:tcPr>
          <w:p w14:paraId="06F86F5D">
            <w:pPr>
              <w:spacing w:line="240" w:lineRule="auto"/>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法律、行政法规规定的其他条件</w:t>
            </w:r>
          </w:p>
        </w:tc>
        <w:tc>
          <w:tcPr>
            <w:tcW w:w="5301" w:type="dxa"/>
            <w:noWrap w:val="0"/>
            <w:vAlign w:val="center"/>
          </w:tcPr>
          <w:p w14:paraId="47A556A8">
            <w:pPr>
              <w:spacing w:line="240" w:lineRule="auto"/>
              <w:rPr>
                <w:rFonts w:hint="eastAsia" w:ascii="宋体" w:hAnsi="宋体" w:cs="宋体"/>
                <w:sz w:val="21"/>
                <w:szCs w:val="21"/>
              </w:rPr>
            </w:pPr>
            <w:r>
              <w:rPr>
                <w:rFonts w:hint="eastAsia" w:ascii="宋体" w:hAnsi="宋体" w:cs="宋体"/>
                <w:sz w:val="21"/>
                <w:szCs w:val="21"/>
              </w:rPr>
              <w:t>单位负责人为同一人或存在直接控股、管理关系的不同供应商，不得参加同一合同项下的政府采购活动，供应商提供书面声明（见格式文件）。</w:t>
            </w:r>
          </w:p>
        </w:tc>
      </w:tr>
      <w:tr w14:paraId="22BD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676" w:type="dxa"/>
            <w:vMerge w:val="restart"/>
            <w:noWrap w:val="0"/>
            <w:vAlign w:val="center"/>
          </w:tcPr>
          <w:p w14:paraId="36BEFF7B">
            <w:pPr>
              <w:spacing w:line="360" w:lineRule="auto"/>
              <w:jc w:val="center"/>
              <w:rPr>
                <w:rFonts w:hint="eastAsia" w:ascii="宋体" w:hAnsi="宋体" w:cs="宋体"/>
                <w:sz w:val="21"/>
                <w:szCs w:val="21"/>
              </w:rPr>
            </w:pPr>
            <w:r>
              <w:rPr>
                <w:rFonts w:hint="eastAsia" w:ascii="宋体" w:hAnsi="宋体" w:cs="宋体"/>
                <w:sz w:val="21"/>
                <w:szCs w:val="21"/>
              </w:rPr>
              <w:t>2</w:t>
            </w:r>
          </w:p>
        </w:tc>
        <w:tc>
          <w:tcPr>
            <w:tcW w:w="709" w:type="dxa"/>
            <w:vMerge w:val="restart"/>
            <w:noWrap w:val="0"/>
            <w:vAlign w:val="center"/>
          </w:tcPr>
          <w:p w14:paraId="367F37F9">
            <w:pPr>
              <w:spacing w:line="360" w:lineRule="auto"/>
              <w:rPr>
                <w:rFonts w:hint="eastAsia" w:ascii="宋体" w:hAnsi="宋体" w:cs="宋体"/>
                <w:sz w:val="21"/>
                <w:szCs w:val="21"/>
              </w:rPr>
            </w:pPr>
            <w:r>
              <w:rPr>
                <w:rFonts w:hint="eastAsia" w:ascii="宋体" w:hAnsi="宋体" w:cs="宋体"/>
                <w:sz w:val="21"/>
                <w:szCs w:val="21"/>
              </w:rPr>
              <w:t>特定资格条件</w:t>
            </w:r>
          </w:p>
        </w:tc>
        <w:tc>
          <w:tcPr>
            <w:tcW w:w="3792" w:type="dxa"/>
            <w:noWrap w:val="0"/>
            <w:vAlign w:val="center"/>
          </w:tcPr>
          <w:p w14:paraId="46C48BDE">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1.供应商通过全国投资项目在线审批监管平台（以下简称在线平台）备案，咨询专业包括公路、水利水电、水文地质，服务范围为项目咨询。</w:t>
            </w:r>
          </w:p>
        </w:tc>
        <w:tc>
          <w:tcPr>
            <w:tcW w:w="5301" w:type="dxa"/>
            <w:noWrap w:val="0"/>
            <w:vAlign w:val="center"/>
          </w:tcPr>
          <w:p w14:paraId="362C22CF">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提供全国投资项目在线审批监管平台（http://www.tzxm.gov.cn/）”工程咨询单位名录的网站截图或网页打印稿</w:t>
            </w:r>
          </w:p>
        </w:tc>
      </w:tr>
      <w:tr w14:paraId="511E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0"/>
            <w:vAlign w:val="center"/>
          </w:tcPr>
          <w:p w14:paraId="63C4E1A0">
            <w:pPr>
              <w:spacing w:line="360" w:lineRule="auto"/>
              <w:jc w:val="center"/>
              <w:rPr>
                <w:rFonts w:hint="eastAsia" w:ascii="宋体" w:hAnsi="宋体" w:cs="宋体"/>
                <w:sz w:val="21"/>
                <w:szCs w:val="21"/>
              </w:rPr>
            </w:pPr>
          </w:p>
        </w:tc>
        <w:tc>
          <w:tcPr>
            <w:tcW w:w="709" w:type="dxa"/>
            <w:vMerge w:val="continue"/>
            <w:noWrap w:val="0"/>
            <w:vAlign w:val="center"/>
          </w:tcPr>
          <w:p w14:paraId="78D4F49E">
            <w:pPr>
              <w:spacing w:line="360" w:lineRule="auto"/>
              <w:rPr>
                <w:rFonts w:hint="eastAsia" w:ascii="宋体" w:hAnsi="宋体" w:cs="宋体"/>
                <w:sz w:val="21"/>
                <w:szCs w:val="21"/>
              </w:rPr>
            </w:pPr>
          </w:p>
        </w:tc>
        <w:tc>
          <w:tcPr>
            <w:tcW w:w="3792" w:type="dxa"/>
            <w:noWrap w:val="0"/>
            <w:vAlign w:val="center"/>
          </w:tcPr>
          <w:p w14:paraId="368375A3">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2.本项目不接受联合体投标。</w:t>
            </w:r>
          </w:p>
        </w:tc>
        <w:tc>
          <w:tcPr>
            <w:tcW w:w="5301" w:type="dxa"/>
            <w:noWrap w:val="0"/>
            <w:vAlign w:val="center"/>
          </w:tcPr>
          <w:p w14:paraId="41C54D1C">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符合谈判采购文件的要求。</w:t>
            </w:r>
          </w:p>
        </w:tc>
      </w:tr>
    </w:tbl>
    <w:p w14:paraId="5C15DE66">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2、符合性检查。依据谈判采购文件的规定，从响应文件的有效性、完整性和对谈判采购文件的响应程度进行审查，以确定是否对谈判采购文件的实质性要求作出响应。符合性检查资料表如下：</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547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7462628">
            <w:pPr>
              <w:spacing w:line="360" w:lineRule="auto"/>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noWrap w:val="0"/>
            <w:vAlign w:val="center"/>
          </w:tcPr>
          <w:p w14:paraId="278CB5D6">
            <w:pPr>
              <w:spacing w:line="360" w:lineRule="auto"/>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409" w:type="dxa"/>
            <w:noWrap w:val="0"/>
            <w:vAlign w:val="center"/>
          </w:tcPr>
          <w:p w14:paraId="706ECAE8">
            <w:pPr>
              <w:spacing w:line="360" w:lineRule="auto"/>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6A1A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7529B2C">
            <w:pPr>
              <w:spacing w:line="360" w:lineRule="auto"/>
              <w:jc w:val="center"/>
              <w:rPr>
                <w:rFonts w:hint="eastAsia" w:ascii="宋体" w:hAnsi="宋体" w:cs="宋体"/>
                <w:kern w:val="0"/>
                <w:sz w:val="21"/>
                <w:szCs w:val="21"/>
              </w:rPr>
            </w:pPr>
            <w:r>
              <w:rPr>
                <w:rFonts w:hint="eastAsia" w:ascii="宋体" w:hAnsi="宋体" w:cs="宋体"/>
                <w:kern w:val="0"/>
                <w:sz w:val="21"/>
                <w:szCs w:val="21"/>
              </w:rPr>
              <w:t>1</w:t>
            </w:r>
          </w:p>
        </w:tc>
        <w:tc>
          <w:tcPr>
            <w:tcW w:w="1560" w:type="dxa"/>
            <w:vMerge w:val="restart"/>
            <w:noWrap w:val="0"/>
            <w:vAlign w:val="center"/>
          </w:tcPr>
          <w:p w14:paraId="279CC2DA">
            <w:pPr>
              <w:spacing w:line="360" w:lineRule="auto"/>
              <w:rPr>
                <w:rFonts w:hint="eastAsia" w:ascii="宋体" w:hAnsi="宋体" w:cs="宋体"/>
                <w:kern w:val="0"/>
                <w:sz w:val="21"/>
                <w:szCs w:val="21"/>
              </w:rPr>
            </w:pPr>
            <w:r>
              <w:rPr>
                <w:rFonts w:hint="eastAsia" w:ascii="宋体" w:hAnsi="宋体" w:cs="宋体"/>
                <w:kern w:val="0"/>
                <w:sz w:val="21"/>
                <w:szCs w:val="21"/>
              </w:rPr>
              <w:t>有效性审查</w:t>
            </w:r>
          </w:p>
        </w:tc>
        <w:tc>
          <w:tcPr>
            <w:tcW w:w="1984" w:type="dxa"/>
            <w:noWrap w:val="0"/>
            <w:vAlign w:val="center"/>
          </w:tcPr>
          <w:p w14:paraId="1B4E9710">
            <w:pPr>
              <w:spacing w:line="360" w:lineRule="auto"/>
              <w:rPr>
                <w:rFonts w:hint="eastAsia" w:ascii="宋体" w:hAnsi="宋体" w:cs="宋体"/>
                <w:kern w:val="0"/>
                <w:sz w:val="21"/>
                <w:szCs w:val="21"/>
              </w:rPr>
            </w:pPr>
            <w:r>
              <w:rPr>
                <w:rFonts w:hint="eastAsia" w:ascii="宋体" w:hAnsi="宋体" w:cs="宋体"/>
                <w:sz w:val="21"/>
                <w:szCs w:val="21"/>
              </w:rPr>
              <w:t>响应文件签署</w:t>
            </w:r>
          </w:p>
        </w:tc>
        <w:tc>
          <w:tcPr>
            <w:tcW w:w="5409" w:type="dxa"/>
            <w:noWrap w:val="0"/>
            <w:vAlign w:val="center"/>
          </w:tcPr>
          <w:p w14:paraId="73007513">
            <w:pPr>
              <w:spacing w:line="360" w:lineRule="auto"/>
              <w:rPr>
                <w:rFonts w:hint="eastAsia" w:ascii="宋体" w:hAnsi="宋体" w:cs="宋体"/>
                <w:kern w:val="0"/>
                <w:sz w:val="21"/>
                <w:szCs w:val="21"/>
              </w:rPr>
            </w:pPr>
            <w:r>
              <w:rPr>
                <w:rFonts w:hint="eastAsia" w:ascii="宋体" w:hAnsi="宋体" w:cs="宋体"/>
                <w:sz w:val="21"/>
                <w:szCs w:val="21"/>
              </w:rPr>
              <w:t>响应文件上法定代表人或其授权代表人的签字齐全。</w:t>
            </w:r>
          </w:p>
        </w:tc>
      </w:tr>
      <w:tr w14:paraId="20EC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5DEA07C">
            <w:pPr>
              <w:spacing w:line="360" w:lineRule="auto"/>
              <w:jc w:val="center"/>
              <w:rPr>
                <w:rFonts w:hint="eastAsia" w:ascii="宋体" w:hAnsi="宋体" w:cs="宋体"/>
                <w:kern w:val="0"/>
                <w:sz w:val="21"/>
                <w:szCs w:val="21"/>
              </w:rPr>
            </w:pPr>
          </w:p>
        </w:tc>
        <w:tc>
          <w:tcPr>
            <w:tcW w:w="1560" w:type="dxa"/>
            <w:vMerge w:val="continue"/>
            <w:noWrap w:val="0"/>
            <w:vAlign w:val="center"/>
          </w:tcPr>
          <w:p w14:paraId="50027E13">
            <w:pPr>
              <w:spacing w:line="360" w:lineRule="auto"/>
              <w:rPr>
                <w:rFonts w:hint="eastAsia" w:ascii="宋体" w:hAnsi="宋体" w:cs="宋体"/>
                <w:kern w:val="0"/>
                <w:sz w:val="21"/>
                <w:szCs w:val="21"/>
              </w:rPr>
            </w:pPr>
          </w:p>
        </w:tc>
        <w:tc>
          <w:tcPr>
            <w:tcW w:w="1984" w:type="dxa"/>
            <w:noWrap w:val="0"/>
            <w:vAlign w:val="center"/>
          </w:tcPr>
          <w:p w14:paraId="205FF043">
            <w:pPr>
              <w:spacing w:line="360" w:lineRule="auto"/>
              <w:rPr>
                <w:rFonts w:hint="eastAsia" w:ascii="宋体" w:hAnsi="宋体" w:cs="宋体"/>
                <w:sz w:val="21"/>
                <w:szCs w:val="21"/>
              </w:rPr>
            </w:pPr>
            <w:r>
              <w:rPr>
                <w:rFonts w:hint="eastAsia" w:ascii="宋体" w:hAnsi="宋体" w:cs="宋体"/>
                <w:sz w:val="21"/>
                <w:szCs w:val="21"/>
              </w:rPr>
              <w:t>法定代表人身份证明及授权委托书</w:t>
            </w:r>
          </w:p>
        </w:tc>
        <w:tc>
          <w:tcPr>
            <w:tcW w:w="5409" w:type="dxa"/>
            <w:noWrap w:val="0"/>
            <w:vAlign w:val="center"/>
          </w:tcPr>
          <w:p w14:paraId="59B1BE24">
            <w:pPr>
              <w:spacing w:line="360" w:lineRule="auto"/>
              <w:rPr>
                <w:rFonts w:hint="eastAsia" w:ascii="宋体" w:hAnsi="宋体" w:cs="宋体"/>
                <w:sz w:val="21"/>
                <w:szCs w:val="21"/>
              </w:rPr>
            </w:pPr>
            <w:r>
              <w:rPr>
                <w:rFonts w:hint="eastAsia" w:ascii="宋体" w:hAnsi="宋体" w:cs="宋体"/>
                <w:sz w:val="21"/>
                <w:szCs w:val="21"/>
              </w:rPr>
              <w:t>法定代表人身份证明及授权委托书有效，符合谈判采购文件规定的格式，签字或盖章齐全。</w:t>
            </w:r>
          </w:p>
        </w:tc>
      </w:tr>
      <w:tr w14:paraId="1B86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41C0846">
            <w:pPr>
              <w:spacing w:line="360" w:lineRule="auto"/>
              <w:jc w:val="center"/>
              <w:rPr>
                <w:rFonts w:hint="eastAsia" w:ascii="宋体" w:hAnsi="宋体" w:cs="宋体"/>
                <w:kern w:val="0"/>
                <w:sz w:val="21"/>
                <w:szCs w:val="21"/>
              </w:rPr>
            </w:pPr>
          </w:p>
        </w:tc>
        <w:tc>
          <w:tcPr>
            <w:tcW w:w="1560" w:type="dxa"/>
            <w:vMerge w:val="continue"/>
            <w:noWrap w:val="0"/>
            <w:vAlign w:val="center"/>
          </w:tcPr>
          <w:p w14:paraId="09C88B21">
            <w:pPr>
              <w:spacing w:line="360" w:lineRule="auto"/>
              <w:rPr>
                <w:rFonts w:hint="eastAsia" w:ascii="宋体" w:hAnsi="宋体" w:cs="宋体"/>
                <w:kern w:val="0"/>
                <w:sz w:val="21"/>
                <w:szCs w:val="21"/>
              </w:rPr>
            </w:pPr>
          </w:p>
        </w:tc>
        <w:tc>
          <w:tcPr>
            <w:tcW w:w="1984" w:type="dxa"/>
            <w:noWrap w:val="0"/>
            <w:vAlign w:val="center"/>
          </w:tcPr>
          <w:p w14:paraId="2CD057E0">
            <w:pPr>
              <w:spacing w:line="360" w:lineRule="auto"/>
              <w:rPr>
                <w:rFonts w:hint="eastAsia"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noWrap w:val="0"/>
            <w:vAlign w:val="center"/>
          </w:tcPr>
          <w:p w14:paraId="317DA742">
            <w:pPr>
              <w:spacing w:line="360" w:lineRule="auto"/>
              <w:rPr>
                <w:rFonts w:hint="eastAsia"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14:paraId="555B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50380FCE">
            <w:pPr>
              <w:spacing w:line="360" w:lineRule="auto"/>
              <w:jc w:val="center"/>
              <w:rPr>
                <w:rFonts w:hint="eastAsia" w:ascii="宋体" w:hAnsi="宋体" w:cs="宋体"/>
                <w:kern w:val="0"/>
                <w:sz w:val="21"/>
                <w:szCs w:val="21"/>
              </w:rPr>
            </w:pPr>
          </w:p>
        </w:tc>
        <w:tc>
          <w:tcPr>
            <w:tcW w:w="1560" w:type="dxa"/>
            <w:vMerge w:val="continue"/>
            <w:noWrap w:val="0"/>
            <w:vAlign w:val="center"/>
          </w:tcPr>
          <w:p w14:paraId="08D8D4C2">
            <w:pPr>
              <w:spacing w:line="360" w:lineRule="auto"/>
              <w:rPr>
                <w:rFonts w:hint="eastAsia" w:ascii="宋体" w:hAnsi="宋体" w:cs="宋体"/>
                <w:kern w:val="0"/>
                <w:sz w:val="21"/>
                <w:szCs w:val="21"/>
              </w:rPr>
            </w:pPr>
          </w:p>
        </w:tc>
        <w:tc>
          <w:tcPr>
            <w:tcW w:w="1984" w:type="dxa"/>
            <w:noWrap w:val="0"/>
            <w:vAlign w:val="center"/>
          </w:tcPr>
          <w:p w14:paraId="4E3E272B">
            <w:pPr>
              <w:spacing w:line="360" w:lineRule="auto"/>
              <w:rPr>
                <w:rFonts w:hint="eastAsia" w:ascii="宋体" w:hAnsi="宋体" w:cs="宋体"/>
                <w:sz w:val="21"/>
                <w:szCs w:val="21"/>
                <w:lang w:val="zh-CN"/>
              </w:rPr>
            </w:pPr>
            <w:r>
              <w:rPr>
                <w:rFonts w:hint="eastAsia" w:ascii="宋体" w:hAnsi="宋体" w:cs="宋体"/>
                <w:sz w:val="21"/>
                <w:szCs w:val="21"/>
              </w:rPr>
              <w:t>报价唯一</w:t>
            </w:r>
          </w:p>
        </w:tc>
        <w:tc>
          <w:tcPr>
            <w:tcW w:w="5409" w:type="dxa"/>
            <w:noWrap w:val="0"/>
            <w:vAlign w:val="center"/>
          </w:tcPr>
          <w:p w14:paraId="437A2105">
            <w:pPr>
              <w:spacing w:line="360" w:lineRule="auto"/>
              <w:rPr>
                <w:rFonts w:hint="eastAsia" w:ascii="宋体" w:hAnsi="宋体" w:cs="宋体"/>
                <w:kern w:val="0"/>
                <w:sz w:val="21"/>
                <w:szCs w:val="21"/>
              </w:rPr>
            </w:pPr>
            <w:r>
              <w:rPr>
                <w:rFonts w:hint="eastAsia" w:ascii="宋体" w:hAnsi="宋体" w:cs="宋体"/>
                <w:sz w:val="21"/>
                <w:szCs w:val="21"/>
                <w:lang w:val="zh-CN"/>
              </w:rPr>
              <w:t>只能在</w:t>
            </w:r>
            <w:r>
              <w:rPr>
                <w:rFonts w:hint="eastAsia" w:ascii="宋体" w:hAnsi="宋体" w:cs="宋体"/>
                <w:sz w:val="21"/>
                <w:szCs w:val="21"/>
                <w:lang w:val="en-US" w:eastAsia="zh-CN"/>
              </w:rPr>
              <w:t>最高限价范围</w:t>
            </w:r>
            <w:r>
              <w:rPr>
                <w:rFonts w:hint="eastAsia" w:ascii="宋体" w:hAnsi="宋体" w:cs="宋体"/>
                <w:sz w:val="21"/>
                <w:szCs w:val="21"/>
                <w:lang w:val="zh-CN"/>
              </w:rPr>
              <w:t>内报价，</w:t>
            </w:r>
            <w:r>
              <w:rPr>
                <w:rFonts w:hint="eastAsia" w:ascii="宋体" w:hAnsi="宋体" w:cs="宋体"/>
                <w:sz w:val="21"/>
                <w:szCs w:val="21"/>
              </w:rPr>
              <w:t>只能有一个有效报价，不得提交选择性报价。</w:t>
            </w:r>
          </w:p>
        </w:tc>
      </w:tr>
      <w:tr w14:paraId="2626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14:paraId="170D8E7A">
            <w:pPr>
              <w:spacing w:line="360" w:lineRule="auto"/>
              <w:jc w:val="center"/>
              <w:rPr>
                <w:rFonts w:hint="eastAsia" w:ascii="宋体" w:hAnsi="宋体" w:cs="宋体"/>
                <w:kern w:val="0"/>
                <w:sz w:val="21"/>
                <w:szCs w:val="21"/>
              </w:rPr>
            </w:pPr>
            <w:r>
              <w:rPr>
                <w:rFonts w:hint="eastAsia" w:ascii="宋体" w:hAnsi="宋体" w:cs="宋体"/>
                <w:kern w:val="0"/>
                <w:sz w:val="21"/>
                <w:szCs w:val="21"/>
              </w:rPr>
              <w:t>2</w:t>
            </w:r>
          </w:p>
        </w:tc>
        <w:tc>
          <w:tcPr>
            <w:tcW w:w="1560" w:type="dxa"/>
            <w:vMerge w:val="restart"/>
            <w:noWrap w:val="0"/>
            <w:vAlign w:val="center"/>
          </w:tcPr>
          <w:p w14:paraId="52933B3B">
            <w:pPr>
              <w:spacing w:line="360" w:lineRule="auto"/>
              <w:rPr>
                <w:rFonts w:hint="eastAsia" w:ascii="宋体" w:hAnsi="宋体" w:cs="宋体"/>
                <w:kern w:val="0"/>
                <w:sz w:val="21"/>
                <w:szCs w:val="21"/>
              </w:rPr>
            </w:pPr>
            <w:r>
              <w:rPr>
                <w:rFonts w:hint="eastAsia" w:ascii="宋体" w:hAnsi="宋体" w:cs="宋体"/>
                <w:kern w:val="0"/>
                <w:sz w:val="21"/>
                <w:szCs w:val="21"/>
              </w:rPr>
              <w:t>完整性审查</w:t>
            </w:r>
          </w:p>
        </w:tc>
        <w:tc>
          <w:tcPr>
            <w:tcW w:w="1984" w:type="dxa"/>
            <w:noWrap w:val="0"/>
            <w:vAlign w:val="center"/>
          </w:tcPr>
          <w:p w14:paraId="1F575CF1">
            <w:pPr>
              <w:spacing w:line="360" w:lineRule="auto"/>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noWrap w:val="0"/>
            <w:vAlign w:val="center"/>
          </w:tcPr>
          <w:p w14:paraId="0ACC5920">
            <w:pPr>
              <w:spacing w:line="360" w:lineRule="auto"/>
              <w:rPr>
                <w:rFonts w:hint="eastAsia"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文件正、副本数量符合谈判采购文件要求。</w:t>
            </w:r>
          </w:p>
        </w:tc>
      </w:tr>
      <w:tr w14:paraId="7988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239C7DC3">
            <w:pPr>
              <w:spacing w:line="360" w:lineRule="auto"/>
              <w:jc w:val="center"/>
              <w:rPr>
                <w:rFonts w:hint="eastAsia" w:ascii="宋体" w:hAnsi="宋体" w:cs="宋体"/>
                <w:kern w:val="0"/>
                <w:sz w:val="21"/>
                <w:szCs w:val="21"/>
              </w:rPr>
            </w:pPr>
          </w:p>
        </w:tc>
        <w:tc>
          <w:tcPr>
            <w:tcW w:w="1560" w:type="dxa"/>
            <w:vMerge w:val="continue"/>
            <w:noWrap w:val="0"/>
            <w:vAlign w:val="center"/>
          </w:tcPr>
          <w:p w14:paraId="7F8D842A">
            <w:pPr>
              <w:spacing w:line="360" w:lineRule="auto"/>
              <w:rPr>
                <w:rFonts w:hint="eastAsia" w:ascii="宋体" w:hAnsi="宋体" w:cs="宋体"/>
                <w:kern w:val="0"/>
                <w:sz w:val="21"/>
                <w:szCs w:val="21"/>
              </w:rPr>
            </w:pPr>
          </w:p>
        </w:tc>
        <w:tc>
          <w:tcPr>
            <w:tcW w:w="1984" w:type="dxa"/>
            <w:noWrap w:val="0"/>
            <w:vAlign w:val="center"/>
          </w:tcPr>
          <w:p w14:paraId="04B0E4EB">
            <w:pPr>
              <w:spacing w:line="360" w:lineRule="auto"/>
              <w:rPr>
                <w:rFonts w:hint="eastAsia"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文件内容</w:t>
            </w:r>
          </w:p>
        </w:tc>
        <w:tc>
          <w:tcPr>
            <w:tcW w:w="5409" w:type="dxa"/>
            <w:noWrap w:val="0"/>
            <w:vAlign w:val="center"/>
          </w:tcPr>
          <w:p w14:paraId="6C98E080">
            <w:pPr>
              <w:spacing w:line="360" w:lineRule="auto"/>
              <w:rPr>
                <w:rFonts w:hint="eastAsia"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文件内容齐全、无遗漏。</w:t>
            </w:r>
          </w:p>
        </w:tc>
      </w:tr>
      <w:tr w14:paraId="20E5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75" w:type="dxa"/>
            <w:vMerge w:val="restart"/>
            <w:noWrap w:val="0"/>
            <w:vAlign w:val="center"/>
          </w:tcPr>
          <w:p w14:paraId="0C99E333">
            <w:pPr>
              <w:spacing w:line="360" w:lineRule="auto"/>
              <w:jc w:val="center"/>
              <w:rPr>
                <w:rFonts w:hint="eastAsia" w:ascii="宋体" w:hAnsi="宋体" w:cs="宋体"/>
                <w:kern w:val="0"/>
                <w:sz w:val="21"/>
                <w:szCs w:val="21"/>
              </w:rPr>
            </w:pPr>
            <w:r>
              <w:rPr>
                <w:rFonts w:hint="eastAsia" w:ascii="宋体" w:hAnsi="宋体" w:cs="宋体"/>
                <w:kern w:val="0"/>
                <w:sz w:val="21"/>
                <w:szCs w:val="21"/>
              </w:rPr>
              <w:t>3</w:t>
            </w:r>
          </w:p>
        </w:tc>
        <w:tc>
          <w:tcPr>
            <w:tcW w:w="1560" w:type="dxa"/>
            <w:vMerge w:val="restart"/>
            <w:noWrap w:val="0"/>
            <w:vAlign w:val="center"/>
          </w:tcPr>
          <w:p w14:paraId="6FF477DC">
            <w:pPr>
              <w:spacing w:line="360" w:lineRule="auto"/>
              <w:rPr>
                <w:rFonts w:hint="eastAsia" w:ascii="宋体" w:hAnsi="宋体" w:cs="宋体"/>
                <w:sz w:val="21"/>
                <w:szCs w:val="21"/>
                <w:lang w:val="zh-CN"/>
              </w:rPr>
            </w:pPr>
            <w:r>
              <w:rPr>
                <w:rFonts w:hint="eastAsia" w:ascii="宋体" w:hAnsi="宋体" w:cs="宋体"/>
                <w:kern w:val="0"/>
                <w:sz w:val="21"/>
                <w:szCs w:val="21"/>
              </w:rPr>
              <w:t>谈判采购文件的响应程度审查</w:t>
            </w:r>
          </w:p>
        </w:tc>
        <w:tc>
          <w:tcPr>
            <w:tcW w:w="1984" w:type="dxa"/>
            <w:noWrap w:val="0"/>
            <w:vAlign w:val="center"/>
          </w:tcPr>
          <w:p w14:paraId="351A3BBB">
            <w:pPr>
              <w:spacing w:line="360" w:lineRule="auto"/>
              <w:rPr>
                <w:rFonts w:hint="eastAsia" w:ascii="宋体" w:hAnsi="宋体" w:cs="宋体"/>
                <w:kern w:val="0"/>
                <w:sz w:val="21"/>
                <w:szCs w:val="21"/>
              </w:rPr>
            </w:pPr>
            <w:r>
              <w:rPr>
                <w:rFonts w:hint="eastAsia" w:ascii="宋体" w:hAnsi="宋体" w:cs="宋体"/>
                <w:kern w:val="0"/>
                <w:sz w:val="21"/>
                <w:szCs w:val="21"/>
              </w:rPr>
              <w:t>响应文件内容</w:t>
            </w:r>
          </w:p>
        </w:tc>
        <w:tc>
          <w:tcPr>
            <w:tcW w:w="5409" w:type="dxa"/>
            <w:noWrap w:val="0"/>
            <w:vAlign w:val="center"/>
          </w:tcPr>
          <w:p w14:paraId="7159C219">
            <w:pPr>
              <w:widowControl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满足对谈判采购文件第二、三篇规定的谈判内容，并作出响应。</w:t>
            </w:r>
          </w:p>
        </w:tc>
      </w:tr>
      <w:tr w14:paraId="3F6E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8608A">
            <w:pPr>
              <w:spacing w:line="360" w:lineRule="auto"/>
              <w:jc w:val="center"/>
              <w:rPr>
                <w:rFonts w:hint="eastAsia" w:ascii="宋体" w:hAnsi="宋体" w:cs="宋体"/>
                <w:kern w:val="0"/>
                <w:sz w:val="21"/>
                <w:szCs w:val="21"/>
              </w:rPr>
            </w:pPr>
          </w:p>
        </w:tc>
        <w:tc>
          <w:tcPr>
            <w:tcW w:w="1560" w:type="dxa"/>
            <w:vMerge w:val="continue"/>
            <w:noWrap w:val="0"/>
            <w:vAlign w:val="center"/>
          </w:tcPr>
          <w:p w14:paraId="13D75B10">
            <w:pPr>
              <w:spacing w:line="360" w:lineRule="auto"/>
              <w:rPr>
                <w:rFonts w:hint="eastAsia" w:ascii="宋体" w:hAnsi="宋体" w:cs="宋体"/>
                <w:sz w:val="21"/>
                <w:szCs w:val="21"/>
                <w:lang w:val="zh-CN"/>
              </w:rPr>
            </w:pPr>
          </w:p>
        </w:tc>
        <w:tc>
          <w:tcPr>
            <w:tcW w:w="1984" w:type="dxa"/>
            <w:noWrap w:val="0"/>
            <w:vAlign w:val="center"/>
          </w:tcPr>
          <w:p w14:paraId="16252EE2">
            <w:pPr>
              <w:spacing w:line="360" w:lineRule="auto"/>
              <w:rPr>
                <w:rFonts w:hint="eastAsia" w:ascii="宋体" w:hAnsi="宋体" w:cs="宋体"/>
                <w:kern w:val="0"/>
                <w:sz w:val="21"/>
                <w:szCs w:val="21"/>
              </w:rPr>
            </w:pPr>
            <w:r>
              <w:rPr>
                <w:rFonts w:hint="eastAsia" w:ascii="宋体" w:hAnsi="宋体" w:cs="宋体"/>
                <w:kern w:val="0"/>
                <w:sz w:val="21"/>
                <w:szCs w:val="21"/>
              </w:rPr>
              <w:t>谈判有效期</w:t>
            </w:r>
          </w:p>
        </w:tc>
        <w:tc>
          <w:tcPr>
            <w:tcW w:w="5409" w:type="dxa"/>
            <w:noWrap w:val="0"/>
            <w:vAlign w:val="center"/>
          </w:tcPr>
          <w:p w14:paraId="7048F1D4">
            <w:pPr>
              <w:spacing w:line="360" w:lineRule="auto"/>
              <w:rPr>
                <w:rFonts w:hint="eastAsia" w:ascii="宋体" w:hAnsi="宋体" w:cs="宋体"/>
                <w:kern w:val="0"/>
                <w:sz w:val="21"/>
                <w:szCs w:val="21"/>
              </w:rPr>
            </w:pPr>
            <w:r>
              <w:rPr>
                <w:rFonts w:hint="eastAsia" w:ascii="宋体" w:hAnsi="宋体" w:cs="宋体"/>
                <w:kern w:val="0"/>
                <w:sz w:val="21"/>
                <w:szCs w:val="21"/>
              </w:rPr>
              <w:t>满足谈判文件</w:t>
            </w:r>
            <w:r>
              <w:rPr>
                <w:rFonts w:hint="eastAsia" w:ascii="宋体" w:hAnsi="宋体" w:cs="宋体"/>
                <w:sz w:val="21"/>
                <w:szCs w:val="21"/>
                <w:lang w:val="zh-CN"/>
              </w:rPr>
              <w:t>规定。</w:t>
            </w:r>
          </w:p>
        </w:tc>
      </w:tr>
    </w:tbl>
    <w:p w14:paraId="72B87152">
      <w:pPr>
        <w:spacing w:line="360" w:lineRule="auto"/>
        <w:ind w:firstLine="480" w:firstLineChars="200"/>
        <w:rPr>
          <w:rFonts w:hint="eastAsia" w:ascii="宋体" w:hAnsi="宋体" w:cs="宋体"/>
          <w:sz w:val="24"/>
          <w:szCs w:val="24"/>
        </w:rPr>
      </w:pPr>
      <w:r>
        <w:rPr>
          <w:rFonts w:hint="eastAsia" w:ascii="宋体" w:hAnsi="宋体" w:cs="宋体"/>
          <w:sz w:val="24"/>
          <w:szCs w:val="24"/>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BB932A">
      <w:pPr>
        <w:spacing w:line="360" w:lineRule="auto"/>
        <w:ind w:firstLine="480" w:firstLineChars="200"/>
        <w:rPr>
          <w:rFonts w:hint="eastAsia" w:ascii="宋体" w:hAnsi="宋体" w:cs="宋体"/>
          <w:sz w:val="24"/>
          <w:szCs w:val="24"/>
        </w:rPr>
      </w:pPr>
      <w:r>
        <w:rPr>
          <w:rFonts w:hint="eastAsia" w:ascii="宋体" w:hAnsi="宋体" w:cs="宋体"/>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w:t>
      </w:r>
    </w:p>
    <w:p w14:paraId="65E9E8C4">
      <w:pPr>
        <w:spacing w:line="360" w:lineRule="auto"/>
        <w:ind w:firstLine="480" w:firstLineChars="200"/>
        <w:rPr>
          <w:rFonts w:hint="eastAsia" w:ascii="宋体" w:hAnsi="宋体" w:cs="宋体"/>
          <w:sz w:val="24"/>
          <w:szCs w:val="24"/>
        </w:rPr>
      </w:pPr>
      <w:r>
        <w:rPr>
          <w:rFonts w:hint="eastAsia" w:ascii="宋体" w:hAnsi="宋体" w:cs="宋体"/>
          <w:sz w:val="24"/>
          <w:szCs w:val="24"/>
        </w:rPr>
        <w:t>（五）在谈判过程中谈判的任何一方不得向他人透露与谈判有关的技术资料、价格或其他信息。</w:t>
      </w:r>
    </w:p>
    <w:p w14:paraId="192DAB9A">
      <w:pPr>
        <w:spacing w:line="360" w:lineRule="auto"/>
        <w:ind w:firstLine="480" w:firstLineChars="200"/>
        <w:rPr>
          <w:rFonts w:hint="eastAsia" w:ascii="宋体" w:hAnsi="宋体" w:cs="宋体"/>
          <w:sz w:val="24"/>
          <w:szCs w:val="24"/>
        </w:rPr>
      </w:pPr>
      <w:r>
        <w:rPr>
          <w:rFonts w:hint="eastAsia" w:ascii="宋体" w:hAnsi="宋体" w:cs="宋体"/>
          <w:sz w:val="24"/>
          <w:szCs w:val="24"/>
        </w:rPr>
        <w:t>（六）在谈判过程中，谈判小组可以根据谈判采购文件和谈判情况实质性变动采购需求中的技术、服务要求以及合同草案条款，但不得变动谈判采购文件中的其他内容。实质性变动的内容，须经采购人代表确认。对谈判采购文件作出的实质性变动是谈判采购文件的有效组成部分，谈判小组应当及时以书面形式同时通知所有参加谈判的供应商。</w:t>
      </w:r>
    </w:p>
    <w:p w14:paraId="27DC8D02">
      <w:pPr>
        <w:spacing w:line="360" w:lineRule="auto"/>
        <w:ind w:firstLine="480" w:firstLineChars="200"/>
        <w:rPr>
          <w:rFonts w:hint="eastAsia" w:ascii="宋体" w:hAnsi="宋体" w:cs="宋体"/>
          <w:sz w:val="24"/>
          <w:szCs w:val="24"/>
        </w:rPr>
      </w:pPr>
      <w:r>
        <w:rPr>
          <w:rFonts w:hint="eastAsia" w:ascii="宋体" w:hAnsi="宋体" w:cs="宋体"/>
          <w:sz w:val="24"/>
          <w:szCs w:val="24"/>
        </w:rPr>
        <w:t>（七）供应商在谈判时作出的所有书面承诺须由法定代表人或其授权代表签字。</w:t>
      </w:r>
    </w:p>
    <w:p w14:paraId="63C5FDE7">
      <w:pPr>
        <w:spacing w:line="360" w:lineRule="auto"/>
        <w:ind w:firstLine="480" w:firstLineChars="200"/>
        <w:rPr>
          <w:rFonts w:hint="eastAsia" w:ascii="宋体" w:hAnsi="宋体" w:cs="宋体"/>
          <w:sz w:val="24"/>
          <w:szCs w:val="24"/>
        </w:rPr>
      </w:pPr>
      <w:r>
        <w:rPr>
          <w:rFonts w:hint="eastAsia" w:ascii="宋体" w:hAnsi="宋体" w:cs="宋体"/>
          <w:sz w:val="24"/>
          <w:szCs w:val="24"/>
        </w:rPr>
        <w:t>（八）经谈判确定最终采购需求且谈判结束后，供应商应当按照谈判采购文件的变动情况和谈判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33C0B051">
      <w:pPr>
        <w:spacing w:line="360" w:lineRule="auto"/>
        <w:ind w:firstLine="480" w:firstLineChars="200"/>
        <w:rPr>
          <w:rFonts w:hint="eastAsia" w:ascii="宋体" w:hAnsi="宋体" w:cs="宋体"/>
          <w:sz w:val="24"/>
          <w:szCs w:val="24"/>
        </w:rPr>
      </w:pPr>
      <w:r>
        <w:rPr>
          <w:rFonts w:hint="eastAsia" w:ascii="宋体" w:hAnsi="宋体" w:cs="宋体"/>
          <w:sz w:val="24"/>
          <w:szCs w:val="24"/>
        </w:rPr>
        <w:t>（九）谈判小组采用综合评分法对提交最后报价的供应商的响应文件和最后报价（含有效书面承诺）进行综合评分。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谈判采购文件全部实质性要求且按照评审因素的量化指标评审得分最高的供应商为成交候选供应商的评审方法。供应商总得分为价格、服务、技术等评定因素分别按照相应权重值计算分项得分后相加，满分为100分</w:t>
      </w:r>
      <w:r>
        <w:rPr>
          <w:rFonts w:hint="eastAsia" w:ascii="宋体" w:hAnsi="宋体" w:cs="宋体"/>
          <w:sz w:val="24"/>
          <w:szCs w:val="24"/>
        </w:rPr>
        <w:t>。（详见评审标准）。</w:t>
      </w:r>
    </w:p>
    <w:p w14:paraId="78C19912">
      <w:pPr>
        <w:spacing w:line="360" w:lineRule="auto"/>
        <w:ind w:firstLine="480" w:firstLineChars="200"/>
        <w:rPr>
          <w:rFonts w:hint="eastAsia" w:ascii="宋体" w:hAnsi="宋体" w:cs="宋体"/>
          <w:sz w:val="24"/>
          <w:szCs w:val="24"/>
        </w:rPr>
      </w:pPr>
      <w:r>
        <w:rPr>
          <w:rFonts w:hint="eastAsia" w:ascii="宋体" w:hAnsi="宋体" w:cs="宋体"/>
          <w:sz w:val="24"/>
          <w:szCs w:val="24"/>
        </w:rPr>
        <w:t>（十）谈判小组各成员独立对每个</w:t>
      </w:r>
      <w:r>
        <w:rPr>
          <w:rFonts w:hint="eastAsia" w:ascii="宋体" w:hAnsi="宋体" w:cs="宋体"/>
          <w:kern w:val="0"/>
          <w:sz w:val="24"/>
          <w:szCs w:val="24"/>
        </w:rPr>
        <w:t>实质性响应</w:t>
      </w:r>
      <w:r>
        <w:rPr>
          <w:rFonts w:hint="eastAsia" w:ascii="宋体" w:hAnsi="宋体" w:cs="宋体"/>
          <w:sz w:val="24"/>
          <w:szCs w:val="24"/>
        </w:rPr>
        <w:t>文件进行评价、打分，然后汇总每个供应商每项评分因素的得分。技术、商务得分由谈判小组成员独立评分（对各供应商响应文件的技术、商务部分独立进行分档评分）供应商各项评分因素得分为该项因素各评委评分的算术平均值（保留小数点后两位），小数点后第三位“四舍五入”。并根据综合评分情况按照评审得分由高到低顺序推荐成交候选供应商，并编写评审报告。若供应商的评审得分相同的，按照最后报价由低到高的顺序排列推荐。评审得分且最后报价相同的，按照服务指标优劣顺序排列推荐。</w:t>
      </w:r>
    </w:p>
    <w:p w14:paraId="6F20EBB2">
      <w:pPr>
        <w:keepNext/>
        <w:keepLines/>
        <w:widowControl w:val="0"/>
        <w:spacing w:before="0" w:after="0" w:line="312" w:lineRule="auto"/>
        <w:jc w:val="both"/>
        <w:outlineLvl w:val="2"/>
        <w:rPr>
          <w:rFonts w:hint="eastAsia" w:ascii="宋体" w:hAnsi="宋体" w:eastAsia="宋体" w:cs="宋体"/>
          <w:b/>
          <w:kern w:val="2"/>
          <w:sz w:val="24"/>
          <w:szCs w:val="24"/>
          <w:lang w:val="en-US" w:eastAsia="zh-CN" w:bidi="ar-SA"/>
        </w:rPr>
      </w:pPr>
      <w:bookmarkStart w:id="2" w:name="_Toc138018594"/>
      <w:bookmarkStart w:id="3" w:name="_Toc19176"/>
      <w:r>
        <w:rPr>
          <w:rFonts w:hint="eastAsia" w:ascii="宋体" w:hAnsi="宋体" w:eastAsia="宋体" w:cs="宋体"/>
          <w:b/>
          <w:kern w:val="2"/>
          <w:sz w:val="24"/>
          <w:szCs w:val="24"/>
          <w:lang w:val="en-US" w:eastAsia="zh-CN" w:bidi="ar-SA"/>
        </w:rPr>
        <w:t>二、评审标准</w:t>
      </w:r>
      <w:bookmarkEnd w:id="2"/>
      <w:bookmarkEnd w:id="3"/>
    </w:p>
    <w:tbl>
      <w:tblPr>
        <w:tblStyle w:val="5"/>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00"/>
        <w:gridCol w:w="1523"/>
        <w:gridCol w:w="4784"/>
        <w:gridCol w:w="1945"/>
      </w:tblGrid>
      <w:tr w14:paraId="7564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8" w:type="dxa"/>
            <w:noWrap w:val="0"/>
            <w:vAlign w:val="center"/>
          </w:tcPr>
          <w:p w14:paraId="14EC7D54">
            <w:pPr>
              <w:snapToGrid w:val="0"/>
              <w:spacing w:line="288" w:lineRule="auto"/>
              <w:jc w:val="center"/>
              <w:rPr>
                <w:rFonts w:hint="eastAsia" w:ascii="宋体" w:hAnsi="宋体" w:cs="宋体"/>
                <w:b/>
                <w:sz w:val="21"/>
                <w:szCs w:val="21"/>
              </w:rPr>
            </w:pPr>
            <w:r>
              <w:rPr>
                <w:rFonts w:hint="eastAsia" w:ascii="宋体" w:hAnsi="宋体" w:cs="宋体"/>
                <w:b/>
                <w:sz w:val="21"/>
                <w:szCs w:val="21"/>
              </w:rPr>
              <w:t>序号</w:t>
            </w:r>
          </w:p>
        </w:tc>
        <w:tc>
          <w:tcPr>
            <w:tcW w:w="1200" w:type="dxa"/>
            <w:noWrap w:val="0"/>
            <w:vAlign w:val="center"/>
          </w:tcPr>
          <w:p w14:paraId="26C86C2D">
            <w:pPr>
              <w:snapToGrid w:val="0"/>
              <w:spacing w:line="288" w:lineRule="auto"/>
              <w:jc w:val="center"/>
              <w:rPr>
                <w:rFonts w:hint="eastAsia" w:ascii="宋体" w:hAnsi="宋体" w:cs="宋体"/>
                <w:b/>
                <w:sz w:val="21"/>
                <w:szCs w:val="21"/>
              </w:rPr>
            </w:pPr>
            <w:r>
              <w:rPr>
                <w:rFonts w:hint="eastAsia" w:ascii="宋体" w:hAnsi="宋体" w:cs="宋体"/>
                <w:b/>
                <w:sz w:val="21"/>
                <w:szCs w:val="21"/>
              </w:rPr>
              <w:t>评分因素</w:t>
            </w:r>
          </w:p>
          <w:p w14:paraId="385EBB5E">
            <w:pPr>
              <w:snapToGrid w:val="0"/>
              <w:spacing w:line="288" w:lineRule="auto"/>
              <w:jc w:val="center"/>
              <w:rPr>
                <w:rFonts w:hint="eastAsia" w:ascii="宋体" w:hAnsi="宋体" w:cs="宋体"/>
                <w:b/>
                <w:sz w:val="21"/>
                <w:szCs w:val="21"/>
              </w:rPr>
            </w:pPr>
            <w:r>
              <w:rPr>
                <w:rFonts w:hint="eastAsia" w:ascii="宋体" w:hAnsi="宋体" w:cs="宋体"/>
                <w:b/>
                <w:sz w:val="21"/>
                <w:szCs w:val="21"/>
              </w:rPr>
              <w:t>及权重</w:t>
            </w:r>
          </w:p>
        </w:tc>
        <w:tc>
          <w:tcPr>
            <w:tcW w:w="1523" w:type="dxa"/>
            <w:noWrap w:val="0"/>
            <w:vAlign w:val="center"/>
          </w:tcPr>
          <w:p w14:paraId="672454CE">
            <w:pPr>
              <w:snapToGrid w:val="0"/>
              <w:spacing w:line="288" w:lineRule="auto"/>
              <w:jc w:val="center"/>
              <w:rPr>
                <w:rFonts w:hint="eastAsia" w:ascii="宋体" w:hAnsi="宋体" w:cs="宋体"/>
                <w:b/>
                <w:sz w:val="21"/>
                <w:szCs w:val="21"/>
              </w:rPr>
            </w:pPr>
            <w:r>
              <w:rPr>
                <w:rFonts w:hint="eastAsia" w:ascii="宋体" w:hAnsi="宋体" w:cs="宋体"/>
                <w:b/>
                <w:sz w:val="21"/>
                <w:szCs w:val="21"/>
              </w:rPr>
              <w:t>分值</w:t>
            </w:r>
          </w:p>
        </w:tc>
        <w:tc>
          <w:tcPr>
            <w:tcW w:w="4784" w:type="dxa"/>
            <w:noWrap w:val="0"/>
            <w:vAlign w:val="center"/>
          </w:tcPr>
          <w:p w14:paraId="5A75A748">
            <w:pPr>
              <w:snapToGrid w:val="0"/>
              <w:spacing w:line="288" w:lineRule="auto"/>
              <w:jc w:val="center"/>
              <w:rPr>
                <w:rFonts w:hint="eastAsia" w:ascii="宋体" w:hAnsi="宋体" w:cs="宋体"/>
                <w:b/>
                <w:sz w:val="21"/>
                <w:szCs w:val="21"/>
              </w:rPr>
            </w:pPr>
            <w:r>
              <w:rPr>
                <w:rFonts w:hint="eastAsia" w:ascii="宋体" w:hAnsi="宋体" w:cs="宋体"/>
                <w:b/>
                <w:sz w:val="21"/>
                <w:szCs w:val="21"/>
              </w:rPr>
              <w:t>评分标准</w:t>
            </w:r>
          </w:p>
        </w:tc>
        <w:tc>
          <w:tcPr>
            <w:tcW w:w="1945" w:type="dxa"/>
            <w:noWrap w:val="0"/>
            <w:vAlign w:val="center"/>
          </w:tcPr>
          <w:p w14:paraId="24CC0EE6">
            <w:pPr>
              <w:widowControl w:val="0"/>
              <w:snapToGrid w:val="0"/>
              <w:spacing w:before="0" w:after="0" w:line="288" w:lineRule="auto"/>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说明</w:t>
            </w:r>
          </w:p>
        </w:tc>
      </w:tr>
      <w:tr w14:paraId="7F3F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78" w:type="dxa"/>
            <w:noWrap w:val="0"/>
            <w:vAlign w:val="center"/>
          </w:tcPr>
          <w:p w14:paraId="3A965015">
            <w:pPr>
              <w:snapToGrid w:val="0"/>
              <w:spacing w:line="288" w:lineRule="auto"/>
              <w:jc w:val="center"/>
              <w:rPr>
                <w:rFonts w:hint="eastAsia" w:ascii="宋体" w:hAnsi="宋体" w:cs="宋体"/>
                <w:sz w:val="21"/>
                <w:szCs w:val="21"/>
              </w:rPr>
            </w:pPr>
            <w:r>
              <w:rPr>
                <w:rFonts w:hint="eastAsia" w:ascii="宋体" w:hAnsi="宋体" w:cs="宋体"/>
                <w:sz w:val="21"/>
                <w:szCs w:val="21"/>
              </w:rPr>
              <w:t>1</w:t>
            </w:r>
          </w:p>
        </w:tc>
        <w:tc>
          <w:tcPr>
            <w:tcW w:w="1200" w:type="dxa"/>
            <w:noWrap w:val="0"/>
            <w:vAlign w:val="center"/>
          </w:tcPr>
          <w:p w14:paraId="4DDCCEAA">
            <w:pPr>
              <w:snapToGrid w:val="0"/>
              <w:spacing w:line="288" w:lineRule="auto"/>
              <w:jc w:val="center"/>
              <w:rPr>
                <w:rFonts w:hint="eastAsia" w:ascii="宋体" w:hAnsi="宋体" w:cs="宋体"/>
                <w:sz w:val="21"/>
                <w:szCs w:val="21"/>
              </w:rPr>
            </w:pPr>
            <w:r>
              <w:rPr>
                <w:rFonts w:hint="eastAsia" w:ascii="宋体" w:hAnsi="宋体" w:cs="宋体"/>
                <w:sz w:val="21"/>
                <w:szCs w:val="21"/>
              </w:rPr>
              <w:t>投标报价</w:t>
            </w:r>
          </w:p>
          <w:p w14:paraId="20C59763">
            <w:pPr>
              <w:snapToGrid w:val="0"/>
              <w:spacing w:line="288" w:lineRule="auto"/>
              <w:jc w:val="center"/>
              <w:rPr>
                <w:rFonts w:hint="eastAsia" w:ascii="宋体" w:hAnsi="宋体" w:cs="宋体"/>
                <w:sz w:val="21"/>
                <w:szCs w:val="21"/>
              </w:rPr>
            </w:pPr>
            <w:r>
              <w:rPr>
                <w:rFonts w:hint="eastAsia" w:ascii="宋体" w:hAnsi="宋体" w:cs="宋体"/>
                <w:sz w:val="21"/>
                <w:szCs w:val="21"/>
              </w:rPr>
              <w:t>（20%）</w:t>
            </w:r>
          </w:p>
        </w:tc>
        <w:tc>
          <w:tcPr>
            <w:tcW w:w="1523" w:type="dxa"/>
            <w:noWrap w:val="0"/>
            <w:vAlign w:val="center"/>
          </w:tcPr>
          <w:p w14:paraId="7CD1C0F8">
            <w:pPr>
              <w:snapToGrid w:val="0"/>
              <w:spacing w:line="288" w:lineRule="auto"/>
              <w:jc w:val="center"/>
              <w:rPr>
                <w:rFonts w:hint="eastAsia" w:ascii="宋体" w:hAnsi="宋体" w:eastAsia="宋体" w:cs="宋体"/>
                <w:sz w:val="21"/>
                <w:szCs w:val="21"/>
                <w:lang w:val="en-US" w:eastAsia="zh-CN"/>
              </w:rPr>
            </w:pPr>
            <w:r>
              <w:rPr>
                <w:rFonts w:hint="eastAsia" w:ascii="宋体" w:hAnsi="宋体" w:cs="宋体"/>
                <w:sz w:val="21"/>
                <w:szCs w:val="21"/>
              </w:rPr>
              <w:t>20</w:t>
            </w:r>
            <w:r>
              <w:rPr>
                <w:rFonts w:hint="eastAsia" w:ascii="宋体" w:hAnsi="宋体" w:cs="宋体"/>
                <w:sz w:val="21"/>
                <w:szCs w:val="21"/>
                <w:lang w:val="en-US" w:eastAsia="zh-CN"/>
              </w:rPr>
              <w:t>分</w:t>
            </w:r>
          </w:p>
        </w:tc>
        <w:tc>
          <w:tcPr>
            <w:tcW w:w="4784" w:type="dxa"/>
            <w:noWrap w:val="0"/>
            <w:vAlign w:val="center"/>
          </w:tcPr>
          <w:p w14:paraId="53741F47">
            <w:pPr>
              <w:widowControl/>
              <w:snapToGrid w:val="0"/>
              <w:spacing w:line="288" w:lineRule="auto"/>
              <w:outlineLvl w:val="2"/>
              <w:rPr>
                <w:rFonts w:hint="eastAsia" w:ascii="宋体" w:hAnsi="宋体" w:cs="宋体"/>
                <w:sz w:val="21"/>
                <w:szCs w:val="21"/>
              </w:rPr>
            </w:pPr>
            <w:r>
              <w:rPr>
                <w:rFonts w:hint="eastAsia" w:ascii="宋体" w:hAnsi="宋体" w:cs="宋体"/>
                <w:sz w:val="21"/>
                <w:szCs w:val="21"/>
              </w:rPr>
              <w:t>有效的投标报价中的最低价为评标基准价，按照下列公式计算每个供应商的投标价格得分。</w:t>
            </w:r>
          </w:p>
          <w:p w14:paraId="6E621FF3">
            <w:pPr>
              <w:widowControl/>
              <w:snapToGrid w:val="0"/>
              <w:spacing w:line="288" w:lineRule="auto"/>
              <w:outlineLvl w:val="2"/>
              <w:rPr>
                <w:rFonts w:hint="eastAsia" w:ascii="宋体" w:hAnsi="宋体" w:cs="宋体"/>
                <w:sz w:val="21"/>
                <w:szCs w:val="21"/>
              </w:rPr>
            </w:pPr>
            <w:r>
              <w:rPr>
                <w:rFonts w:hint="eastAsia" w:ascii="宋体" w:hAnsi="宋体" w:cs="宋体"/>
                <w:sz w:val="21"/>
                <w:szCs w:val="21"/>
              </w:rPr>
              <w:t>投标报价得分＝（评标基准价/投标报价）×价格权重×100。</w:t>
            </w:r>
          </w:p>
        </w:tc>
        <w:tc>
          <w:tcPr>
            <w:tcW w:w="1945" w:type="dxa"/>
            <w:noWrap w:val="0"/>
            <w:vAlign w:val="center"/>
          </w:tcPr>
          <w:p w14:paraId="3A49EBCE">
            <w:pPr>
              <w:snapToGrid w:val="0"/>
              <w:spacing w:line="288" w:lineRule="auto"/>
              <w:rPr>
                <w:rFonts w:hint="eastAsia" w:ascii="宋体" w:hAnsi="宋体" w:cs="宋体"/>
                <w:sz w:val="21"/>
                <w:szCs w:val="21"/>
              </w:rPr>
            </w:pPr>
            <w:r>
              <w:rPr>
                <w:rFonts w:hint="eastAsia" w:ascii="宋体" w:hAnsi="宋体" w:cs="宋体"/>
                <w:sz w:val="21"/>
                <w:szCs w:val="21"/>
              </w:rPr>
              <w:t>高于</w:t>
            </w:r>
            <w:r>
              <w:rPr>
                <w:rFonts w:hint="eastAsia" w:ascii="宋体" w:hAnsi="宋体" w:cs="宋体"/>
                <w:sz w:val="21"/>
                <w:szCs w:val="21"/>
                <w:lang w:val="en-US" w:eastAsia="zh-CN"/>
              </w:rPr>
              <w:t>最高限价的</w:t>
            </w:r>
            <w:r>
              <w:rPr>
                <w:rFonts w:hint="eastAsia" w:ascii="宋体" w:hAnsi="宋体" w:cs="宋体"/>
                <w:sz w:val="21"/>
                <w:szCs w:val="21"/>
              </w:rPr>
              <w:t>为无效报价</w:t>
            </w:r>
          </w:p>
        </w:tc>
      </w:tr>
      <w:tr w14:paraId="22E4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878" w:type="dxa"/>
            <w:vMerge w:val="restart"/>
            <w:noWrap w:val="0"/>
            <w:vAlign w:val="center"/>
          </w:tcPr>
          <w:p w14:paraId="5D4E24F4">
            <w:pPr>
              <w:snapToGrid w:val="0"/>
              <w:spacing w:line="288" w:lineRule="auto"/>
              <w:jc w:val="center"/>
              <w:rPr>
                <w:rFonts w:hint="eastAsia" w:ascii="宋体" w:hAnsi="宋体" w:cs="宋体"/>
                <w:sz w:val="21"/>
                <w:szCs w:val="21"/>
              </w:rPr>
            </w:pPr>
            <w:r>
              <w:rPr>
                <w:rFonts w:hint="eastAsia" w:ascii="宋体" w:hAnsi="宋体" w:cs="宋体"/>
                <w:sz w:val="21"/>
                <w:szCs w:val="21"/>
              </w:rPr>
              <w:t>2</w:t>
            </w:r>
          </w:p>
        </w:tc>
        <w:tc>
          <w:tcPr>
            <w:tcW w:w="1200" w:type="dxa"/>
            <w:vMerge w:val="restart"/>
            <w:noWrap w:val="0"/>
            <w:vAlign w:val="center"/>
          </w:tcPr>
          <w:p w14:paraId="55EFA205">
            <w:pPr>
              <w:snapToGrid w:val="0"/>
              <w:spacing w:line="288" w:lineRule="auto"/>
              <w:jc w:val="center"/>
              <w:rPr>
                <w:rFonts w:hint="eastAsia" w:ascii="宋体" w:hAnsi="宋体" w:cs="宋体"/>
                <w:sz w:val="21"/>
                <w:szCs w:val="21"/>
              </w:rPr>
            </w:pPr>
            <w:r>
              <w:rPr>
                <w:rFonts w:hint="eastAsia" w:ascii="宋体" w:hAnsi="宋体" w:cs="宋体"/>
                <w:sz w:val="21"/>
                <w:szCs w:val="21"/>
              </w:rPr>
              <w:t>技术部分</w:t>
            </w:r>
          </w:p>
          <w:p w14:paraId="5674A79D">
            <w:pPr>
              <w:snapToGrid w:val="0"/>
              <w:spacing w:line="288" w:lineRule="auto"/>
              <w:jc w:val="center"/>
              <w:rPr>
                <w:rFonts w:hint="eastAsia" w:ascii="宋体" w:hAnsi="宋体" w:cs="宋体"/>
                <w:sz w:val="21"/>
                <w:szCs w:val="21"/>
              </w:rPr>
            </w:pPr>
            <w:r>
              <w:rPr>
                <w:rFonts w:hint="eastAsia" w:ascii="宋体" w:hAnsi="宋体" w:cs="宋体"/>
                <w:sz w:val="21"/>
                <w:szCs w:val="21"/>
              </w:rPr>
              <w:t>（70%）</w:t>
            </w:r>
          </w:p>
        </w:tc>
        <w:tc>
          <w:tcPr>
            <w:tcW w:w="1523" w:type="dxa"/>
            <w:noWrap w:val="0"/>
            <w:vAlign w:val="center"/>
          </w:tcPr>
          <w:p w14:paraId="7D1DBD7B">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服务方案（20分）</w:t>
            </w:r>
          </w:p>
        </w:tc>
        <w:tc>
          <w:tcPr>
            <w:tcW w:w="4784" w:type="dxa"/>
            <w:noWrap w:val="0"/>
            <w:vAlign w:val="center"/>
          </w:tcPr>
          <w:p w14:paraId="51927B47">
            <w:pPr>
              <w:snapToGrid w:val="0"/>
              <w:spacing w:line="288"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1.针对本项目制定的服务方案的规范性、科学合理性、可行性、可操作性等情况较好，得14-20分；</w:t>
            </w:r>
          </w:p>
          <w:p w14:paraId="5C4E0407">
            <w:pPr>
              <w:snapToGrid w:val="0"/>
              <w:spacing w:line="288"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2.针对本项目制定的服务方案的规范性、科学合理性、可行性、可操作性等情况一般，得7-13分；</w:t>
            </w:r>
          </w:p>
          <w:p w14:paraId="15A49DC6">
            <w:pPr>
              <w:snapToGrid w:val="0"/>
              <w:spacing w:line="288"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3.针对本项目制定的服务方案的规范性、科学合理性、可行性、可操作性等情况差，得1-6分。</w:t>
            </w:r>
          </w:p>
          <w:p w14:paraId="31E1699C">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以上方案未提供的不得分。</w:t>
            </w:r>
          </w:p>
        </w:tc>
        <w:tc>
          <w:tcPr>
            <w:tcW w:w="1945" w:type="dxa"/>
            <w:noWrap w:val="0"/>
            <w:vAlign w:val="center"/>
          </w:tcPr>
          <w:p w14:paraId="22164C8F">
            <w:pPr>
              <w:snapToGrid w:val="0"/>
              <w:spacing w:line="288" w:lineRule="auto"/>
              <w:rPr>
                <w:rFonts w:hint="eastAsia" w:ascii="宋体" w:hAnsi="宋体" w:cs="宋体"/>
                <w:sz w:val="21"/>
                <w:szCs w:val="21"/>
              </w:rPr>
            </w:pPr>
          </w:p>
        </w:tc>
      </w:tr>
      <w:tr w14:paraId="041E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78" w:type="dxa"/>
            <w:vMerge w:val="continue"/>
            <w:noWrap w:val="0"/>
            <w:vAlign w:val="center"/>
          </w:tcPr>
          <w:p w14:paraId="06A73502">
            <w:pPr>
              <w:snapToGrid w:val="0"/>
              <w:spacing w:line="288" w:lineRule="auto"/>
              <w:jc w:val="center"/>
              <w:rPr>
                <w:rFonts w:hint="eastAsia" w:ascii="宋体" w:hAnsi="宋体" w:cs="宋体"/>
                <w:sz w:val="21"/>
                <w:szCs w:val="21"/>
              </w:rPr>
            </w:pPr>
          </w:p>
        </w:tc>
        <w:tc>
          <w:tcPr>
            <w:tcW w:w="1200" w:type="dxa"/>
            <w:vMerge w:val="continue"/>
            <w:noWrap w:val="0"/>
            <w:vAlign w:val="center"/>
          </w:tcPr>
          <w:p w14:paraId="71991D39">
            <w:pPr>
              <w:snapToGrid w:val="0"/>
              <w:spacing w:line="288" w:lineRule="auto"/>
              <w:jc w:val="center"/>
              <w:rPr>
                <w:rFonts w:hint="eastAsia" w:ascii="宋体" w:hAnsi="宋体" w:cs="宋体"/>
                <w:sz w:val="21"/>
                <w:szCs w:val="21"/>
              </w:rPr>
            </w:pPr>
          </w:p>
        </w:tc>
        <w:tc>
          <w:tcPr>
            <w:tcW w:w="1523" w:type="dxa"/>
            <w:noWrap w:val="0"/>
            <w:vAlign w:val="center"/>
          </w:tcPr>
          <w:p w14:paraId="732E7B0A">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总体</w:t>
            </w:r>
            <w:r>
              <w:rPr>
                <w:rFonts w:hint="eastAsia" w:ascii="宋体" w:hAnsi="宋体" w:eastAsia="宋体" w:cs="宋体"/>
                <w:color w:val="000000"/>
                <w:sz w:val="21"/>
                <w:szCs w:val="21"/>
                <w:lang w:val="en-US" w:eastAsia="zh-CN"/>
              </w:rPr>
              <w:t>编制</w:t>
            </w:r>
            <w:r>
              <w:rPr>
                <w:rFonts w:hint="eastAsia" w:ascii="宋体" w:hAnsi="宋体" w:eastAsia="宋体" w:cs="宋体"/>
                <w:color w:val="000000"/>
                <w:sz w:val="21"/>
                <w:szCs w:val="21"/>
              </w:rPr>
              <w:t>思路（满分</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tc>
        <w:tc>
          <w:tcPr>
            <w:tcW w:w="4784" w:type="dxa"/>
            <w:noWrap w:val="0"/>
            <w:vAlign w:val="center"/>
          </w:tcPr>
          <w:p w14:paraId="2398C473">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总体</w:t>
            </w:r>
            <w:r>
              <w:rPr>
                <w:rFonts w:hint="eastAsia" w:ascii="宋体" w:hAnsi="宋体" w:eastAsia="宋体" w:cs="宋体"/>
                <w:color w:val="000000"/>
                <w:sz w:val="21"/>
                <w:szCs w:val="21"/>
                <w:lang w:val="en-US" w:eastAsia="zh-CN"/>
              </w:rPr>
              <w:t>编制</w:t>
            </w:r>
            <w:r>
              <w:rPr>
                <w:rFonts w:hint="eastAsia" w:ascii="宋体" w:hAnsi="宋体" w:eastAsia="宋体" w:cs="宋体"/>
                <w:color w:val="000000"/>
                <w:sz w:val="21"/>
                <w:szCs w:val="21"/>
              </w:rPr>
              <w:t>思路清晰，重点突出，系统性较强，考虑全面，科学且切实可行的得</w:t>
            </w: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p w14:paraId="69BD097B">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总体</w:t>
            </w:r>
            <w:r>
              <w:rPr>
                <w:rFonts w:hint="eastAsia" w:ascii="宋体" w:hAnsi="宋体" w:eastAsia="宋体" w:cs="宋体"/>
                <w:color w:val="000000"/>
                <w:sz w:val="21"/>
                <w:szCs w:val="21"/>
                <w:lang w:val="en-US" w:eastAsia="zh-CN"/>
              </w:rPr>
              <w:t>编制</w:t>
            </w:r>
            <w:r>
              <w:rPr>
                <w:rFonts w:hint="eastAsia" w:ascii="宋体" w:hAnsi="宋体" w:eastAsia="宋体" w:cs="宋体"/>
                <w:color w:val="000000"/>
                <w:sz w:val="21"/>
                <w:szCs w:val="21"/>
              </w:rPr>
              <w:t>思路一般，重点基本把握，系统性稍差，考虑存在一定的瑕疵的得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p w14:paraId="0C116769">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总体</w:t>
            </w:r>
            <w:r>
              <w:rPr>
                <w:rFonts w:hint="eastAsia" w:ascii="宋体" w:hAnsi="宋体" w:eastAsia="宋体" w:cs="宋体"/>
                <w:color w:val="000000"/>
                <w:sz w:val="21"/>
                <w:szCs w:val="21"/>
                <w:lang w:val="en-US" w:eastAsia="zh-CN"/>
              </w:rPr>
              <w:t>编制</w:t>
            </w:r>
            <w:r>
              <w:rPr>
                <w:rFonts w:hint="eastAsia" w:ascii="宋体" w:hAnsi="宋体" w:eastAsia="宋体" w:cs="宋体"/>
                <w:color w:val="000000"/>
                <w:sz w:val="21"/>
                <w:szCs w:val="21"/>
              </w:rPr>
              <w:t>思路不清晰，系统性差，存在较大的瑕疵的得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14:paraId="382B79D4">
            <w:pPr>
              <w:snapToGrid w:val="0"/>
              <w:spacing w:line="288" w:lineRule="auto"/>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以上</w:t>
            </w:r>
            <w:r>
              <w:rPr>
                <w:rFonts w:hint="eastAsia" w:ascii="宋体" w:hAnsi="宋体" w:eastAsia="宋体" w:cs="宋体"/>
                <w:color w:val="000000"/>
                <w:sz w:val="21"/>
                <w:szCs w:val="21"/>
                <w:lang w:val="en-US" w:eastAsia="zh-CN"/>
              </w:rPr>
              <w:t>编制思路</w:t>
            </w:r>
            <w:r>
              <w:rPr>
                <w:rFonts w:hint="eastAsia" w:ascii="宋体" w:hAnsi="宋体" w:eastAsia="宋体" w:cs="宋体"/>
                <w:color w:val="000000"/>
                <w:sz w:val="21"/>
                <w:szCs w:val="21"/>
              </w:rPr>
              <w:t>未提供</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不得分。</w:t>
            </w:r>
          </w:p>
        </w:tc>
        <w:tc>
          <w:tcPr>
            <w:tcW w:w="1945" w:type="dxa"/>
            <w:noWrap w:val="0"/>
            <w:vAlign w:val="center"/>
          </w:tcPr>
          <w:p w14:paraId="50F65E8F">
            <w:pPr>
              <w:snapToGrid w:val="0"/>
              <w:spacing w:line="288" w:lineRule="auto"/>
              <w:rPr>
                <w:rFonts w:hint="eastAsia" w:ascii="宋体" w:hAnsi="宋体" w:cs="宋体"/>
                <w:sz w:val="21"/>
                <w:szCs w:val="21"/>
              </w:rPr>
            </w:pPr>
          </w:p>
        </w:tc>
      </w:tr>
      <w:tr w14:paraId="4091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 w:type="dxa"/>
            <w:vMerge w:val="continue"/>
            <w:noWrap w:val="0"/>
            <w:vAlign w:val="center"/>
          </w:tcPr>
          <w:p w14:paraId="6FE25BA7">
            <w:pPr>
              <w:snapToGrid w:val="0"/>
              <w:spacing w:line="288" w:lineRule="auto"/>
              <w:jc w:val="center"/>
              <w:rPr>
                <w:rFonts w:hint="eastAsia" w:ascii="宋体" w:hAnsi="宋体" w:cs="宋体"/>
                <w:sz w:val="21"/>
                <w:szCs w:val="21"/>
              </w:rPr>
            </w:pPr>
          </w:p>
        </w:tc>
        <w:tc>
          <w:tcPr>
            <w:tcW w:w="1200" w:type="dxa"/>
            <w:vMerge w:val="continue"/>
            <w:noWrap w:val="0"/>
            <w:vAlign w:val="center"/>
          </w:tcPr>
          <w:p w14:paraId="0551E6A4">
            <w:pPr>
              <w:snapToGrid w:val="0"/>
              <w:spacing w:line="288" w:lineRule="auto"/>
              <w:jc w:val="center"/>
              <w:rPr>
                <w:rFonts w:hint="eastAsia" w:ascii="宋体" w:hAnsi="宋体" w:cs="宋体"/>
                <w:sz w:val="21"/>
                <w:szCs w:val="21"/>
              </w:rPr>
            </w:pPr>
          </w:p>
        </w:tc>
        <w:tc>
          <w:tcPr>
            <w:tcW w:w="1523" w:type="dxa"/>
            <w:noWrap w:val="0"/>
            <w:vAlign w:val="center"/>
          </w:tcPr>
          <w:p w14:paraId="2AA1EA7B">
            <w:pPr>
              <w:snapToGrid w:val="0"/>
              <w:spacing w:line="288"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编制</w:t>
            </w:r>
            <w:r>
              <w:rPr>
                <w:rFonts w:hint="eastAsia" w:ascii="宋体" w:hAnsi="宋体" w:eastAsia="宋体" w:cs="宋体"/>
                <w:color w:val="000000"/>
                <w:sz w:val="21"/>
                <w:szCs w:val="21"/>
              </w:rPr>
              <w:t>质量保证体系及措施（满分</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tc>
        <w:tc>
          <w:tcPr>
            <w:tcW w:w="4784" w:type="dxa"/>
            <w:noWrap w:val="0"/>
            <w:vAlign w:val="top"/>
          </w:tcPr>
          <w:p w14:paraId="05103BBC">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1.编制</w:t>
            </w:r>
            <w:r>
              <w:rPr>
                <w:rFonts w:hint="eastAsia" w:ascii="宋体" w:hAnsi="宋体" w:eastAsia="宋体" w:cs="宋体"/>
                <w:color w:val="000000"/>
                <w:sz w:val="21"/>
                <w:szCs w:val="21"/>
              </w:rPr>
              <w:t>质量承诺较好，质量保证措施完善、可行的得</w:t>
            </w: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14:paraId="3DB2FD6A">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2.编制</w:t>
            </w:r>
            <w:r>
              <w:rPr>
                <w:rFonts w:hint="eastAsia" w:ascii="宋体" w:hAnsi="宋体" w:eastAsia="宋体" w:cs="宋体"/>
                <w:color w:val="000000"/>
                <w:sz w:val="21"/>
                <w:szCs w:val="21"/>
              </w:rPr>
              <w:t>质量承诺一般，质量保证措施基本完善、基本可行的得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p w14:paraId="3E6B3C41">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3.编制</w:t>
            </w:r>
            <w:r>
              <w:rPr>
                <w:rFonts w:hint="eastAsia" w:ascii="宋体" w:hAnsi="宋体" w:eastAsia="宋体" w:cs="宋体"/>
                <w:color w:val="000000"/>
                <w:sz w:val="21"/>
                <w:szCs w:val="21"/>
              </w:rPr>
              <w:t>质量承诺较差，质量保证措施不完善的得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1945" w:type="dxa"/>
            <w:noWrap w:val="0"/>
            <w:vAlign w:val="center"/>
          </w:tcPr>
          <w:p w14:paraId="22AC95B6">
            <w:pPr>
              <w:snapToGrid w:val="0"/>
              <w:spacing w:line="288" w:lineRule="auto"/>
              <w:rPr>
                <w:rFonts w:hint="eastAsia" w:ascii="宋体" w:hAnsi="宋体" w:cs="宋体"/>
                <w:sz w:val="21"/>
                <w:szCs w:val="21"/>
              </w:rPr>
            </w:pPr>
          </w:p>
        </w:tc>
      </w:tr>
      <w:tr w14:paraId="558E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 w:type="dxa"/>
            <w:vMerge w:val="continue"/>
            <w:noWrap w:val="0"/>
            <w:vAlign w:val="center"/>
          </w:tcPr>
          <w:p w14:paraId="087E9E5C">
            <w:pPr>
              <w:snapToGrid w:val="0"/>
              <w:spacing w:line="288" w:lineRule="auto"/>
              <w:jc w:val="center"/>
              <w:rPr>
                <w:rFonts w:hint="eastAsia" w:ascii="宋体" w:hAnsi="宋体" w:cs="宋体"/>
                <w:sz w:val="21"/>
                <w:szCs w:val="21"/>
              </w:rPr>
            </w:pPr>
          </w:p>
        </w:tc>
        <w:tc>
          <w:tcPr>
            <w:tcW w:w="1200" w:type="dxa"/>
            <w:vMerge w:val="continue"/>
            <w:noWrap w:val="0"/>
            <w:vAlign w:val="center"/>
          </w:tcPr>
          <w:p w14:paraId="513B2AE4">
            <w:pPr>
              <w:snapToGrid w:val="0"/>
              <w:spacing w:line="288" w:lineRule="auto"/>
              <w:jc w:val="center"/>
              <w:rPr>
                <w:rFonts w:hint="eastAsia" w:ascii="宋体" w:hAnsi="宋体" w:cs="宋体"/>
                <w:sz w:val="21"/>
                <w:szCs w:val="21"/>
              </w:rPr>
            </w:pPr>
          </w:p>
        </w:tc>
        <w:tc>
          <w:tcPr>
            <w:tcW w:w="1523" w:type="dxa"/>
            <w:noWrap w:val="0"/>
            <w:vAlign w:val="center"/>
          </w:tcPr>
          <w:p w14:paraId="6432CFCD">
            <w:pPr>
              <w:widowControl/>
              <w:snapToGrid w:val="0"/>
              <w:spacing w:line="288" w:lineRule="auto"/>
              <w:jc w:val="center"/>
              <w:rPr>
                <w:rFonts w:hint="eastAsia" w:ascii="宋体" w:hAnsi="宋体" w:eastAsia="宋体" w:cs="宋体"/>
                <w:kern w:val="1"/>
                <w:sz w:val="21"/>
                <w:szCs w:val="21"/>
                <w:lang w:eastAsia="zh-CN"/>
              </w:rPr>
            </w:pPr>
            <w:r>
              <w:rPr>
                <w:rFonts w:hint="eastAsia" w:ascii="宋体" w:hAnsi="宋体" w:cs="宋体"/>
                <w:kern w:val="1"/>
                <w:sz w:val="21"/>
                <w:szCs w:val="21"/>
              </w:rPr>
              <w:t>项目实施及进度计划措施</w:t>
            </w:r>
            <w:r>
              <w:rPr>
                <w:rFonts w:hint="eastAsia" w:ascii="宋体" w:hAnsi="宋体" w:cs="宋体"/>
                <w:kern w:val="1"/>
                <w:sz w:val="21"/>
                <w:szCs w:val="21"/>
                <w:lang w:eastAsia="zh-CN"/>
              </w:rPr>
              <w:t>（</w:t>
            </w:r>
            <w:r>
              <w:rPr>
                <w:rFonts w:hint="eastAsia" w:ascii="宋体" w:hAnsi="宋体" w:cs="宋体"/>
                <w:kern w:val="1"/>
                <w:sz w:val="21"/>
                <w:szCs w:val="21"/>
                <w:lang w:val="en-US" w:eastAsia="zh-CN"/>
              </w:rPr>
              <w:t>满分10分</w:t>
            </w:r>
            <w:r>
              <w:rPr>
                <w:rFonts w:hint="eastAsia" w:ascii="宋体" w:hAnsi="宋体" w:cs="宋体"/>
                <w:kern w:val="1"/>
                <w:sz w:val="21"/>
                <w:szCs w:val="21"/>
                <w:lang w:eastAsia="zh-CN"/>
              </w:rPr>
              <w:t>）</w:t>
            </w:r>
          </w:p>
        </w:tc>
        <w:tc>
          <w:tcPr>
            <w:tcW w:w="4784" w:type="dxa"/>
            <w:noWrap w:val="0"/>
            <w:vAlign w:val="center"/>
          </w:tcPr>
          <w:p w14:paraId="0A0D06A8">
            <w:pPr>
              <w:widowControl/>
              <w:snapToGrid w:val="0"/>
              <w:spacing w:line="288" w:lineRule="auto"/>
              <w:jc w:val="left"/>
              <w:rPr>
                <w:rFonts w:hint="eastAsia" w:ascii="宋体" w:hAnsi="宋体" w:cs="宋体"/>
                <w:kern w:val="1"/>
                <w:sz w:val="21"/>
                <w:szCs w:val="21"/>
              </w:rPr>
            </w:pPr>
            <w:r>
              <w:rPr>
                <w:rFonts w:hint="eastAsia" w:ascii="宋体" w:hAnsi="宋体" w:cs="宋体"/>
                <w:kern w:val="1"/>
                <w:sz w:val="21"/>
                <w:szCs w:val="21"/>
              </w:rPr>
              <w:t>根据供应商提供的项目实施方案及进度计划措施的详细性、可操作性，时间进度的清晰程度进行评审评分：</w:t>
            </w:r>
          </w:p>
          <w:p w14:paraId="356D8B9E">
            <w:pPr>
              <w:widowControl/>
              <w:snapToGrid w:val="0"/>
              <w:spacing w:line="288" w:lineRule="auto"/>
              <w:jc w:val="left"/>
              <w:rPr>
                <w:rFonts w:hint="eastAsia" w:ascii="宋体" w:hAnsi="宋体" w:cs="宋体"/>
                <w:kern w:val="1"/>
                <w:sz w:val="21"/>
                <w:szCs w:val="21"/>
              </w:rPr>
            </w:pPr>
            <w:r>
              <w:rPr>
                <w:rFonts w:hint="eastAsia" w:ascii="宋体" w:hAnsi="宋体" w:cs="宋体"/>
                <w:kern w:val="1"/>
                <w:sz w:val="21"/>
                <w:szCs w:val="21"/>
                <w:lang w:val="en-US" w:eastAsia="zh-CN"/>
              </w:rPr>
              <w:t>1、</w:t>
            </w:r>
            <w:r>
              <w:rPr>
                <w:rFonts w:hint="eastAsia" w:ascii="宋体" w:hAnsi="宋体" w:cs="宋体"/>
                <w:kern w:val="1"/>
                <w:sz w:val="21"/>
                <w:szCs w:val="21"/>
              </w:rPr>
              <w:t>方案详实且符合要求、时间进度清晰、实施措施极具操作性</w:t>
            </w:r>
            <w:r>
              <w:rPr>
                <w:rFonts w:hint="eastAsia" w:ascii="宋体" w:hAnsi="宋体" w:cs="宋体"/>
                <w:kern w:val="1"/>
                <w:sz w:val="21"/>
                <w:szCs w:val="21"/>
                <w:lang w:val="en-US" w:eastAsia="zh-CN"/>
              </w:rPr>
              <w:t>的得8</w:t>
            </w:r>
            <w:r>
              <w:rPr>
                <w:rFonts w:hint="eastAsia" w:ascii="宋体" w:hAnsi="宋体" w:cs="宋体"/>
                <w:kern w:val="1"/>
                <w:sz w:val="21"/>
                <w:szCs w:val="21"/>
              </w:rPr>
              <w:t>～</w:t>
            </w:r>
            <w:r>
              <w:rPr>
                <w:rFonts w:hint="eastAsia" w:ascii="宋体" w:hAnsi="宋体" w:cs="宋体"/>
                <w:kern w:val="1"/>
                <w:sz w:val="21"/>
                <w:szCs w:val="21"/>
                <w:lang w:val="en-US" w:eastAsia="zh-CN"/>
              </w:rPr>
              <w:t>10</w:t>
            </w:r>
            <w:r>
              <w:rPr>
                <w:rFonts w:hint="eastAsia" w:ascii="宋体" w:hAnsi="宋体" w:cs="宋体"/>
                <w:kern w:val="1"/>
                <w:sz w:val="21"/>
                <w:szCs w:val="21"/>
              </w:rPr>
              <w:t>分；</w:t>
            </w:r>
          </w:p>
          <w:p w14:paraId="26C3B795">
            <w:pPr>
              <w:widowControl/>
              <w:snapToGrid w:val="0"/>
              <w:spacing w:line="288" w:lineRule="auto"/>
              <w:jc w:val="left"/>
              <w:rPr>
                <w:rFonts w:hint="eastAsia" w:ascii="宋体" w:hAnsi="宋体" w:cs="宋体"/>
                <w:kern w:val="1"/>
                <w:sz w:val="21"/>
                <w:szCs w:val="21"/>
              </w:rPr>
            </w:pPr>
            <w:r>
              <w:rPr>
                <w:rFonts w:hint="eastAsia" w:ascii="宋体" w:hAnsi="宋体" w:cs="宋体"/>
                <w:kern w:val="1"/>
                <w:sz w:val="21"/>
                <w:szCs w:val="21"/>
                <w:lang w:val="en-US" w:eastAsia="zh-CN"/>
              </w:rPr>
              <w:t>2、</w:t>
            </w:r>
            <w:r>
              <w:rPr>
                <w:rFonts w:hint="eastAsia" w:ascii="宋体" w:hAnsi="宋体" w:cs="宋体"/>
                <w:kern w:val="1"/>
                <w:sz w:val="21"/>
                <w:szCs w:val="21"/>
              </w:rPr>
              <w:t>方案能满足本项目的大致要求，时间进度合理、措施具有操作性</w:t>
            </w:r>
            <w:r>
              <w:rPr>
                <w:rFonts w:hint="eastAsia" w:ascii="宋体" w:hAnsi="宋体" w:cs="宋体"/>
                <w:kern w:val="1"/>
                <w:sz w:val="21"/>
                <w:szCs w:val="21"/>
                <w:lang w:val="en-US" w:eastAsia="zh-CN"/>
              </w:rPr>
              <w:t>的得5</w:t>
            </w:r>
            <w:r>
              <w:rPr>
                <w:rFonts w:hint="eastAsia" w:ascii="宋体" w:hAnsi="宋体" w:cs="宋体"/>
                <w:kern w:val="1"/>
                <w:sz w:val="21"/>
                <w:szCs w:val="21"/>
              </w:rPr>
              <w:t>～</w:t>
            </w:r>
            <w:r>
              <w:rPr>
                <w:rFonts w:hint="eastAsia" w:ascii="宋体" w:hAnsi="宋体" w:cs="宋体"/>
                <w:kern w:val="1"/>
                <w:sz w:val="21"/>
                <w:szCs w:val="21"/>
                <w:lang w:val="en-US" w:eastAsia="zh-CN"/>
              </w:rPr>
              <w:t>7</w:t>
            </w:r>
            <w:r>
              <w:rPr>
                <w:rFonts w:hint="eastAsia" w:ascii="宋体" w:hAnsi="宋体" w:cs="宋体"/>
                <w:kern w:val="1"/>
                <w:sz w:val="21"/>
                <w:szCs w:val="21"/>
              </w:rPr>
              <w:t>分；</w:t>
            </w:r>
          </w:p>
          <w:p w14:paraId="2E77D197">
            <w:pPr>
              <w:widowControl/>
              <w:snapToGrid w:val="0"/>
              <w:spacing w:line="288" w:lineRule="auto"/>
              <w:jc w:val="left"/>
              <w:rPr>
                <w:rFonts w:hint="eastAsia" w:ascii="宋体" w:hAnsi="宋体" w:cs="宋体"/>
                <w:kern w:val="1"/>
                <w:sz w:val="21"/>
                <w:szCs w:val="21"/>
              </w:rPr>
            </w:pPr>
            <w:r>
              <w:rPr>
                <w:rFonts w:hint="eastAsia" w:ascii="宋体" w:hAnsi="宋体" w:cs="宋体"/>
                <w:kern w:val="1"/>
                <w:sz w:val="21"/>
                <w:szCs w:val="21"/>
                <w:lang w:val="en-US" w:eastAsia="zh-CN"/>
              </w:rPr>
              <w:t>3、</w:t>
            </w:r>
            <w:r>
              <w:rPr>
                <w:rFonts w:hint="eastAsia" w:ascii="宋体" w:hAnsi="宋体" w:cs="宋体"/>
                <w:kern w:val="1"/>
                <w:sz w:val="21"/>
                <w:szCs w:val="21"/>
              </w:rPr>
              <w:t>方案内容、时间安排和措施一般</w:t>
            </w:r>
            <w:r>
              <w:rPr>
                <w:rFonts w:hint="eastAsia" w:ascii="宋体" w:hAnsi="宋体" w:cs="宋体"/>
                <w:kern w:val="1"/>
                <w:sz w:val="21"/>
                <w:szCs w:val="21"/>
                <w:lang w:val="en-US" w:eastAsia="zh-CN"/>
              </w:rPr>
              <w:t>的得1</w:t>
            </w:r>
            <w:r>
              <w:rPr>
                <w:rFonts w:hint="eastAsia" w:ascii="宋体" w:hAnsi="宋体" w:cs="宋体"/>
                <w:kern w:val="1"/>
                <w:sz w:val="21"/>
                <w:szCs w:val="21"/>
              </w:rPr>
              <w:t>～</w:t>
            </w:r>
            <w:r>
              <w:rPr>
                <w:rFonts w:hint="eastAsia" w:ascii="宋体" w:hAnsi="宋体" w:cs="宋体"/>
                <w:kern w:val="1"/>
                <w:sz w:val="21"/>
                <w:szCs w:val="21"/>
                <w:lang w:val="en-US" w:eastAsia="zh-CN"/>
              </w:rPr>
              <w:t>4</w:t>
            </w:r>
            <w:r>
              <w:rPr>
                <w:rFonts w:hint="eastAsia" w:ascii="宋体" w:hAnsi="宋体" w:cs="宋体"/>
                <w:kern w:val="1"/>
                <w:sz w:val="21"/>
                <w:szCs w:val="21"/>
              </w:rPr>
              <w:t>分；</w:t>
            </w:r>
          </w:p>
          <w:p w14:paraId="07E4374C">
            <w:pPr>
              <w:widowControl/>
              <w:snapToGrid w:val="0"/>
              <w:spacing w:line="288" w:lineRule="auto"/>
              <w:jc w:val="left"/>
              <w:rPr>
                <w:rFonts w:hint="eastAsia" w:ascii="宋体" w:hAnsi="宋体" w:cs="宋体"/>
                <w:kern w:val="1"/>
                <w:sz w:val="21"/>
                <w:szCs w:val="21"/>
              </w:rPr>
            </w:pPr>
            <w:r>
              <w:rPr>
                <w:rFonts w:hint="eastAsia" w:ascii="宋体" w:hAnsi="宋体" w:cs="宋体"/>
                <w:kern w:val="1"/>
                <w:sz w:val="21"/>
                <w:szCs w:val="21"/>
                <w:lang w:val="en-US" w:eastAsia="zh-CN"/>
              </w:rPr>
              <w:t>无</w:t>
            </w:r>
            <w:r>
              <w:rPr>
                <w:rFonts w:hint="eastAsia" w:ascii="宋体" w:hAnsi="宋体" w:cs="宋体"/>
                <w:kern w:val="1"/>
                <w:sz w:val="21"/>
                <w:szCs w:val="21"/>
              </w:rPr>
              <w:t>项目实施及进度计划措施的不得分。</w:t>
            </w:r>
          </w:p>
        </w:tc>
        <w:tc>
          <w:tcPr>
            <w:tcW w:w="1945" w:type="dxa"/>
            <w:noWrap w:val="0"/>
            <w:vAlign w:val="center"/>
          </w:tcPr>
          <w:p w14:paraId="4D938A7A">
            <w:pPr>
              <w:snapToGrid w:val="0"/>
              <w:spacing w:line="288" w:lineRule="auto"/>
              <w:rPr>
                <w:rFonts w:hint="eastAsia" w:ascii="宋体" w:hAnsi="宋体" w:cs="宋体"/>
                <w:sz w:val="21"/>
                <w:szCs w:val="21"/>
              </w:rPr>
            </w:pPr>
          </w:p>
        </w:tc>
      </w:tr>
      <w:tr w14:paraId="782F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78" w:type="dxa"/>
            <w:vMerge w:val="continue"/>
            <w:noWrap w:val="0"/>
            <w:vAlign w:val="center"/>
          </w:tcPr>
          <w:p w14:paraId="3DDCECD6">
            <w:pPr>
              <w:snapToGrid w:val="0"/>
              <w:spacing w:line="288" w:lineRule="auto"/>
              <w:jc w:val="center"/>
              <w:rPr>
                <w:rFonts w:hint="eastAsia" w:ascii="宋体" w:hAnsi="宋体" w:cs="宋体"/>
                <w:sz w:val="21"/>
                <w:szCs w:val="21"/>
              </w:rPr>
            </w:pPr>
          </w:p>
        </w:tc>
        <w:tc>
          <w:tcPr>
            <w:tcW w:w="1200" w:type="dxa"/>
            <w:vMerge w:val="continue"/>
            <w:noWrap w:val="0"/>
            <w:vAlign w:val="center"/>
          </w:tcPr>
          <w:p w14:paraId="6BB9B69C">
            <w:pPr>
              <w:snapToGrid w:val="0"/>
              <w:spacing w:line="288" w:lineRule="auto"/>
              <w:jc w:val="center"/>
              <w:rPr>
                <w:rFonts w:hint="eastAsia" w:ascii="宋体" w:hAnsi="宋体" w:cs="宋体"/>
                <w:sz w:val="21"/>
                <w:szCs w:val="21"/>
              </w:rPr>
            </w:pPr>
          </w:p>
        </w:tc>
        <w:tc>
          <w:tcPr>
            <w:tcW w:w="1523" w:type="dxa"/>
            <w:noWrap w:val="0"/>
            <w:vAlign w:val="center"/>
          </w:tcPr>
          <w:p w14:paraId="2C9A5E44">
            <w:pPr>
              <w:snapToGrid w:val="0"/>
              <w:spacing w:line="288"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w:t>
            </w:r>
            <w:r>
              <w:rPr>
                <w:rFonts w:hint="eastAsia" w:ascii="宋体" w:hAnsi="宋体" w:eastAsia="宋体" w:cs="宋体"/>
                <w:color w:val="000000"/>
                <w:sz w:val="21"/>
                <w:szCs w:val="21"/>
                <w:lang w:val="en-US" w:eastAsia="zh-CN"/>
              </w:rPr>
              <w:t>拟投入人员</w:t>
            </w:r>
            <w:r>
              <w:rPr>
                <w:rFonts w:hint="eastAsia" w:ascii="宋体" w:hAnsi="宋体" w:eastAsia="宋体" w:cs="宋体"/>
                <w:color w:val="000000"/>
                <w:sz w:val="21"/>
                <w:szCs w:val="21"/>
              </w:rPr>
              <w:t>评分</w:t>
            </w:r>
          </w:p>
          <w:p w14:paraId="7E329EAA">
            <w:pPr>
              <w:snapToGrid w:val="0"/>
              <w:spacing w:line="288"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（满分10分）</w:t>
            </w:r>
          </w:p>
        </w:tc>
        <w:tc>
          <w:tcPr>
            <w:tcW w:w="4784" w:type="dxa"/>
            <w:noWrap w:val="0"/>
            <w:vAlign w:val="center"/>
          </w:tcPr>
          <w:p w14:paraId="3F23DF2E">
            <w:pPr>
              <w:snapToGrid w:val="0"/>
              <w:spacing w:line="288"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根据人员配备充足，针对性、人员素质、且分工明确进行</w:t>
            </w:r>
            <w:r>
              <w:rPr>
                <w:rFonts w:hint="eastAsia" w:ascii="宋体" w:hAnsi="宋体" w:eastAsia="宋体" w:cs="宋体"/>
                <w:color w:val="000000"/>
                <w:sz w:val="21"/>
                <w:szCs w:val="21"/>
                <w:lang w:val="en-US" w:eastAsia="zh-CN"/>
              </w:rPr>
              <w:t>评分</w:t>
            </w:r>
            <w:r>
              <w:rPr>
                <w:rFonts w:hint="eastAsia" w:ascii="宋体" w:hAnsi="宋体" w:eastAsia="宋体" w:cs="宋体"/>
                <w:color w:val="000000"/>
                <w:sz w:val="21"/>
                <w:szCs w:val="21"/>
              </w:rPr>
              <w:t>。</w:t>
            </w:r>
          </w:p>
          <w:p w14:paraId="70579ACC">
            <w:pPr>
              <w:numPr>
                <w:ilvl w:val="0"/>
                <w:numId w:val="1"/>
              </w:numPr>
              <w:snapToGrid w:val="0"/>
              <w:spacing w:line="288"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人员配备</w:t>
            </w:r>
            <w:r>
              <w:rPr>
                <w:rFonts w:hint="eastAsia" w:ascii="宋体" w:hAnsi="宋体" w:eastAsia="宋体" w:cs="宋体"/>
                <w:color w:val="000000"/>
                <w:sz w:val="21"/>
                <w:szCs w:val="21"/>
                <w:lang w:val="en-US" w:eastAsia="zh-CN"/>
              </w:rPr>
              <w:t>相对</w:t>
            </w:r>
            <w:r>
              <w:rPr>
                <w:rFonts w:hint="eastAsia" w:ascii="宋体" w:hAnsi="宋体" w:eastAsia="宋体" w:cs="宋体"/>
                <w:color w:val="000000"/>
                <w:sz w:val="21"/>
                <w:szCs w:val="21"/>
              </w:rPr>
              <w:t>充足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专业齐全</w:t>
            </w:r>
            <w:r>
              <w:rPr>
                <w:rFonts w:hint="eastAsia" w:ascii="宋体" w:hAnsi="宋体" w:eastAsia="宋体" w:cs="宋体"/>
                <w:color w:val="000000"/>
                <w:sz w:val="21"/>
                <w:szCs w:val="21"/>
              </w:rPr>
              <w:t>，针对性</w:t>
            </w:r>
            <w:r>
              <w:rPr>
                <w:rFonts w:hint="eastAsia" w:ascii="宋体" w:hAnsi="宋体" w:eastAsia="宋体" w:cs="宋体"/>
                <w:color w:val="000000"/>
                <w:sz w:val="21"/>
                <w:szCs w:val="21"/>
                <w:lang w:val="en-US" w:eastAsia="zh-CN"/>
              </w:rPr>
              <w:t>强</w:t>
            </w:r>
            <w:r>
              <w:rPr>
                <w:rFonts w:hint="eastAsia" w:ascii="宋体" w:hAnsi="宋体" w:eastAsia="宋体" w:cs="宋体"/>
                <w:color w:val="000000"/>
                <w:sz w:val="21"/>
                <w:szCs w:val="21"/>
              </w:rPr>
              <w:t>、人员素质、且分工明确</w:t>
            </w:r>
            <w:r>
              <w:rPr>
                <w:rFonts w:hint="eastAsia" w:ascii="宋体" w:hAnsi="宋体" w:eastAsia="宋体" w:cs="宋体"/>
                <w:color w:val="000000"/>
                <w:sz w:val="21"/>
                <w:szCs w:val="21"/>
                <w:lang w:val="en-US" w:eastAsia="zh-CN"/>
              </w:rPr>
              <w:t>的得8</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p w14:paraId="0BB5638D">
            <w:pPr>
              <w:numPr>
                <w:ilvl w:val="0"/>
                <w:numId w:val="1"/>
              </w:numPr>
              <w:snapToGrid w:val="0"/>
              <w:spacing w:line="288"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人员配备</w:t>
            </w:r>
            <w:r>
              <w:rPr>
                <w:rFonts w:hint="eastAsia" w:ascii="宋体" w:hAnsi="宋体" w:eastAsia="宋体" w:cs="宋体"/>
                <w:color w:val="000000"/>
                <w:sz w:val="21"/>
                <w:szCs w:val="21"/>
                <w:lang w:val="en-US" w:eastAsia="zh-CN"/>
              </w:rPr>
              <w:t>一般</w:t>
            </w:r>
            <w:r>
              <w:rPr>
                <w:rFonts w:hint="eastAsia" w:ascii="宋体" w:hAnsi="宋体" w:eastAsia="宋体" w:cs="宋体"/>
                <w:color w:val="000000"/>
                <w:sz w:val="21"/>
                <w:szCs w:val="21"/>
              </w:rPr>
              <w:t>充足，</w:t>
            </w:r>
            <w:r>
              <w:rPr>
                <w:rFonts w:hint="eastAsia" w:ascii="宋体" w:hAnsi="宋体" w:eastAsia="宋体" w:cs="宋体"/>
                <w:color w:val="000000"/>
                <w:sz w:val="21"/>
                <w:szCs w:val="21"/>
                <w:lang w:val="en-US" w:eastAsia="zh-CN"/>
              </w:rPr>
              <w:t>专业基本齐全、</w:t>
            </w:r>
            <w:r>
              <w:rPr>
                <w:rFonts w:hint="eastAsia" w:ascii="宋体" w:hAnsi="宋体" w:eastAsia="宋体" w:cs="宋体"/>
                <w:color w:val="000000"/>
                <w:sz w:val="21"/>
                <w:szCs w:val="21"/>
              </w:rPr>
              <w:t>针对性</w:t>
            </w:r>
            <w:r>
              <w:rPr>
                <w:rFonts w:hint="eastAsia" w:ascii="宋体" w:hAnsi="宋体" w:eastAsia="宋体" w:cs="宋体"/>
                <w:color w:val="000000"/>
                <w:sz w:val="21"/>
                <w:szCs w:val="21"/>
                <w:lang w:val="en-US" w:eastAsia="zh-CN"/>
              </w:rPr>
              <w:t>一般</w:t>
            </w:r>
            <w:r>
              <w:rPr>
                <w:rFonts w:hint="eastAsia" w:ascii="宋体" w:hAnsi="宋体" w:eastAsia="宋体" w:cs="宋体"/>
                <w:color w:val="000000"/>
                <w:sz w:val="21"/>
                <w:szCs w:val="21"/>
              </w:rPr>
              <w:t>、人员素质、</w:t>
            </w:r>
            <w:r>
              <w:rPr>
                <w:rFonts w:hint="eastAsia" w:ascii="宋体" w:hAnsi="宋体" w:eastAsia="宋体" w:cs="宋体"/>
                <w:color w:val="000000"/>
                <w:sz w:val="21"/>
                <w:szCs w:val="21"/>
                <w:lang w:val="en-US" w:eastAsia="zh-CN"/>
              </w:rPr>
              <w:t>且分工相对明确的得5～7分；</w:t>
            </w:r>
          </w:p>
          <w:p w14:paraId="57E5BB16">
            <w:pPr>
              <w:numPr>
                <w:ilvl w:val="0"/>
                <w:numId w:val="1"/>
              </w:numPr>
              <w:snapToGrid w:val="0"/>
              <w:spacing w:line="288"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人员配备明显不足，针对性弱、人员素质、且分工缺乏明确性的得1～4分。</w:t>
            </w:r>
          </w:p>
          <w:p w14:paraId="105220F9">
            <w:pPr>
              <w:numPr>
                <w:ilvl w:val="0"/>
                <w:numId w:val="0"/>
              </w:numPr>
              <w:snapToGrid w:val="0"/>
              <w:spacing w:line="288" w:lineRule="auto"/>
              <w:jc w:val="left"/>
              <w:rPr>
                <w:rFonts w:hint="default"/>
                <w:lang w:val="en-US" w:eastAsia="zh-CN"/>
              </w:rPr>
            </w:pPr>
            <w:r>
              <w:rPr>
                <w:rFonts w:hint="eastAsia" w:ascii="宋体" w:hAnsi="宋体" w:eastAsia="宋体" w:cs="宋体"/>
                <w:color w:val="000000"/>
                <w:sz w:val="21"/>
                <w:szCs w:val="21"/>
                <w:lang w:val="en-US" w:eastAsia="zh-CN"/>
              </w:rPr>
              <w:t>无人员配置不得分。</w:t>
            </w:r>
          </w:p>
        </w:tc>
        <w:tc>
          <w:tcPr>
            <w:tcW w:w="1945" w:type="dxa"/>
            <w:noWrap w:val="0"/>
            <w:vAlign w:val="center"/>
          </w:tcPr>
          <w:p w14:paraId="22E587D3">
            <w:pPr>
              <w:snapToGrid w:val="0"/>
              <w:spacing w:line="288" w:lineRule="auto"/>
              <w:rPr>
                <w:rFonts w:hint="eastAsia" w:ascii="宋体" w:hAnsi="宋体" w:cs="宋体"/>
                <w:sz w:val="21"/>
                <w:szCs w:val="21"/>
              </w:rPr>
            </w:pPr>
          </w:p>
        </w:tc>
      </w:tr>
      <w:tr w14:paraId="21EB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78" w:type="dxa"/>
            <w:noWrap w:val="0"/>
            <w:vAlign w:val="center"/>
          </w:tcPr>
          <w:p w14:paraId="18B7974E">
            <w:pPr>
              <w:snapToGrid w:val="0"/>
              <w:spacing w:line="288" w:lineRule="auto"/>
              <w:jc w:val="center"/>
              <w:rPr>
                <w:rFonts w:hint="eastAsia" w:ascii="宋体" w:hAnsi="宋体" w:cs="宋体"/>
                <w:sz w:val="21"/>
                <w:szCs w:val="21"/>
              </w:rPr>
            </w:pPr>
            <w:r>
              <w:rPr>
                <w:rFonts w:hint="eastAsia" w:ascii="宋体" w:hAnsi="宋体" w:cs="宋体"/>
                <w:sz w:val="21"/>
                <w:szCs w:val="21"/>
              </w:rPr>
              <w:t>3</w:t>
            </w:r>
          </w:p>
        </w:tc>
        <w:tc>
          <w:tcPr>
            <w:tcW w:w="1200" w:type="dxa"/>
            <w:noWrap w:val="0"/>
            <w:vAlign w:val="center"/>
          </w:tcPr>
          <w:p w14:paraId="7635003B">
            <w:pPr>
              <w:snapToGrid w:val="0"/>
              <w:spacing w:line="288" w:lineRule="auto"/>
              <w:jc w:val="center"/>
              <w:rPr>
                <w:rFonts w:hint="eastAsia" w:ascii="宋体" w:hAnsi="宋体" w:cs="宋体"/>
                <w:sz w:val="21"/>
                <w:szCs w:val="21"/>
              </w:rPr>
            </w:pPr>
            <w:r>
              <w:rPr>
                <w:rFonts w:hint="eastAsia" w:ascii="宋体" w:hAnsi="宋体" w:cs="宋体"/>
                <w:sz w:val="21"/>
                <w:szCs w:val="21"/>
              </w:rPr>
              <w:t>商务部分（10%）</w:t>
            </w:r>
          </w:p>
        </w:tc>
        <w:tc>
          <w:tcPr>
            <w:tcW w:w="1523" w:type="dxa"/>
            <w:noWrap w:val="0"/>
            <w:vAlign w:val="center"/>
          </w:tcPr>
          <w:p w14:paraId="625DB203">
            <w:pPr>
              <w:widowControl w:val="0"/>
              <w:autoSpaceDE w:val="0"/>
              <w:autoSpaceDN w:val="0"/>
              <w:snapToGrid w:val="0"/>
              <w:spacing w:line="288" w:lineRule="auto"/>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类似项目业绩</w:t>
            </w:r>
          </w:p>
          <w:p w14:paraId="01F64185">
            <w:pPr>
              <w:widowControl w:val="0"/>
              <w:autoSpaceDE w:val="0"/>
              <w:autoSpaceDN w:val="0"/>
              <w:snapToGrid w:val="0"/>
              <w:spacing w:line="288" w:lineRule="auto"/>
              <w:jc w:val="center"/>
              <w:rPr>
                <w:rFonts w:ascii="宋体" w:hAnsi="宋体" w:eastAsia="等线" w:cs="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（满分</w:t>
            </w:r>
            <w:r>
              <w:rPr>
                <w:rFonts w:ascii="Times New Roman" w:hAnsi="Times New Roman" w:eastAsia="宋体" w:cs="Times New Roman"/>
                <w:kern w:val="0"/>
                <w:sz w:val="21"/>
                <w:szCs w:val="21"/>
                <w:lang w:val="en-US" w:eastAsia="zh-CN" w:bidi="ar-SA"/>
              </w:rPr>
              <w:t>10</w:t>
            </w:r>
            <w:r>
              <w:rPr>
                <w:rFonts w:hint="eastAsia" w:ascii="Times New Roman" w:hAnsi="Times New Roman" w:eastAsia="宋体" w:cs="Times New Roman"/>
                <w:kern w:val="0"/>
                <w:sz w:val="21"/>
                <w:szCs w:val="21"/>
                <w:lang w:val="en-US" w:eastAsia="zh-CN" w:bidi="ar-SA"/>
              </w:rPr>
              <w:t>分）</w:t>
            </w:r>
          </w:p>
        </w:tc>
        <w:tc>
          <w:tcPr>
            <w:tcW w:w="4784" w:type="dxa"/>
            <w:noWrap w:val="0"/>
            <w:vAlign w:val="center"/>
          </w:tcPr>
          <w:p w14:paraId="35065E2B">
            <w:pPr>
              <w:widowControl w:val="0"/>
              <w:autoSpaceDE w:val="0"/>
              <w:autoSpaceDN w:val="0"/>
              <w:snapToGrid w:val="0"/>
              <w:spacing w:line="288" w:lineRule="auto"/>
              <w:jc w:val="left"/>
              <w:rPr>
                <w:rFonts w:hint="eastAsia" w:ascii="宋体" w:hAnsi="宋体" w:eastAsia="等线" w:cs="宋体"/>
                <w:kern w:val="0"/>
                <w:sz w:val="21"/>
                <w:szCs w:val="21"/>
                <w:lang w:val="en-US" w:eastAsia="zh-CN" w:bidi="ar-SA"/>
              </w:rPr>
            </w:pPr>
            <w:r>
              <w:rPr>
                <w:rFonts w:hint="eastAsia" w:ascii="Times New Roman" w:hAnsi="Times New Roman" w:eastAsia="宋体" w:cs="Times New Roman"/>
                <w:kern w:val="0"/>
                <w:sz w:val="21"/>
                <w:szCs w:val="21"/>
                <w:lang w:val="en-US" w:eastAsia="zh-CN" w:bidi="ar-SA"/>
              </w:rPr>
              <w:t>对2021年至今类似项目业绩进行评审，供应商有一个类似业绩得2分，满分1</w:t>
            </w:r>
            <w:r>
              <w:rPr>
                <w:rFonts w:ascii="Times New Roman" w:hAnsi="Times New Roman" w:eastAsia="宋体" w:cs="Times New Roman"/>
                <w:kern w:val="0"/>
                <w:sz w:val="21"/>
                <w:szCs w:val="21"/>
                <w:lang w:val="en-US" w:eastAsia="zh-CN" w:bidi="ar-SA"/>
              </w:rPr>
              <w:t>0</w:t>
            </w:r>
            <w:r>
              <w:rPr>
                <w:rFonts w:hint="eastAsia" w:ascii="Times New Roman" w:hAnsi="Times New Roman" w:eastAsia="宋体" w:cs="Times New Roman"/>
                <w:kern w:val="0"/>
                <w:sz w:val="21"/>
                <w:szCs w:val="21"/>
                <w:lang w:val="en-US" w:eastAsia="zh-CN" w:bidi="ar-SA"/>
              </w:rPr>
              <w:t>分</w:t>
            </w:r>
          </w:p>
        </w:tc>
        <w:tc>
          <w:tcPr>
            <w:tcW w:w="1945" w:type="dxa"/>
            <w:noWrap w:val="0"/>
            <w:vAlign w:val="center"/>
          </w:tcPr>
          <w:p w14:paraId="010B8241">
            <w:pPr>
              <w:snapToGrid w:val="0"/>
              <w:spacing w:line="288" w:lineRule="auto"/>
              <w:rPr>
                <w:rFonts w:hint="eastAsia" w:ascii="宋体" w:hAnsi="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业绩证明材料，业绩证明材料可为合同关键页或中标通知书扫描件或复印件</w:t>
            </w:r>
            <w:r>
              <w:rPr>
                <w:rFonts w:hint="eastAsia"/>
              </w:rPr>
              <w:t>。</w:t>
            </w:r>
          </w:p>
        </w:tc>
      </w:tr>
    </w:tbl>
    <w:p w14:paraId="47D2465D">
      <w:pPr>
        <w:snapToGrid w:val="0"/>
        <w:spacing w:line="312" w:lineRule="auto"/>
        <w:rPr>
          <w:rFonts w:hint="eastAsia" w:ascii="宋体" w:hAnsi="宋体" w:cs="宋体"/>
          <w:sz w:val="24"/>
          <w:szCs w:val="24"/>
        </w:rPr>
      </w:pPr>
      <w:r>
        <w:rPr>
          <w:rFonts w:hint="eastAsia" w:ascii="宋体" w:hAnsi="宋体" w:cs="宋体"/>
          <w:sz w:val="24"/>
          <w:szCs w:val="24"/>
        </w:rPr>
        <w:t xml:space="preserve"> </w:t>
      </w:r>
    </w:p>
    <w:p w14:paraId="78E17293">
      <w:pPr>
        <w:keepNext/>
        <w:keepLines/>
        <w:widowControl w:val="0"/>
        <w:spacing w:before="0" w:after="0" w:line="360" w:lineRule="auto"/>
        <w:jc w:val="both"/>
        <w:outlineLvl w:val="2"/>
        <w:rPr>
          <w:rFonts w:hint="eastAsia" w:ascii="宋体" w:hAnsi="宋体" w:eastAsia="宋体" w:cs="宋体"/>
          <w:b/>
          <w:kern w:val="2"/>
          <w:sz w:val="24"/>
          <w:szCs w:val="24"/>
          <w:lang w:val="en-US" w:eastAsia="zh-CN" w:bidi="ar-SA"/>
        </w:rPr>
      </w:pPr>
      <w:bookmarkStart w:id="4" w:name="_Toc138018595"/>
      <w:bookmarkStart w:id="5" w:name="_Toc6009"/>
      <w:r>
        <w:rPr>
          <w:rFonts w:hint="eastAsia" w:ascii="宋体" w:hAnsi="宋体" w:eastAsia="宋体" w:cs="宋体"/>
          <w:b/>
          <w:kern w:val="2"/>
          <w:sz w:val="24"/>
          <w:szCs w:val="24"/>
          <w:lang w:val="en-US" w:eastAsia="zh-CN" w:bidi="ar-SA"/>
        </w:rPr>
        <w:t>三、无效响应</w:t>
      </w:r>
      <w:bookmarkEnd w:id="4"/>
      <w:bookmarkEnd w:id="5"/>
    </w:p>
    <w:p w14:paraId="75521F51">
      <w:pPr>
        <w:snapToGrid w:val="0"/>
        <w:spacing w:line="360" w:lineRule="auto"/>
        <w:ind w:firstLine="465"/>
        <w:rPr>
          <w:rFonts w:hint="eastAsia" w:ascii="宋体" w:hAnsi="宋体" w:cs="宋体"/>
          <w:sz w:val="24"/>
          <w:szCs w:val="24"/>
        </w:rPr>
      </w:pPr>
      <w:r>
        <w:rPr>
          <w:rFonts w:hint="eastAsia" w:ascii="宋体" w:hAnsi="宋体" w:cs="宋体"/>
          <w:sz w:val="24"/>
          <w:szCs w:val="24"/>
        </w:rPr>
        <w:t>供应商发生以下条款情况之一者，视为无效响应，其响应文件将被拒绝：</w:t>
      </w:r>
    </w:p>
    <w:p w14:paraId="056AA2F5">
      <w:pPr>
        <w:snapToGrid w:val="0"/>
        <w:spacing w:line="360" w:lineRule="auto"/>
        <w:ind w:firstLine="465"/>
        <w:rPr>
          <w:rFonts w:hint="eastAsia" w:ascii="宋体" w:hAnsi="宋体" w:cs="宋体"/>
          <w:sz w:val="24"/>
          <w:szCs w:val="24"/>
        </w:rPr>
      </w:pPr>
      <w:r>
        <w:rPr>
          <w:rFonts w:hint="eastAsia" w:ascii="宋体" w:hAnsi="宋体" w:cs="宋体"/>
          <w:sz w:val="24"/>
          <w:szCs w:val="24"/>
        </w:rPr>
        <w:t>（一）供应商不符合规定的基本资格条件；</w:t>
      </w:r>
    </w:p>
    <w:p w14:paraId="002471CA">
      <w:pPr>
        <w:snapToGrid w:val="0"/>
        <w:spacing w:line="360" w:lineRule="auto"/>
        <w:ind w:firstLine="465"/>
        <w:rPr>
          <w:rFonts w:hint="eastAsia" w:ascii="宋体" w:hAnsi="宋体" w:cs="宋体"/>
          <w:sz w:val="24"/>
          <w:szCs w:val="24"/>
        </w:rPr>
      </w:pPr>
      <w:r>
        <w:rPr>
          <w:rFonts w:hint="eastAsia" w:ascii="宋体" w:hAnsi="宋体" w:cs="宋体"/>
          <w:sz w:val="24"/>
          <w:szCs w:val="24"/>
        </w:rPr>
        <w:t>（二）供应商的法定代表人或其授权代表未参加谈判；</w:t>
      </w:r>
    </w:p>
    <w:p w14:paraId="458C44D9">
      <w:pPr>
        <w:snapToGrid w:val="0"/>
        <w:spacing w:line="360" w:lineRule="auto"/>
        <w:ind w:firstLine="465"/>
        <w:rPr>
          <w:rFonts w:hint="eastAsia" w:ascii="宋体" w:hAnsi="宋体" w:cs="宋体"/>
          <w:sz w:val="24"/>
          <w:szCs w:val="24"/>
        </w:rPr>
      </w:pPr>
      <w:r>
        <w:rPr>
          <w:rFonts w:hint="eastAsia" w:ascii="宋体" w:hAnsi="宋体" w:cs="宋体"/>
          <w:sz w:val="24"/>
          <w:szCs w:val="24"/>
        </w:rPr>
        <w:t>（三）供应商所提交的响应文件不按第七篇“响应文件编制要求”规定签字、盖章；</w:t>
      </w:r>
    </w:p>
    <w:p w14:paraId="22585A5F">
      <w:pPr>
        <w:snapToGrid w:val="0"/>
        <w:spacing w:line="360" w:lineRule="auto"/>
        <w:ind w:firstLine="465"/>
        <w:rPr>
          <w:rFonts w:hint="eastAsia" w:ascii="宋体" w:hAnsi="宋体" w:cs="宋体"/>
          <w:sz w:val="24"/>
          <w:szCs w:val="24"/>
        </w:rPr>
      </w:pPr>
      <w:r>
        <w:rPr>
          <w:rFonts w:hint="eastAsia" w:ascii="宋体" w:hAnsi="宋体" w:cs="宋体"/>
          <w:sz w:val="24"/>
          <w:szCs w:val="24"/>
        </w:rPr>
        <w:t>（四）供应商的最后报价超过采购预算的；</w:t>
      </w:r>
    </w:p>
    <w:p w14:paraId="27BE6476">
      <w:pPr>
        <w:snapToGrid w:val="0"/>
        <w:spacing w:line="360" w:lineRule="auto"/>
        <w:ind w:firstLine="465"/>
        <w:rPr>
          <w:rFonts w:hint="eastAsia"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（五）法定代表人为同一个人的两个及两个以上法人，母公司、全资子公司及其控股公司，在同一分包采购中同时参与谈判；</w:t>
      </w:r>
    </w:p>
    <w:p w14:paraId="04A45BF2">
      <w:pPr>
        <w:snapToGrid w:val="0"/>
        <w:spacing w:line="360" w:lineRule="auto"/>
        <w:ind w:firstLine="465"/>
        <w:rPr>
          <w:rFonts w:hint="eastAsia"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7CC96F8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15D0384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（八）供应商的服务</w:t>
      </w:r>
      <w:r>
        <w:rPr>
          <w:rFonts w:hint="eastAsia" w:ascii="宋体" w:hAnsi="宋体" w:cs="宋体"/>
          <w:sz w:val="24"/>
          <w:szCs w:val="24"/>
          <w:lang w:val="en-US" w:eastAsia="zh-CN"/>
        </w:rPr>
        <w:t>周期</w:t>
      </w:r>
      <w:r>
        <w:rPr>
          <w:rFonts w:hint="eastAsia" w:ascii="宋体" w:hAnsi="宋体" w:cs="宋体"/>
          <w:sz w:val="24"/>
          <w:szCs w:val="24"/>
        </w:rPr>
        <w:t>、质量</w:t>
      </w:r>
      <w:r>
        <w:rPr>
          <w:rFonts w:hint="eastAsia" w:ascii="宋体" w:hAnsi="宋体" w:cs="宋体"/>
          <w:sz w:val="24"/>
          <w:szCs w:val="24"/>
          <w:lang w:val="en-US" w:eastAsia="zh-CN"/>
        </w:rPr>
        <w:t>要求</w:t>
      </w:r>
      <w:r>
        <w:rPr>
          <w:rFonts w:hint="eastAsia" w:ascii="宋体" w:hAnsi="宋体" w:cs="宋体"/>
          <w:sz w:val="24"/>
          <w:szCs w:val="24"/>
        </w:rPr>
        <w:t>及谈判有效期不满足谈判采购文件要求的；</w:t>
      </w:r>
    </w:p>
    <w:p w14:paraId="6CF1FFEB">
      <w:pPr>
        <w:snapToGrid w:val="0"/>
        <w:spacing w:line="360" w:lineRule="auto"/>
        <w:ind w:firstLine="465"/>
        <w:rPr>
          <w:rFonts w:hint="eastAsia"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14:paraId="4268024E">
      <w:pPr>
        <w:keepNext/>
        <w:keepLines/>
        <w:widowControl w:val="0"/>
        <w:spacing w:before="0" w:after="0" w:line="360" w:lineRule="auto"/>
        <w:jc w:val="both"/>
        <w:outlineLvl w:val="2"/>
        <w:rPr>
          <w:rFonts w:hint="eastAsia" w:ascii="宋体" w:hAnsi="宋体" w:eastAsia="宋体" w:cs="宋体"/>
          <w:b/>
          <w:kern w:val="2"/>
          <w:sz w:val="24"/>
          <w:szCs w:val="24"/>
          <w:lang w:val="en-US" w:eastAsia="zh-CN" w:bidi="ar-SA"/>
        </w:rPr>
      </w:pPr>
      <w:bookmarkStart w:id="6" w:name="_Toc31596"/>
      <w:bookmarkStart w:id="7" w:name="_Toc138018596"/>
      <w:r>
        <w:rPr>
          <w:rFonts w:hint="eastAsia" w:ascii="宋体" w:hAnsi="宋体" w:eastAsia="宋体" w:cs="宋体"/>
          <w:b/>
          <w:kern w:val="2"/>
          <w:sz w:val="24"/>
          <w:szCs w:val="24"/>
          <w:lang w:val="en-US" w:eastAsia="zh-CN" w:bidi="ar-SA"/>
        </w:rPr>
        <w:t>四、采购终止</w:t>
      </w:r>
      <w:bookmarkEnd w:id="6"/>
      <w:bookmarkEnd w:id="7"/>
    </w:p>
    <w:p w14:paraId="565A0775">
      <w:pPr>
        <w:snapToGrid w:val="0"/>
        <w:spacing w:line="360" w:lineRule="auto"/>
        <w:ind w:firstLine="465"/>
        <w:rPr>
          <w:rFonts w:hint="eastAsia" w:ascii="宋体" w:hAnsi="宋体" w:cs="宋体"/>
          <w:sz w:val="24"/>
          <w:szCs w:val="24"/>
        </w:rPr>
      </w:pPr>
      <w:r>
        <w:rPr>
          <w:rFonts w:hint="eastAsia" w:ascii="宋体" w:hAnsi="宋体" w:cs="宋体"/>
          <w:sz w:val="24"/>
          <w:szCs w:val="24"/>
        </w:rPr>
        <w:t>出现下列情形之一的，采购人应当终止谈判采购采购活动，发布项目终止公告并说明原因，重新开展采购活动：</w:t>
      </w:r>
    </w:p>
    <w:p w14:paraId="7A4608D9">
      <w:pPr>
        <w:snapToGrid w:val="0"/>
        <w:spacing w:line="360" w:lineRule="auto"/>
        <w:ind w:firstLine="465"/>
        <w:rPr>
          <w:rFonts w:hint="eastAsia" w:ascii="宋体" w:hAnsi="宋体" w:cs="宋体"/>
          <w:sz w:val="24"/>
          <w:szCs w:val="24"/>
        </w:rPr>
      </w:pPr>
      <w:r>
        <w:rPr>
          <w:rFonts w:hint="eastAsia" w:ascii="宋体" w:hAnsi="宋体" w:cs="宋体"/>
          <w:sz w:val="24"/>
          <w:szCs w:val="24"/>
        </w:rPr>
        <w:t>（一）因情况变化，不再符合规定的谈判采购采购方式适用情形的；</w:t>
      </w:r>
    </w:p>
    <w:p w14:paraId="5A058B6B">
      <w:pPr>
        <w:snapToGrid w:val="0"/>
        <w:spacing w:line="360" w:lineRule="auto"/>
        <w:ind w:firstLine="465"/>
        <w:rPr>
          <w:rFonts w:hint="eastAsia" w:ascii="宋体" w:hAnsi="宋体" w:cs="宋体"/>
          <w:sz w:val="24"/>
          <w:szCs w:val="24"/>
        </w:rPr>
      </w:pPr>
      <w:r>
        <w:rPr>
          <w:rFonts w:hint="eastAsia" w:ascii="宋体" w:hAnsi="宋体" w:cs="宋体"/>
          <w:sz w:val="24"/>
          <w:szCs w:val="24"/>
        </w:rPr>
        <w:t>（二）出现影响采购公正的违法、违规行为的；</w:t>
      </w:r>
    </w:p>
    <w:p w14:paraId="1454B211">
      <w:r>
        <w:rPr>
          <w:rFonts w:hint="eastAsia" w:ascii="宋体" w:hAnsi="宋体" w:cs="宋体"/>
          <w:sz w:val="24"/>
          <w:szCs w:val="24"/>
        </w:rPr>
        <w:t>（三）在采购过程中符合要求的供应商或者报价未超过采购预算的供应商不足3家的。</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F579D"/>
    <w:multiLevelType w:val="singleLevel"/>
    <w:tmpl w:val="6AFF579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OTI2ODAxNjdhZjNlYjJhNDM2OTA5YTYwNjIwYWUifQ=="/>
  </w:docVars>
  <w:rsids>
    <w:rsidRoot w:val="0EB434F9"/>
    <w:rsid w:val="0EB434F9"/>
    <w:rsid w:val="2540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style>
  <w:style w:type="paragraph" w:customStyle="1" w:styleId="7">
    <w:name w:val="图例"/>
    <w:basedOn w:val="1"/>
    <w:qFormat/>
    <w:uiPriority w:val="0"/>
    <w:pPr>
      <w:spacing w:before="120" w:after="120" w:line="360" w:lineRule="auto"/>
      <w:jc w:val="center"/>
    </w:pPr>
    <w:rPr>
      <w:rFonts w:eastAsia="仿宋_GB2312"/>
      <w:b/>
      <w:sz w:val="24"/>
    </w:rPr>
  </w:style>
  <w:style w:type="paragraph" w:customStyle="1" w:styleId="8">
    <w:name w:val="Table Paragraph"/>
    <w:basedOn w:val="1"/>
    <w:unhideWhenUsed/>
    <w:qFormat/>
    <w:uiPriority w:val="99"/>
    <w:pPr>
      <w:autoSpaceDE w:val="0"/>
      <w:autoSpaceDN w:val="0"/>
      <w:jc w:val="left"/>
    </w:pPr>
    <w:rPr>
      <w:rFonts w:eastAsia="等线"/>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2024-07-12T03:55:00Z</dcterms:created>
  <dc:creator>木 木</dc:creator>
  <cp:lastModifiedBy>木 木</cp:lastModifiedBy>
  <dcterms:modified xsi:type="dcterms:W3CDTF">2024-07-12T03:56:25Z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6FF8F92A64064F14BE3C79C1BC41A568_11</vt:lpwstr>
  </property>
</Properties>
</file>