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224"/>
        <w:gridCol w:w="2488"/>
        <w:gridCol w:w="5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94" w:type="dxa"/>
            <w:gridSpan w:val="2"/>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2488" w:type="dxa"/>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 审 因 素</w:t>
            </w:r>
          </w:p>
        </w:tc>
        <w:tc>
          <w:tcPr>
            <w:tcW w:w="5575" w:type="dxa"/>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1224" w:type="dxa"/>
            <w:noWrap w:val="0"/>
            <w:vAlign w:val="center"/>
          </w:tcPr>
          <w:p>
            <w:pPr>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报价部分评审（</w:t>
            </w:r>
            <w:r>
              <w:rPr>
                <w:rFonts w:hint="eastAsia" w:ascii="宋体" w:hAnsi="宋体" w:eastAsia="宋体" w:cs="宋体"/>
                <w:b/>
                <w:bCs/>
                <w:color w:val="auto"/>
                <w:sz w:val="21"/>
                <w:szCs w:val="21"/>
                <w:highlight w:val="none"/>
                <w:lang w:val="en-US" w:eastAsia="zh-CN"/>
              </w:rPr>
              <w:t>满分3</w:t>
            </w:r>
            <w:r>
              <w:rPr>
                <w:rFonts w:hint="eastAsia" w:ascii="宋体" w:hAnsi="宋体" w:eastAsia="宋体" w:cs="宋体"/>
                <w:b/>
                <w:bCs/>
                <w:color w:val="auto"/>
                <w:sz w:val="21"/>
                <w:szCs w:val="21"/>
                <w:highlight w:val="none"/>
              </w:rPr>
              <w:t>0分）</w:t>
            </w:r>
          </w:p>
        </w:tc>
        <w:tc>
          <w:tcPr>
            <w:tcW w:w="2488" w:type="dxa"/>
            <w:noWrap w:val="0"/>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F1</w:t>
            </w:r>
            <w:r>
              <w:rPr>
                <w:rFonts w:hint="eastAsia" w:ascii="宋体" w:hAnsi="宋体" w:eastAsia="宋体" w:cs="宋体"/>
                <w:color w:val="auto"/>
                <w:kern w:val="0"/>
                <w:sz w:val="21"/>
                <w:szCs w:val="21"/>
                <w:highlight w:val="none"/>
                <w:lang w:eastAsia="zh-CN"/>
              </w:rPr>
              <w:t>谈判</w:t>
            </w:r>
            <w:r>
              <w:rPr>
                <w:rFonts w:hint="eastAsia" w:ascii="宋体" w:hAnsi="宋体" w:eastAsia="宋体" w:cs="宋体"/>
                <w:color w:val="auto"/>
                <w:kern w:val="0"/>
                <w:sz w:val="21"/>
                <w:szCs w:val="21"/>
                <w:highlight w:val="none"/>
              </w:rPr>
              <w:t>报价得分</w:t>
            </w:r>
          </w:p>
          <w:p>
            <w:pPr>
              <w:keepNext w:val="0"/>
              <w:keepLines w:val="0"/>
              <w:pageBreakBefore w:val="0"/>
              <w:widowControl w:val="0"/>
              <w:kinsoku/>
              <w:wordWrap/>
              <w:overflowPunct/>
              <w:topLinePunct w:val="0"/>
              <w:bidi w:val="0"/>
              <w:adjustRightInd w:val="0"/>
              <w:snapToGrid w:val="0"/>
              <w:spacing w:line="360" w:lineRule="auto"/>
              <w:ind w:firstLine="0" w:firstLineChars="0"/>
              <w:jc w:val="center"/>
              <w:textAlignment w:val="auto"/>
              <w:rPr>
                <w:rFonts w:hint="eastAsia" w:ascii="宋体" w:hAnsi="宋体" w:cs="宋体"/>
                <w:sz w:val="21"/>
                <w:szCs w:val="21"/>
                <w:lang w:val="en-US" w:eastAsia="zh-CN"/>
              </w:rPr>
            </w:pPr>
            <w:r>
              <w:rPr>
                <w:rFonts w:hint="eastAsia" w:ascii="宋体" w:hAnsi="宋体" w:eastAsia="宋体" w:cs="宋体"/>
                <w:color w:val="auto"/>
                <w:kern w:val="0"/>
                <w:sz w:val="21"/>
                <w:szCs w:val="21"/>
                <w:highlight w:val="none"/>
              </w:rPr>
              <w:t>（满分</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p>
        </w:tc>
        <w:tc>
          <w:tcPr>
            <w:tcW w:w="55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满足谈判文件要求且报价最低的供应商的价格为基准价。</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按照《政府采购促进中小企业发展暂行办法》（财库[2020]46号），供应商认定为小型和微型企业（以响应文件提供的符合规定的有关证明材料为准），对竞标价给予5%的扣除，扣除后的价格为评标报价，即评标报价=竞标报价×（1-5%）；按照《财政部、司法部关于政府采购支持监狱企业发展有关问题的通知》（财库〔2014〕68号）之规定，监狱企业视同小型、微型企业。</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除上述情况外，供应商价格按照下列公式计算：</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评审报价=(1-最终报价)。</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color w:val="auto"/>
                <w:kern w:val="2"/>
                <w:sz w:val="21"/>
                <w:szCs w:val="21"/>
                <w:lang w:val="en-US" w:eastAsia="zh-CN" w:bidi="ar-SA"/>
              </w:rPr>
              <w:t>最终评审报价得分＝（评标基准价/评审报价）×30。（通过资格性评审和有效性、完整性和响应程度审查的供应商才能进入报价评分）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restart"/>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p>
        </w:tc>
        <w:tc>
          <w:tcPr>
            <w:tcW w:w="1224" w:type="dxa"/>
            <w:vMerge w:val="restart"/>
            <w:noWrap w:val="0"/>
            <w:vAlign w:val="center"/>
          </w:tcPr>
          <w:p>
            <w:pPr>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技术部分评审（</w:t>
            </w:r>
            <w:r>
              <w:rPr>
                <w:rFonts w:hint="eastAsia" w:ascii="宋体" w:hAnsi="宋体" w:eastAsia="宋体" w:cs="宋体"/>
                <w:b/>
                <w:bCs/>
                <w:color w:val="auto"/>
                <w:sz w:val="21"/>
                <w:szCs w:val="21"/>
                <w:highlight w:val="none"/>
                <w:lang w:val="en-US" w:eastAsia="zh-CN"/>
              </w:rPr>
              <w:t>满分70</w:t>
            </w:r>
            <w:r>
              <w:rPr>
                <w:rFonts w:hint="eastAsia" w:ascii="宋体" w:hAnsi="宋体" w:eastAsia="宋体" w:cs="宋体"/>
                <w:b/>
                <w:bCs/>
                <w:color w:val="auto"/>
                <w:sz w:val="21"/>
                <w:szCs w:val="21"/>
                <w:highlight w:val="none"/>
              </w:rPr>
              <w:t>分）</w:t>
            </w:r>
          </w:p>
        </w:tc>
        <w:tc>
          <w:tcPr>
            <w:tcW w:w="2488" w:type="dxa"/>
            <w:noWrap w:val="0"/>
            <w:vAlign w:val="center"/>
          </w:tcPr>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cs="宋体"/>
                <w:sz w:val="21"/>
                <w:szCs w:val="21"/>
                <w:lang w:val="en-US" w:eastAsia="zh-CN"/>
              </w:rPr>
              <w:t>F2</w:t>
            </w:r>
            <w:r>
              <w:rPr>
                <w:rFonts w:hint="eastAsia" w:ascii="宋体" w:hAnsi="宋体" w:cs="宋体"/>
                <w:sz w:val="21"/>
                <w:szCs w:val="21"/>
                <w:lang w:eastAsia="zh-CN"/>
              </w:rPr>
              <w:t>：</w:t>
            </w:r>
            <w:r>
              <w:rPr>
                <w:rFonts w:hint="eastAsia" w:ascii="宋体" w:hAnsi="宋体" w:eastAsia="宋体" w:cs="宋体"/>
                <w:sz w:val="21"/>
                <w:szCs w:val="21"/>
              </w:rPr>
              <w:t>实施方案及进度安排评审（</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5575" w:type="dxa"/>
            <w:noWrap w:val="0"/>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(1)实施方案及进度安排(包括运输、交货、安装、验收及移交等各项工作)完善具体、针对性强的得</w:t>
            </w:r>
            <w:r>
              <w:rPr>
                <w:rFonts w:hint="eastAsia" w:ascii="宋体" w:hAnsi="宋体" w:cs="宋体"/>
                <w:sz w:val="21"/>
                <w:szCs w:val="21"/>
                <w:lang w:val="en-US" w:eastAsia="zh-CN"/>
              </w:rPr>
              <w:t>14-20</w:t>
            </w:r>
            <w:r>
              <w:rPr>
                <w:rFonts w:hint="eastAsia" w:ascii="宋体" w:hAnsi="宋体" w:eastAsia="宋体" w:cs="宋体"/>
                <w:sz w:val="21"/>
                <w:szCs w:val="21"/>
              </w:rPr>
              <w:t>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(2)实施方案及进度安排(包括运输、交货、安装、验收及移交等各项工作)基本合理，有一定的针对性的得</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13</w:t>
            </w:r>
            <w:r>
              <w:rPr>
                <w:rFonts w:hint="eastAsia" w:ascii="宋体" w:hAnsi="宋体" w:eastAsia="宋体" w:cs="宋体"/>
                <w:sz w:val="21"/>
                <w:szCs w:val="21"/>
              </w:rPr>
              <w:t>分；</w:t>
            </w:r>
          </w:p>
          <w:p>
            <w:pPr>
              <w:adjustRightIn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sz w:val="21"/>
                <w:szCs w:val="21"/>
              </w:rPr>
              <w:t>(3)实施方案及进度安排(包括运输、交货、安装、验收及移交等各项工作)不合理，无针对性的得</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color w:val="auto"/>
                <w:sz w:val="21"/>
                <w:szCs w:val="21"/>
                <w:highlight w:val="none"/>
              </w:rPr>
            </w:pPr>
          </w:p>
        </w:tc>
        <w:tc>
          <w:tcPr>
            <w:tcW w:w="1224" w:type="dxa"/>
            <w:vMerge w:val="continue"/>
            <w:noWrap w:val="0"/>
            <w:vAlign w:val="center"/>
          </w:tcPr>
          <w:p>
            <w:pPr>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1"/>
                <w:szCs w:val="21"/>
                <w:highlight w:val="none"/>
              </w:rPr>
            </w:pPr>
          </w:p>
        </w:tc>
        <w:tc>
          <w:tcPr>
            <w:tcW w:w="2488" w:type="dxa"/>
            <w:noWrap w:val="0"/>
            <w:vAlign w:val="center"/>
          </w:tcPr>
          <w:p>
            <w:pPr>
              <w:spacing w:line="360" w:lineRule="auto"/>
              <w:rPr>
                <w:rFonts w:hint="eastAsia" w:ascii="宋体" w:hAnsi="宋体" w:eastAsia="宋体" w:cs="宋体"/>
                <w:b w:val="0"/>
                <w:bCs/>
                <w:color w:val="auto"/>
                <w:sz w:val="21"/>
                <w:szCs w:val="21"/>
                <w:highlight w:val="none"/>
                <w:lang w:eastAsia="zh-CN"/>
              </w:rPr>
            </w:pPr>
            <w:r>
              <w:rPr>
                <w:rFonts w:hint="eastAsia" w:ascii="宋体" w:hAnsi="宋体" w:cs="宋体"/>
                <w:sz w:val="21"/>
                <w:szCs w:val="21"/>
                <w:lang w:val="en-US" w:eastAsia="zh-CN"/>
              </w:rPr>
              <w:t>F3：</w:t>
            </w:r>
            <w:r>
              <w:rPr>
                <w:rFonts w:hint="eastAsia" w:ascii="宋体" w:hAnsi="宋体" w:eastAsia="宋体" w:cs="宋体"/>
                <w:sz w:val="21"/>
                <w:szCs w:val="21"/>
              </w:rPr>
              <w:t>产品质量承诺、质保期承诺及违约责任承诺评审（</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5575" w:type="dxa"/>
            <w:noWrap w:val="0"/>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（1）供应商产品质量承诺、质保期承诺、违约责任承诺内容详细、针对性强的，得</w:t>
            </w:r>
            <w:r>
              <w:rPr>
                <w:rFonts w:hint="eastAsia" w:ascii="宋体" w:hAnsi="宋体" w:cs="宋体"/>
                <w:sz w:val="21"/>
                <w:szCs w:val="21"/>
                <w:lang w:val="en-US" w:eastAsia="zh-CN"/>
              </w:rPr>
              <w:t>14</w:t>
            </w:r>
            <w:r>
              <w:rPr>
                <w:rFonts w:hint="eastAsia" w:ascii="宋体" w:hAnsi="宋体" w:eastAsia="宋体" w:cs="宋体"/>
                <w:sz w:val="21"/>
                <w:szCs w:val="21"/>
              </w:rPr>
              <w:t>-</w:t>
            </w:r>
            <w:r>
              <w:rPr>
                <w:rFonts w:hint="eastAsia" w:ascii="宋体" w:hAnsi="宋体" w:cs="宋体"/>
                <w:sz w:val="21"/>
                <w:szCs w:val="21"/>
                <w:lang w:val="en-US" w:eastAsia="zh-CN"/>
              </w:rPr>
              <w:t>20</w:t>
            </w:r>
            <w:r>
              <w:rPr>
                <w:rFonts w:hint="eastAsia" w:ascii="宋体" w:hAnsi="宋体" w:eastAsia="宋体" w:cs="宋体"/>
                <w:sz w:val="21"/>
                <w:szCs w:val="21"/>
              </w:rPr>
              <w:t>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（2）供应商产品质量承诺、质保期承诺、违约责任承诺内容较详细、有一定针对性的，得</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13</w:t>
            </w:r>
            <w:r>
              <w:rPr>
                <w:rFonts w:hint="eastAsia" w:ascii="宋体" w:hAnsi="宋体" w:eastAsia="宋体" w:cs="宋体"/>
                <w:sz w:val="21"/>
                <w:szCs w:val="21"/>
              </w:rPr>
              <w:t>分；</w:t>
            </w:r>
          </w:p>
          <w:p>
            <w:pPr>
              <w:adjustRightIn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sz w:val="21"/>
                <w:szCs w:val="21"/>
              </w:rPr>
              <w:t>（3）供应商产品质量承诺、质保期承诺、违约责任承诺内容一般的，得1</w:t>
            </w:r>
            <w:r>
              <w:rPr>
                <w:rFonts w:hint="eastAsia" w:ascii="宋体" w:hAnsi="宋体" w:cs="宋体"/>
                <w:sz w:val="21"/>
                <w:szCs w:val="21"/>
                <w:lang w:val="en-US" w:eastAsia="zh-CN"/>
              </w:rPr>
              <w:t>-6</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color w:val="auto"/>
                <w:sz w:val="21"/>
                <w:szCs w:val="21"/>
                <w:highlight w:val="none"/>
              </w:rPr>
            </w:pPr>
          </w:p>
        </w:tc>
        <w:tc>
          <w:tcPr>
            <w:tcW w:w="1224" w:type="dxa"/>
            <w:vMerge w:val="continue"/>
            <w:noWrap w:val="0"/>
            <w:vAlign w:val="center"/>
          </w:tcPr>
          <w:p>
            <w:pPr>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1"/>
                <w:szCs w:val="21"/>
                <w:highlight w:val="none"/>
              </w:rPr>
            </w:pPr>
          </w:p>
        </w:tc>
        <w:tc>
          <w:tcPr>
            <w:tcW w:w="2488" w:type="dxa"/>
            <w:noWrap w:val="0"/>
            <w:vAlign w:val="center"/>
          </w:tcPr>
          <w:p>
            <w:pPr>
              <w:adjustRightIn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F4：</w:t>
            </w:r>
            <w:r>
              <w:rPr>
                <w:rFonts w:hint="eastAsia" w:ascii="宋体" w:hAnsi="宋体" w:eastAsia="宋体" w:cs="宋体"/>
                <w:sz w:val="21"/>
                <w:szCs w:val="21"/>
              </w:rPr>
              <w:t>售后服务承诺、售后服务方案及保障措施评审（10分）</w:t>
            </w:r>
          </w:p>
        </w:tc>
        <w:tc>
          <w:tcPr>
            <w:tcW w:w="5575" w:type="dxa"/>
            <w:noWrap w:val="0"/>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(1)供应商有完整的售后服务保障体系，承诺内容详细，服务响应速度快的得7-10分；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(2)供应商有相应的售后服务保障体系，承诺内容较为详细，服务响应速度较快的得4-6分；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(3)供应商有售后服务保障体系，承诺内容一般，服务响应速度一般的得1-3分；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(4)供应商无售后服务保障体系、承诺、服务响应时间等承诺的得0分。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color w:val="auto"/>
                <w:sz w:val="21"/>
                <w:szCs w:val="21"/>
                <w:highlight w:val="none"/>
              </w:rPr>
            </w:pPr>
          </w:p>
        </w:tc>
        <w:tc>
          <w:tcPr>
            <w:tcW w:w="1224" w:type="dxa"/>
            <w:vMerge w:val="continue"/>
            <w:noWrap w:val="0"/>
            <w:vAlign w:val="center"/>
          </w:tcPr>
          <w:p>
            <w:pPr>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1"/>
                <w:szCs w:val="21"/>
                <w:highlight w:val="none"/>
              </w:rPr>
            </w:pPr>
          </w:p>
        </w:tc>
        <w:tc>
          <w:tcPr>
            <w:tcW w:w="2488" w:type="dxa"/>
            <w:noWrap w:val="0"/>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F5</w:t>
            </w:r>
            <w:r>
              <w:rPr>
                <w:rFonts w:hint="eastAsia" w:ascii="宋体" w:hAnsi="宋体" w:eastAsia="宋体" w:cs="宋体"/>
                <w:sz w:val="21"/>
                <w:szCs w:val="21"/>
              </w:rPr>
              <w:t>工期承诺及保证措施审查评分</w:t>
            </w:r>
          </w:p>
          <w:p>
            <w:pPr>
              <w:adjustRightIn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（满分10分）</w:t>
            </w:r>
          </w:p>
        </w:tc>
        <w:tc>
          <w:tcPr>
            <w:tcW w:w="5575" w:type="dxa"/>
            <w:noWrap w:val="0"/>
            <w:vAlign w:val="center"/>
          </w:tcPr>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（1）工期承诺满足磋商文件且有具体的违约责任承诺，有施工进度计划，且能保证工期的得</w:t>
            </w:r>
            <w:r>
              <w:rPr>
                <w:rFonts w:hint="eastAsia" w:ascii="宋体" w:hAnsi="宋体" w:eastAsia="宋体" w:cs="宋体"/>
                <w:sz w:val="21"/>
                <w:szCs w:val="21"/>
                <w:lang w:val="en-US" w:eastAsia="zh-CN"/>
              </w:rPr>
              <w:t>6-</w:t>
            </w:r>
            <w:r>
              <w:rPr>
                <w:rFonts w:hint="eastAsia" w:ascii="宋体" w:hAnsi="宋体" w:eastAsia="宋体" w:cs="宋体"/>
                <w:sz w:val="21"/>
                <w:szCs w:val="21"/>
              </w:rPr>
              <w:t>10分；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（2）工期承诺满足磋商文件且有奖罚条件和有施工进度计划，但有错误（如：与</w:t>
            </w:r>
            <w:r>
              <w:rPr>
                <w:rFonts w:hint="eastAsia" w:ascii="宋体" w:hAnsi="宋体" w:eastAsia="宋体" w:cs="宋体"/>
                <w:sz w:val="21"/>
                <w:szCs w:val="21"/>
                <w:lang w:eastAsia="zh-CN"/>
              </w:rPr>
              <w:t>磋商</w:t>
            </w:r>
            <w:r>
              <w:rPr>
                <w:rFonts w:hint="eastAsia" w:ascii="宋体" w:hAnsi="宋体" w:eastAsia="宋体" w:cs="宋体"/>
                <w:sz w:val="21"/>
                <w:szCs w:val="21"/>
              </w:rPr>
              <w:t>工期有矛盾等）的得</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p>
            <w:pPr>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（3）无施工进度计划的不得分。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vMerge w:val="continue"/>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color w:val="auto"/>
                <w:sz w:val="21"/>
                <w:szCs w:val="21"/>
                <w:highlight w:val="none"/>
              </w:rPr>
            </w:pPr>
          </w:p>
        </w:tc>
        <w:tc>
          <w:tcPr>
            <w:tcW w:w="1224" w:type="dxa"/>
            <w:vMerge w:val="continue"/>
            <w:noWrap w:val="0"/>
            <w:vAlign w:val="center"/>
          </w:tcPr>
          <w:p>
            <w:pPr>
              <w:keepNext w:val="0"/>
              <w:keepLines w:val="0"/>
              <w:pageBreakBefore w:val="0"/>
              <w:widowControl w:val="0"/>
              <w:kinsoku/>
              <w:wordWrap/>
              <w:overflowPunct/>
              <w:topLinePunct w:val="0"/>
              <w:bidi w:val="0"/>
              <w:adjustRightInd w:val="0"/>
              <w:snapToGrid w:val="0"/>
              <w:spacing w:line="480" w:lineRule="exact"/>
              <w:ind w:firstLine="0" w:firstLineChars="0"/>
              <w:jc w:val="center"/>
              <w:textAlignment w:val="auto"/>
              <w:rPr>
                <w:rFonts w:hint="eastAsia" w:ascii="宋体" w:hAnsi="宋体" w:eastAsia="宋体" w:cs="宋体"/>
                <w:color w:val="auto"/>
                <w:sz w:val="21"/>
                <w:szCs w:val="21"/>
                <w:highlight w:val="none"/>
              </w:rPr>
            </w:pPr>
          </w:p>
        </w:tc>
        <w:tc>
          <w:tcPr>
            <w:tcW w:w="2488" w:type="dxa"/>
            <w:noWrap w:val="0"/>
            <w:vAlign w:val="center"/>
          </w:tcPr>
          <w:p>
            <w:pPr>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F6：企业业绩评审（10分）</w:t>
            </w:r>
          </w:p>
        </w:tc>
        <w:tc>
          <w:tcPr>
            <w:tcW w:w="5575" w:type="dxa"/>
            <w:noWrap w:val="0"/>
            <w:vAlign w:val="center"/>
          </w:tcPr>
          <w:p>
            <w:pPr>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2020年1月1日以来（以签订合同时间为准）承担过类似业绩，提供1项业绩得2分，分数加满为止。</w:t>
            </w:r>
          </w:p>
          <w:p>
            <w:pPr>
              <w:adjustRightInd w:val="0"/>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注：企业类似业绩证明材料需提供中标通知书或合同复印件附于报价文件中，未提供的此项不得分。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dxa"/>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五</w:t>
            </w:r>
          </w:p>
        </w:tc>
        <w:tc>
          <w:tcPr>
            <w:tcW w:w="1224" w:type="dxa"/>
            <w:noWrap w:val="0"/>
            <w:vAlign w:val="center"/>
          </w:tcPr>
          <w:p>
            <w:pPr>
              <w:keepNext w:val="0"/>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综合打分办法</w:t>
            </w:r>
          </w:p>
        </w:tc>
        <w:tc>
          <w:tcPr>
            <w:tcW w:w="8063" w:type="dxa"/>
            <w:gridSpan w:val="2"/>
            <w:noWrap w:val="0"/>
            <w:vAlign w:val="center"/>
          </w:tcPr>
          <w:p>
            <w:pPr>
              <w:keepNext w:val="0"/>
              <w:keepLines w:val="0"/>
              <w:pageBreakBefore w:val="0"/>
              <w:widowControl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确定最终采购需求和提交最后报价的供应商后，由</w:t>
            </w:r>
            <w:r>
              <w:rPr>
                <w:rFonts w:hint="eastAsia" w:ascii="宋体" w:hAnsi="宋体" w:eastAsia="宋体" w:cs="宋体"/>
                <w:color w:val="auto"/>
                <w:sz w:val="21"/>
                <w:szCs w:val="21"/>
                <w:highlight w:val="none"/>
                <w:lang w:eastAsia="zh-CN"/>
              </w:rPr>
              <w:t>谈判</w:t>
            </w:r>
            <w:r>
              <w:rPr>
                <w:rFonts w:hint="eastAsia" w:ascii="宋体" w:hAnsi="宋体" w:eastAsia="宋体" w:cs="宋体"/>
                <w:color w:val="auto"/>
                <w:sz w:val="21"/>
                <w:szCs w:val="21"/>
                <w:highlight w:val="none"/>
              </w:rPr>
              <w:t>小组采用综合评分法对各供应商的技术部分评审得分加最终报价计算得分为供应商总得分，以综合得分最高的供应商推荐为第一成交候选人，若出现得分最高分并列时，按最终报价最低的供应商为第一成交候选人，评审得分且最后报价相同的，按照技术指标优劣顺序推荐，并编写评审报告。</w:t>
            </w:r>
          </w:p>
        </w:tc>
      </w:tr>
    </w:tbl>
    <w:p>
      <w:bookmarkStart w:id="0" w:name="_GoBack"/>
      <w:bookmarkEnd w:id="0"/>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DU5YzQwNmZmYjBjODI1YWI4NjljYzMxMTVmNDQifQ=="/>
  </w:docVars>
  <w:rsids>
    <w:rsidRoot w:val="499B1012"/>
    <w:rsid w:val="06911D8F"/>
    <w:rsid w:val="13675F77"/>
    <w:rsid w:val="13D55474"/>
    <w:rsid w:val="372C6682"/>
    <w:rsid w:val="38911548"/>
    <w:rsid w:val="3D5C6CCD"/>
    <w:rsid w:val="3F9E7B90"/>
    <w:rsid w:val="3FC62F0A"/>
    <w:rsid w:val="450E50B2"/>
    <w:rsid w:val="499B1012"/>
    <w:rsid w:val="4ABF7376"/>
    <w:rsid w:val="53F331DA"/>
    <w:rsid w:val="59CB2D20"/>
    <w:rsid w:val="679C6371"/>
    <w:rsid w:val="6D9F3E8F"/>
    <w:rsid w:val="7E85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2024-07-11T09:51:00Z</dcterms:created>
  <dc:creator>Reachal</dc:creator>
  <cp:lastModifiedBy>Reachal</cp:lastModifiedBy>
  <dcterms:modified xsi:type="dcterms:W3CDTF">2024-07-11T09:53:10Z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142025078F164EB0BCDAF1207E783E52_11</vt:lpwstr>
  </property>
</Properties>
</file>