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tbl>
      <w:tblPr>
        <w:tblStyle w:val="2"/>
        <w:tblpPr w:leftFromText="180" w:rightFromText="180" w:vertAnchor="text" w:horzAnchor="page" w:tblpX="937" w:tblpY="405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59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before="0" w:after="0" w:line="44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高于预算价为无效报价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2.下浮超过10%无效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（一）、服务方案（42分）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1、对项目的理解（7 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对项目工作背景、目标、重点及难点理解准确、分析清晰得 7 分；理解、分析较为准确清晰的得 4 分；理解及分析一般的得 2 分；无此项内容的，此项得 0 分。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2、技术方案（7 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规划思路合理，技术方案科学，符合本项工作任务要求得 7 分；规划思路较为合理，技术方案基本科学，基本符合本项工作任务要求 得 4 分；规划思路、技术方案一般得 2 分，无此项内容的，此项得 0 分。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项目组织机构及职工责分工（7 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拟投入本项目人员专业齐全，分工明确得 7分；拟投入本项目人员专业齐全，分工基本明确得4 分；拟投入本项目人员专业不全，有分工的得2 分；无此项内容的，此项得 0 分。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4、工作内容及技术方法（7 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工作内容具体全面，思路及技术方法合理得 7 分；工作内容较为全面，思路及技术方法较为合理得 4 分；工作内容、思路及技术方法一般得 2 分；无此项内容的，此项得 0 分。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5、实施计划及进度（7 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工作计划制定合理，符合项目总体要求的得 7分；工作计划制定基本符合项目总体要求的得 4分；工作计划制定比较差的得1分，无工作计划的不得分。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编制质量及保证措施（7 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有可靠和可操作性的质量保证措施得7分；质量保证措施或可操作性基本可靠的得 4分；无质量保证措施，或可操作性较差，流于形式的1分，无质量及保证措施施的不得分。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（二）、服务承诺：（共计13分）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1、服务承诺（5分）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在项目实施期间，能接受甲方合理的安排和建议并积极配合且有相关承诺得 5 分；承诺基本满足甲方需要的得 2分；无承诺不得分。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2、企业承诺：承诺拟投入项目负责人不得更换，项目组其他人员未经采购人同意，不得私自更换人员名单，否则采购人有权终止合同。（5分）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①承诺和措施具体科学合理的得5 分；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②承诺和措施较具体科学合理的得3 分；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③承诺和措施一般，可实施性差的得1分；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④缺项得 0 分。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3、主动做好各项协调工作，保证工作顺利进行的承诺和措施。（3分）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①承诺和措施具体科学合理的得3 分；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②承诺和措施较具体科学合理的得2 分；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③承诺和措施一般，可实施性差的得1分；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④缺项得 0 分。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1、业绩（12分）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提供2021年01月01日以来已完成压覆矿产资源储量核实评估</w:t>
            </w:r>
            <w:r>
              <w:rPr>
                <w:rFonts w:ascii="宋体" w:hAnsi="宋体" w:cs="宋体"/>
                <w:sz w:val="24"/>
                <w:szCs w:val="24"/>
              </w:rPr>
              <w:t>类似项目业绩合同</w:t>
            </w:r>
            <w:r>
              <w:rPr>
                <w:rFonts w:hint="eastAsia" w:ascii="宋体" w:hAnsi="宋体" w:cs="宋体"/>
                <w:sz w:val="24"/>
                <w:szCs w:val="24"/>
              </w:rPr>
              <w:t>，每提供1份得3分，最高得12分，没有不得分。（业绩以合同为准，时间以合同签订时间为准）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2、信用等级（3分）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响应人信用等级评为 AAA 级的得 3分，信用等级评为 AA级的得2分，最高得3分，其他不得分；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3、拟投入人员（15分）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项目负责人具有地质类专业高级职称并提供本单位社保证明的得5分；拟投入的专业技术人员具有地质类专业中级及以上职称证书，并提供本单位社会保险证明，每提供 1 个得 2 分，最多得 10分。本项最高得15分。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sz w:val="24"/>
                <w:szCs w:val="24"/>
              </w:rPr>
              <w:t>认证体系（5分）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sz w:val="24"/>
                <w:szCs w:val="24"/>
              </w:rPr>
              <w:t>响应人同时获得质量管理体系认证证书、环境管理体系认证证书、职业健康安全管理体系认证证书的得5分，缺一项不得分（提供相关证明材料原件扫描件并加盖公章）；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提供合同或其他有效证明文件扫描件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AC1DA"/>
    <w:multiLevelType w:val="singleLevel"/>
    <w:tmpl w:val="993AC1DA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FBDD83F9"/>
    <w:multiLevelType w:val="singleLevel"/>
    <w:tmpl w:val="FBDD83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7E641BE"/>
    <w:multiLevelType w:val="singleLevel"/>
    <w:tmpl w:val="67E641B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MDBkNWY3OWI1ZGRhZDg2MjRjODJhYjRmYWNkOTMifQ=="/>
  </w:docVars>
  <w:rsids>
    <w:rsidRoot w:val="00000000"/>
    <w:rsid w:val="241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2024-06-14T01:42:57Z</dcterms:created>
  <dc:creator>Administrator</dc:creator>
  <cp:lastModifiedBy>李瑞良</cp:lastModifiedBy>
  <dcterms:modified xsi:type="dcterms:W3CDTF">2024-06-14T01:43:20Z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FF4E9D5DE334444BA8B9071297220308_12</vt:lpwstr>
  </property>
</Properties>
</file>