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宋体" w:hAnsi="宋体" w:cs="宋体"/>
          <w:b/>
          <w:bCs/>
          <w:sz w:val="32"/>
          <w:szCs w:val="32"/>
        </w:rPr>
      </w:pPr>
      <w:r>
        <w:rPr>
          <w:rFonts w:hint="eastAsia" w:ascii="宋体" w:hAnsi="宋体" w:eastAsia="宋体" w:cs="宋体"/>
          <w:b/>
          <w:bCs/>
          <w:sz w:val="48"/>
          <w:szCs w:val="48"/>
          <w:lang w:val="zh-CN" w:eastAsia="zh-CN"/>
        </w:rPr>
        <w:t>焦作一中第四、第五合堂教室改造项目</w:t>
      </w:r>
      <w:bookmarkStart w:id="0" w:name="_GoBack"/>
      <w:bookmarkEnd w:id="0"/>
    </w:p>
    <w:p>
      <w:pPr>
        <w:spacing w:line="312" w:lineRule="auto"/>
        <w:jc w:val="center"/>
        <w:rPr>
          <w:rFonts w:ascii="宋体" w:hAnsi="宋体" w:cs="宋体"/>
          <w:color w:val="FF0000"/>
          <w:sz w:val="24"/>
          <w:szCs w:val="24"/>
        </w:rPr>
      </w:pPr>
      <w:r>
        <w:rPr>
          <w:rFonts w:hint="eastAsia" w:ascii="宋体" w:hAnsi="宋体" w:cs="宋体"/>
          <w:b/>
          <w:bCs/>
          <w:sz w:val="32"/>
          <w:szCs w:val="32"/>
        </w:rPr>
        <w:t>评审标准</w:t>
      </w:r>
    </w:p>
    <w:p>
      <w:pPr>
        <w:spacing w:line="312" w:lineRule="auto"/>
        <w:ind w:firstLine="480" w:firstLineChars="200"/>
        <w:rPr>
          <w:rFonts w:ascii="宋体" w:hAnsi="宋体" w:cs="宋体"/>
          <w:sz w:val="24"/>
          <w:szCs w:val="24"/>
        </w:rPr>
      </w:pPr>
      <w:r>
        <w:rPr>
          <w:rFonts w:hint="eastAsia" w:ascii="宋体" w:hAnsi="宋体" w:cs="宋体"/>
          <w:sz w:val="24"/>
          <w:szCs w:val="24"/>
        </w:rPr>
        <w:t>综合评分法，是指响应文件满足谈判文件全部实质性要求，且按照评审因素的量化指标评审得分最高的供应商为中标候选人的评标方法。</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本项目总分为100分。</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078"/>
        <w:gridCol w:w="1269"/>
        <w:gridCol w:w="6013"/>
        <w:gridCol w:w="484"/>
        <w:gridCol w:w="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91" w:hRule="atLeast"/>
          <w:jc w:val="center"/>
        </w:trPr>
        <w:tc>
          <w:tcPr>
            <w:tcW w:w="2347" w:type="dxa"/>
            <w:gridSpan w:val="2"/>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评审项目</w:t>
            </w:r>
          </w:p>
        </w:tc>
        <w:tc>
          <w:tcPr>
            <w:tcW w:w="6970" w:type="dxa"/>
            <w:gridSpan w:val="3"/>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91" w:hRule="atLeast"/>
          <w:jc w:val="center"/>
        </w:trPr>
        <w:tc>
          <w:tcPr>
            <w:tcW w:w="2347" w:type="dxa"/>
            <w:gridSpan w:val="2"/>
            <w:tcBorders>
              <w:top w:val="single" w:color="auto" w:sz="12" w:space="0"/>
              <w:bottom w:val="single" w:color="auto" w:sz="6" w:space="0"/>
            </w:tcBorders>
            <w:shd w:val="clear" w:color="auto" w:fill="FFFFFF"/>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资格性审查</w:t>
            </w:r>
          </w:p>
        </w:tc>
        <w:tc>
          <w:tcPr>
            <w:tcW w:w="6970" w:type="dxa"/>
            <w:gridSpan w:val="3"/>
            <w:tcBorders>
              <w:top w:val="single" w:color="auto" w:sz="12" w:space="0"/>
              <w:bottom w:val="single" w:color="auto" w:sz="6" w:space="0"/>
            </w:tcBorders>
            <w:shd w:val="clear" w:color="auto" w:fill="FFFFFF"/>
            <w:noWrap w:val="0"/>
            <w:vAlign w:val="center"/>
          </w:tcPr>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谈判文件规定的供应商资格条件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91" w:hRule="atLeast"/>
          <w:jc w:val="center"/>
        </w:trPr>
        <w:tc>
          <w:tcPr>
            <w:tcW w:w="2347" w:type="dxa"/>
            <w:gridSpan w:val="2"/>
            <w:tcBorders>
              <w:top w:val="single" w:color="auto" w:sz="12" w:space="0"/>
              <w:bottom w:val="single" w:color="auto" w:sz="6" w:space="0"/>
            </w:tcBorders>
            <w:shd w:val="clear" w:color="auto" w:fill="FFFFFF"/>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w:t>
            </w:r>
          </w:p>
        </w:tc>
        <w:tc>
          <w:tcPr>
            <w:tcW w:w="6970" w:type="dxa"/>
            <w:gridSpan w:val="3"/>
            <w:tcBorders>
              <w:top w:val="single" w:color="auto" w:sz="12" w:space="0"/>
              <w:bottom w:val="single" w:color="auto" w:sz="6" w:space="0"/>
            </w:tcBorders>
            <w:shd w:val="clear" w:color="auto" w:fill="FFFFFF"/>
            <w:noWrap w:val="0"/>
            <w:vAlign w:val="center"/>
          </w:tcPr>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（1）响应性文件的有效性(签署情况等)；</w:t>
            </w:r>
          </w:p>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（2）响应性文件的完整性(响应性文件内容等)；</w:t>
            </w:r>
          </w:p>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（3）对</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 xml:space="preserve">文件的响应程度（是否存在重大负偏离等）。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91" w:hRule="atLeast"/>
          <w:jc w:val="center"/>
        </w:trPr>
        <w:tc>
          <w:tcPr>
            <w:tcW w:w="2347" w:type="dxa"/>
            <w:gridSpan w:val="2"/>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评审项目</w:t>
            </w:r>
          </w:p>
        </w:tc>
        <w:tc>
          <w:tcPr>
            <w:tcW w:w="6013" w:type="dxa"/>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484" w:type="dxa"/>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473" w:type="dxa"/>
            <w:tcBorders>
              <w:top w:val="single" w:color="auto" w:sz="12" w:space="0"/>
              <w:bottom w:val="single" w:color="auto" w:sz="6" w:space="0"/>
            </w:tcBorders>
            <w:shd w:val="clear" w:color="auto" w:fill="E0E0E0"/>
            <w:noWrap w:val="0"/>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848" w:hRule="atLeast"/>
          <w:jc w:val="center"/>
        </w:trPr>
        <w:tc>
          <w:tcPr>
            <w:tcW w:w="1078" w:type="dxa"/>
            <w:noWrap w:val="0"/>
            <w:vAlign w:val="center"/>
          </w:tcPr>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w:t>
            </w:r>
          </w:p>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部分</w:t>
            </w:r>
          </w:p>
          <w:p>
            <w:pPr>
              <w:spacing w:line="260" w:lineRule="exact"/>
              <w:rPr>
                <w:rFonts w:hint="eastAsia" w:ascii="宋体" w:hAnsi="宋体" w:eastAsia="宋体" w:cs="宋体"/>
                <w:b/>
                <w:bCs/>
                <w:color w:val="auto"/>
                <w:spacing w:val="-20"/>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40分）</w:t>
            </w:r>
          </w:p>
        </w:tc>
        <w:tc>
          <w:tcPr>
            <w:tcW w:w="1269" w:type="dxa"/>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w:t>
            </w:r>
          </w:p>
        </w:tc>
        <w:tc>
          <w:tcPr>
            <w:tcW w:w="6013" w:type="dxa"/>
            <w:noWrap w:val="0"/>
            <w:vAlign w:val="center"/>
          </w:tcPr>
          <w:p>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报价得分＝（</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基准价/最后</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报价）×40</w:t>
            </w:r>
          </w:p>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文件要求且最后报价最低的供应商的价格为</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基准价，其价格分为满分40分。</w:t>
            </w:r>
          </w:p>
        </w:tc>
        <w:tc>
          <w:tcPr>
            <w:tcW w:w="484" w:type="dxa"/>
            <w:noWrap w:val="0"/>
            <w:vAlign w:val="center"/>
          </w:tcPr>
          <w:p>
            <w:pPr>
              <w:snapToGrid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473" w:type="dxa"/>
            <w:noWrap w:val="0"/>
            <w:vAlign w:val="center"/>
          </w:tcPr>
          <w:p>
            <w:pPr>
              <w:snapToGrid w:val="0"/>
              <w:spacing w:line="320" w:lineRule="exact"/>
              <w:ind w:left="280" w:leftChars="10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0" w:hRule="atLeast"/>
          <w:jc w:val="center"/>
        </w:trPr>
        <w:tc>
          <w:tcPr>
            <w:tcW w:w="1078" w:type="dxa"/>
            <w:vMerge w:val="restart"/>
            <w:noWrap w:val="0"/>
            <w:vAlign w:val="center"/>
          </w:tcPr>
          <w:p>
            <w:pPr>
              <w:pStyle w:val="5"/>
              <w:widowControl w:val="0"/>
              <w:jc w:val="center"/>
              <w:rPr>
                <w:rFonts w:hint="eastAsia" w:ascii="宋体" w:hAnsi="宋体" w:eastAsia="宋体" w:cs="宋体"/>
                <w:b/>
                <w:bCs/>
                <w:color w:val="auto"/>
                <w:spacing w:val="-20"/>
                <w:sz w:val="21"/>
                <w:szCs w:val="21"/>
              </w:rPr>
            </w:pPr>
          </w:p>
          <w:p>
            <w:pPr>
              <w:pStyle w:val="5"/>
              <w:widowControl w:val="0"/>
              <w:jc w:val="center"/>
              <w:rPr>
                <w:rFonts w:hint="eastAsia" w:ascii="宋体" w:hAnsi="宋体" w:eastAsia="宋体" w:cs="宋体"/>
                <w:b/>
                <w:bCs/>
                <w:color w:val="auto"/>
                <w:spacing w:val="-20"/>
                <w:sz w:val="21"/>
                <w:szCs w:val="21"/>
              </w:rPr>
            </w:pPr>
          </w:p>
          <w:p>
            <w:pPr>
              <w:pStyle w:val="5"/>
              <w:widowControl w:val="0"/>
              <w:jc w:val="center"/>
              <w:rPr>
                <w:rFonts w:hint="eastAsia" w:ascii="宋体" w:hAnsi="宋体" w:eastAsia="宋体" w:cs="宋体"/>
                <w:b/>
                <w:bCs/>
                <w:color w:val="auto"/>
                <w:spacing w:val="-20"/>
                <w:sz w:val="21"/>
                <w:szCs w:val="21"/>
              </w:rPr>
            </w:pPr>
          </w:p>
          <w:p>
            <w:pPr>
              <w:pStyle w:val="5"/>
              <w:widowControl w:val="0"/>
              <w:jc w:val="center"/>
              <w:rPr>
                <w:rFonts w:hint="eastAsia" w:ascii="宋体" w:hAnsi="宋体" w:eastAsia="宋体" w:cs="宋体"/>
                <w:b/>
                <w:bCs/>
                <w:color w:val="auto"/>
                <w:spacing w:val="-20"/>
                <w:sz w:val="21"/>
                <w:szCs w:val="21"/>
              </w:rPr>
            </w:pPr>
          </w:p>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w:t>
            </w:r>
          </w:p>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部分</w:t>
            </w:r>
          </w:p>
          <w:p>
            <w:pPr>
              <w:spacing w:line="260" w:lineRule="exact"/>
              <w:jc w:val="center"/>
              <w:rPr>
                <w:rFonts w:hint="eastAsia" w:ascii="宋体" w:hAnsi="宋体" w:eastAsia="宋体" w:cs="宋体"/>
                <w:color w:val="auto"/>
                <w:spacing w:val="-20"/>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20</w:t>
            </w:r>
            <w:r>
              <w:rPr>
                <w:rFonts w:hint="eastAsia" w:ascii="宋体" w:hAnsi="宋体" w:eastAsia="宋体" w:cs="宋体"/>
                <w:b/>
                <w:bCs/>
                <w:color w:val="auto"/>
                <w:sz w:val="21"/>
                <w:szCs w:val="21"/>
              </w:rPr>
              <w:t>分）</w:t>
            </w:r>
          </w:p>
        </w:tc>
        <w:tc>
          <w:tcPr>
            <w:tcW w:w="1269" w:type="dxa"/>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机构</w:t>
            </w:r>
          </w:p>
        </w:tc>
        <w:tc>
          <w:tcPr>
            <w:tcW w:w="6013" w:type="dxa"/>
            <w:noWrap w:val="0"/>
            <w:vAlign w:val="center"/>
          </w:tcPr>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拟派组织机构除项目经理、技术负责人外，须提供施工员、质量员或质检员、安全员、材料员、预算员或造价员相关岗位证书、在本单位的劳动合同，每提供一人加2分，本项最高得10分。</w:t>
            </w:r>
          </w:p>
        </w:tc>
        <w:tc>
          <w:tcPr>
            <w:tcW w:w="484" w:type="dxa"/>
            <w:noWrap w:val="0"/>
            <w:vAlign w:val="center"/>
          </w:tcPr>
          <w:p>
            <w:pPr>
              <w:snapToGrid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73" w:type="dxa"/>
            <w:noWrap w:val="0"/>
            <w:vAlign w:val="center"/>
          </w:tcPr>
          <w:p>
            <w:pPr>
              <w:snapToGrid w:val="0"/>
              <w:spacing w:line="320" w:lineRule="exact"/>
              <w:ind w:left="280" w:leftChars="10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26" w:hRule="atLeast"/>
          <w:jc w:val="center"/>
        </w:trPr>
        <w:tc>
          <w:tcPr>
            <w:tcW w:w="1078" w:type="dxa"/>
            <w:vMerge w:val="continue"/>
            <w:noWrap w:val="0"/>
            <w:vAlign w:val="center"/>
          </w:tcPr>
          <w:p>
            <w:pPr>
              <w:rPr>
                <w:rFonts w:hint="eastAsia" w:ascii="宋体" w:hAnsi="宋体" w:eastAsia="宋体" w:cs="宋体"/>
                <w:color w:val="auto"/>
                <w:spacing w:val="-20"/>
                <w:sz w:val="21"/>
                <w:szCs w:val="21"/>
              </w:rPr>
            </w:pPr>
          </w:p>
        </w:tc>
        <w:tc>
          <w:tcPr>
            <w:tcW w:w="1269" w:type="dxa"/>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tc>
        <w:tc>
          <w:tcPr>
            <w:tcW w:w="6013" w:type="dxa"/>
            <w:noWrap w:val="0"/>
            <w:vAlign w:val="center"/>
          </w:tcPr>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企业202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年1月1日以来承担过类似工程施工业绩的每个得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备注：以上业绩须提供合同及中标通知书。</w:t>
            </w:r>
          </w:p>
        </w:tc>
        <w:tc>
          <w:tcPr>
            <w:tcW w:w="484" w:type="dxa"/>
            <w:noWrap w:val="0"/>
            <w:vAlign w:val="center"/>
          </w:tcPr>
          <w:p>
            <w:pPr>
              <w:snapToGrid w:val="0"/>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73" w:type="dxa"/>
            <w:noWrap w:val="0"/>
            <w:vAlign w:val="center"/>
          </w:tcPr>
          <w:p>
            <w:pPr>
              <w:snapToGrid w:val="0"/>
              <w:spacing w:line="320" w:lineRule="exact"/>
              <w:ind w:left="280" w:leftChars="10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65" w:hRule="atLeast"/>
          <w:jc w:val="center"/>
        </w:trPr>
        <w:tc>
          <w:tcPr>
            <w:tcW w:w="1078" w:type="dxa"/>
            <w:vMerge w:val="continue"/>
            <w:noWrap w:val="0"/>
            <w:vAlign w:val="center"/>
          </w:tcPr>
          <w:p>
            <w:pPr>
              <w:rPr>
                <w:rFonts w:hint="eastAsia" w:ascii="宋体" w:hAnsi="宋体" w:eastAsia="宋体" w:cs="宋体"/>
                <w:color w:val="auto"/>
                <w:spacing w:val="-20"/>
                <w:sz w:val="21"/>
                <w:szCs w:val="21"/>
              </w:rPr>
            </w:pPr>
          </w:p>
        </w:tc>
        <w:tc>
          <w:tcPr>
            <w:tcW w:w="1269" w:type="dxa"/>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工程质量保修期内、外的优惠及服务承诺</w:t>
            </w:r>
          </w:p>
        </w:tc>
        <w:tc>
          <w:tcPr>
            <w:tcW w:w="6013" w:type="dxa"/>
            <w:noWrap w:val="0"/>
            <w:vAlign w:val="center"/>
          </w:tcPr>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1、优惠及服务承诺符合工程实际情况，优惠合理可行，服务承诺全面具体、优质高效、针对性非常强得2分；</w:t>
            </w:r>
          </w:p>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2、优惠及服务承诺符合工程实际情况，优惠合理，服务承诺具体、有针对性得1分；</w:t>
            </w:r>
          </w:p>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3、不符合或未提供不得分。</w:t>
            </w:r>
          </w:p>
        </w:tc>
        <w:tc>
          <w:tcPr>
            <w:tcW w:w="484" w:type="dxa"/>
            <w:noWrap w:val="0"/>
            <w:vAlign w:val="center"/>
          </w:tcPr>
          <w:p>
            <w:pPr>
              <w:snapToGrid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73" w:type="dxa"/>
            <w:noWrap w:val="0"/>
            <w:vAlign w:val="center"/>
          </w:tcPr>
          <w:p>
            <w:pPr>
              <w:snapToGrid w:val="0"/>
              <w:spacing w:line="320" w:lineRule="exact"/>
              <w:ind w:left="280" w:leftChars="10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554" w:hRule="atLeast"/>
          <w:jc w:val="center"/>
        </w:trPr>
        <w:tc>
          <w:tcPr>
            <w:tcW w:w="1078" w:type="dxa"/>
            <w:vMerge w:val="continue"/>
            <w:noWrap w:val="0"/>
            <w:vAlign w:val="center"/>
          </w:tcPr>
          <w:p>
            <w:pPr>
              <w:rPr>
                <w:rFonts w:hint="eastAsia" w:ascii="宋体" w:hAnsi="宋体" w:eastAsia="宋体" w:cs="宋体"/>
                <w:color w:val="auto"/>
                <w:spacing w:val="-20"/>
                <w:sz w:val="21"/>
                <w:szCs w:val="21"/>
              </w:rPr>
            </w:pPr>
          </w:p>
        </w:tc>
        <w:tc>
          <w:tcPr>
            <w:tcW w:w="1269"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其他实质性承诺</w:t>
            </w:r>
          </w:p>
          <w:p>
            <w:pPr>
              <w:spacing w:line="260" w:lineRule="exact"/>
              <w:jc w:val="center"/>
              <w:rPr>
                <w:rFonts w:hint="eastAsia" w:ascii="宋体" w:hAnsi="宋体" w:eastAsia="宋体" w:cs="宋体"/>
                <w:color w:val="auto"/>
                <w:sz w:val="21"/>
                <w:szCs w:val="21"/>
              </w:rPr>
            </w:pPr>
          </w:p>
        </w:tc>
        <w:tc>
          <w:tcPr>
            <w:tcW w:w="6013"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1、符合工程实际情况，确保依法依规，优惠合理，详实可行（3 分）</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2、符合工程实际情况，确保依法依规，优惠较合理，可行（2 分） </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3、符合工程实际情况，确保依法依规，优惠基本合理，可行（1 分）</w:t>
            </w:r>
          </w:p>
        </w:tc>
        <w:tc>
          <w:tcPr>
            <w:tcW w:w="484" w:type="dxa"/>
            <w:noWrap w:val="0"/>
            <w:vAlign w:val="center"/>
          </w:tcPr>
          <w:p>
            <w:pPr>
              <w:snapToGrid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noWrap w:val="0"/>
            <w:vAlign w:val="center"/>
          </w:tcPr>
          <w:p>
            <w:pPr>
              <w:snapToGrid w:val="0"/>
              <w:spacing w:line="320" w:lineRule="exact"/>
              <w:ind w:left="280" w:leftChars="10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70" w:hRule="atLeast"/>
          <w:jc w:val="center"/>
        </w:trPr>
        <w:tc>
          <w:tcPr>
            <w:tcW w:w="1078" w:type="dxa"/>
            <w:vMerge w:val="restart"/>
            <w:tcBorders>
              <w:top w:val="single" w:color="auto" w:sz="6" w:space="0"/>
            </w:tcBorders>
            <w:noWrap w:val="0"/>
            <w:vAlign w:val="center"/>
          </w:tcPr>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w:t>
            </w:r>
          </w:p>
          <w:p>
            <w:pPr>
              <w:spacing w:line="2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部分</w:t>
            </w:r>
          </w:p>
          <w:p>
            <w:pPr>
              <w:spacing w:line="260" w:lineRule="exact"/>
              <w:jc w:val="center"/>
              <w:rPr>
                <w:rFonts w:hint="eastAsia" w:ascii="宋体" w:hAnsi="宋体" w:eastAsia="宋体" w:cs="宋体"/>
                <w:color w:val="auto"/>
                <w:spacing w:val="-20"/>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40</w:t>
            </w:r>
            <w:r>
              <w:rPr>
                <w:rFonts w:hint="eastAsia" w:ascii="宋体" w:hAnsi="宋体" w:eastAsia="宋体" w:cs="宋体"/>
                <w:b/>
                <w:bCs/>
                <w:color w:val="auto"/>
                <w:sz w:val="21"/>
                <w:szCs w:val="21"/>
              </w:rPr>
              <w:t>分）</w:t>
            </w: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内容完整性和编制水平（</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优：投标文件内容详实丰富，以工程实际为出发点，贴合事实，考虑全面完整，文件编制逻辑性强，清晰明了。</w:t>
            </w:r>
          </w:p>
        </w:tc>
        <w:tc>
          <w:tcPr>
            <w:tcW w:w="484" w:type="dxa"/>
            <w:tcBorders>
              <w:top w:val="single" w:color="auto" w:sz="6"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7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72" w:hRule="atLeast"/>
          <w:jc w:val="center"/>
        </w:trPr>
        <w:tc>
          <w:tcPr>
            <w:tcW w:w="1078" w:type="dxa"/>
            <w:vMerge w:val="continue"/>
            <w:noWrap w:val="0"/>
            <w:vAlign w:val="center"/>
          </w:tcPr>
          <w:p>
            <w:pPr>
              <w:spacing w:line="260" w:lineRule="exact"/>
              <w:jc w:val="center"/>
              <w:rPr>
                <w:rFonts w:hint="eastAsia" w:ascii="宋体" w:hAnsi="宋体" w:eastAsia="宋体" w:cs="宋体"/>
                <w:b/>
                <w:bCs/>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良：投标文件内容详实丰富，考虑全面完整，文件编制清晰明了。</w:t>
            </w:r>
          </w:p>
        </w:tc>
        <w:tc>
          <w:tcPr>
            <w:tcW w:w="484"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47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80" w:hRule="atLeast"/>
          <w:jc w:val="center"/>
        </w:trPr>
        <w:tc>
          <w:tcPr>
            <w:tcW w:w="1078" w:type="dxa"/>
            <w:vMerge w:val="continue"/>
            <w:noWrap w:val="0"/>
            <w:vAlign w:val="center"/>
          </w:tcPr>
          <w:p>
            <w:pPr>
              <w:spacing w:line="260" w:lineRule="exact"/>
              <w:jc w:val="center"/>
              <w:rPr>
                <w:rFonts w:hint="eastAsia" w:ascii="宋体" w:hAnsi="宋体" w:eastAsia="宋体" w:cs="宋体"/>
                <w:b/>
                <w:bCs/>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一般：投标文件内容完整。</w:t>
            </w:r>
          </w:p>
        </w:tc>
        <w:tc>
          <w:tcPr>
            <w:tcW w:w="484"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6"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施工方案与技术措施</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优：方案（含工程特点、施工重点与难点及绿色施工）总体安排合理，运用先进、合理的施工工艺、施工机械；对施工难点有先进和合理的建议。</w:t>
            </w:r>
          </w:p>
        </w:tc>
        <w:tc>
          <w:tcPr>
            <w:tcW w:w="484" w:type="dxa"/>
            <w:tcBorders>
              <w:top w:val="single" w:color="auto" w:sz="6"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25"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良：方案（含工程特点、施工重点与难点及绿色施工） 总体安排合理，施工工艺、施工机械合理、可行；对施工难点有比较完善的合理建议。</w:t>
            </w:r>
          </w:p>
        </w:tc>
        <w:tc>
          <w:tcPr>
            <w:tcW w:w="484"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88"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一般：方案（含工程特点、施工重点与难点及绿色施工）总体安排基本合理，施工工艺、施工机械基本合理、可行；对施工难点有较合理的建议。</w:t>
            </w:r>
          </w:p>
        </w:tc>
        <w:tc>
          <w:tcPr>
            <w:tcW w:w="484"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63"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质量管理体系与措施</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优：组织机构形式合理，有完善的质量管理机制，质量保证措施完整得力、经济、安全，满足相关标准。</w:t>
            </w:r>
          </w:p>
        </w:tc>
        <w:tc>
          <w:tcPr>
            <w:tcW w:w="484" w:type="dxa"/>
            <w:tcBorders>
              <w:top w:val="single" w:color="auto" w:sz="6"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39"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良：组织机构形式合理，质量保证措施经济、安全、可行。</w:t>
            </w:r>
          </w:p>
        </w:tc>
        <w:tc>
          <w:tcPr>
            <w:tcW w:w="484"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44"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一般:组织机构形式基本合理。</w:t>
            </w:r>
          </w:p>
        </w:tc>
        <w:tc>
          <w:tcPr>
            <w:tcW w:w="484"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66"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安全管理体系与措施</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安全保障体系健全，制度完善，管理目标具体，安全责任明确，现场安全管理机构、人员配备满足国家规定，安全技术措施科学合理，现场配置各项安全标识牌，根据工程特点、周边环境和施工工艺，正确识别现场危险源并有相应的安全管理措施。</w:t>
            </w:r>
          </w:p>
        </w:tc>
        <w:tc>
          <w:tcPr>
            <w:tcW w:w="484" w:type="dxa"/>
            <w:tcBorders>
              <w:top w:val="single" w:color="auto" w:sz="6"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00"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良：安全保障体系健全，制度完善，现场安全管理机构、人员配备满足国家规定。根据工程特点、周边环境和施工工艺，正确识别现场危险源并有相应的安全管理措施。</w:t>
            </w:r>
          </w:p>
        </w:tc>
        <w:tc>
          <w:tcPr>
            <w:tcW w:w="484"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31"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一般：有安全保障体系，安全技术方案、措施基本可行。</w:t>
            </w:r>
          </w:p>
        </w:tc>
        <w:tc>
          <w:tcPr>
            <w:tcW w:w="484" w:type="dxa"/>
            <w:tcBorders>
              <w:top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71"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文明施工和环境保护措施</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优：环境保护方案内容丰富且完备，配备有各种环境保护设施，且有环境保护应急预案，能通过环保部门日常检查，承诺在施工期间承担环保部门所提的各项要求。</w:t>
            </w:r>
          </w:p>
        </w:tc>
        <w:tc>
          <w:tcPr>
            <w:tcW w:w="484" w:type="dxa"/>
            <w:tcBorders>
              <w:top w:val="single" w:color="auto" w:sz="6"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93"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良：环境保护方案内容丰富且完备，配备有各种环境保护设施，且有环境保护应急预案。</w:t>
            </w:r>
          </w:p>
        </w:tc>
        <w:tc>
          <w:tcPr>
            <w:tcW w:w="484"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3"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一般：有环境保护方案</w:t>
            </w:r>
          </w:p>
        </w:tc>
        <w:tc>
          <w:tcPr>
            <w:tcW w:w="484" w:type="dxa"/>
            <w:tcBorders>
              <w:top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63"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p>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优：工期满足招标文件要求，施工计划精确，有保障措施且合理，有针对性，有违约承诺。</w:t>
            </w:r>
          </w:p>
        </w:tc>
        <w:tc>
          <w:tcPr>
            <w:tcW w:w="484" w:type="dxa"/>
            <w:tcBorders>
              <w:top w:val="single" w:color="auto" w:sz="6"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86"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良：工期满足招标文件要求，有违约承诺。</w:t>
            </w:r>
          </w:p>
        </w:tc>
        <w:tc>
          <w:tcPr>
            <w:tcW w:w="484"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58"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一般：工期满足招标文件要求。</w:t>
            </w:r>
          </w:p>
        </w:tc>
        <w:tc>
          <w:tcPr>
            <w:tcW w:w="484" w:type="dxa"/>
            <w:tcBorders>
              <w:top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6"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资源配备计划（5分）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优：有完整的资源配备计划，且符合本工程实际情况（设备配备计划、劳动力配备计划、其他施工生产资源类的配备计划、资金使用计划等）。</w:t>
            </w:r>
          </w:p>
        </w:tc>
        <w:tc>
          <w:tcPr>
            <w:tcW w:w="484" w:type="dxa"/>
            <w:tcBorders>
              <w:top w:val="single" w:color="auto" w:sz="6"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79"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良：有完整的资源配备计划（设备配备计划、劳动力配备计划、其他施工生产资源类的配备计划、资金使用计划等）。</w:t>
            </w:r>
          </w:p>
        </w:tc>
        <w:tc>
          <w:tcPr>
            <w:tcW w:w="484"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82"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一般：有资源配备计划。</w:t>
            </w:r>
          </w:p>
        </w:tc>
        <w:tc>
          <w:tcPr>
            <w:tcW w:w="484" w:type="dxa"/>
            <w:tcBorders>
              <w:top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25"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restart"/>
            <w:tcBorders>
              <w:top w:val="single" w:color="auto" w:sz="6"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施工总布置（5分）</w:t>
            </w:r>
          </w:p>
        </w:tc>
        <w:tc>
          <w:tcPr>
            <w:tcW w:w="6013" w:type="dxa"/>
            <w:tcBorders>
              <w:top w:val="single" w:color="auto" w:sz="6"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优：与施工现场实际情况贴合，施工布置合理，</w:t>
            </w:r>
            <w:r>
              <w:rPr>
                <w:rFonts w:hint="eastAsia" w:ascii="宋体" w:hAnsi="宋体" w:eastAsia="宋体" w:cs="宋体"/>
                <w:color w:val="auto"/>
                <w:sz w:val="21"/>
                <w:szCs w:val="21"/>
              </w:rPr>
              <w:t>投标人对工程施工规划逻辑性强</w:t>
            </w:r>
            <w:r>
              <w:rPr>
                <w:rFonts w:hint="eastAsia" w:ascii="宋体" w:hAnsi="宋体" w:eastAsia="宋体" w:cs="宋体"/>
                <w:bCs/>
                <w:color w:val="auto"/>
                <w:sz w:val="21"/>
                <w:szCs w:val="21"/>
              </w:rPr>
              <w:t>。</w:t>
            </w:r>
          </w:p>
        </w:tc>
        <w:tc>
          <w:tcPr>
            <w:tcW w:w="484" w:type="dxa"/>
            <w:tcBorders>
              <w:top w:val="single" w:color="auto" w:sz="6"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73" w:type="dxa"/>
            <w:tcBorders>
              <w:top w:val="single" w:color="auto" w:sz="6"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94"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bottom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良：施工布置合理，</w:t>
            </w:r>
            <w:r>
              <w:rPr>
                <w:rFonts w:hint="eastAsia" w:ascii="宋体" w:hAnsi="宋体" w:eastAsia="宋体" w:cs="宋体"/>
                <w:color w:val="auto"/>
                <w:sz w:val="21"/>
                <w:szCs w:val="21"/>
              </w:rPr>
              <w:t>投标人对工程施工规划逻辑性强</w:t>
            </w:r>
            <w:r>
              <w:rPr>
                <w:rFonts w:hint="eastAsia" w:ascii="宋体" w:hAnsi="宋体" w:eastAsia="宋体" w:cs="宋体"/>
                <w:bCs/>
                <w:color w:val="auto"/>
                <w:sz w:val="21"/>
                <w:szCs w:val="21"/>
              </w:rPr>
              <w:t>。</w:t>
            </w:r>
          </w:p>
        </w:tc>
        <w:tc>
          <w:tcPr>
            <w:tcW w:w="484"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73" w:type="dxa"/>
            <w:tcBorders>
              <w:top w:val="single" w:color="auto" w:sz="4" w:space="0"/>
              <w:bottom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37" w:hRule="atLeast"/>
          <w:jc w:val="center"/>
        </w:trPr>
        <w:tc>
          <w:tcPr>
            <w:tcW w:w="1078" w:type="dxa"/>
            <w:vMerge w:val="continue"/>
            <w:noWrap w:val="0"/>
            <w:vAlign w:val="center"/>
          </w:tcPr>
          <w:p>
            <w:pPr>
              <w:spacing w:line="260" w:lineRule="exact"/>
              <w:rPr>
                <w:rFonts w:hint="eastAsia" w:ascii="宋体" w:hAnsi="宋体" w:eastAsia="宋体" w:cs="宋体"/>
                <w:color w:val="auto"/>
                <w:sz w:val="21"/>
                <w:szCs w:val="21"/>
              </w:rPr>
            </w:pPr>
          </w:p>
        </w:tc>
        <w:tc>
          <w:tcPr>
            <w:tcW w:w="1269" w:type="dxa"/>
            <w:vMerge w:val="continue"/>
            <w:noWrap w:val="0"/>
            <w:vAlign w:val="center"/>
          </w:tcPr>
          <w:p>
            <w:pPr>
              <w:spacing w:line="260" w:lineRule="exact"/>
              <w:jc w:val="center"/>
              <w:rPr>
                <w:rFonts w:hint="eastAsia" w:ascii="宋体" w:hAnsi="宋体" w:eastAsia="宋体" w:cs="宋体"/>
                <w:color w:val="auto"/>
                <w:sz w:val="21"/>
                <w:szCs w:val="21"/>
              </w:rPr>
            </w:pPr>
          </w:p>
        </w:tc>
        <w:tc>
          <w:tcPr>
            <w:tcW w:w="6013" w:type="dxa"/>
            <w:tcBorders>
              <w:top w:val="single" w:color="auto" w:sz="4" w:space="0"/>
            </w:tcBorders>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一般：有施工总布置内容。</w:t>
            </w:r>
          </w:p>
        </w:tc>
        <w:tc>
          <w:tcPr>
            <w:tcW w:w="484" w:type="dxa"/>
            <w:tcBorders>
              <w:top w:val="single" w:color="auto" w:sz="4" w:space="0"/>
            </w:tcBorders>
            <w:noWrap w:val="0"/>
            <w:vAlign w:val="center"/>
          </w:tcPr>
          <w:p>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 w:type="dxa"/>
            <w:tcBorders>
              <w:top w:val="single" w:color="auto" w:sz="4" w:space="0"/>
            </w:tcBorders>
            <w:noWrap w:val="0"/>
            <w:vAlign w:val="center"/>
          </w:tcPr>
          <w:p>
            <w:pPr>
              <w:spacing w:line="26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64" w:hRule="atLeast"/>
          <w:jc w:val="center"/>
        </w:trPr>
        <w:tc>
          <w:tcPr>
            <w:tcW w:w="9317" w:type="dxa"/>
            <w:gridSpan w:val="5"/>
            <w:noWrap w:val="0"/>
            <w:vAlign w:val="center"/>
          </w:tcPr>
          <w:p>
            <w:pPr>
              <w:spacing w:line="26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备注：以上项目若有缺项或不能满足施工要求或与该工程要求不相符，该项为0分。</w:t>
            </w:r>
          </w:p>
        </w:tc>
      </w:tr>
    </w:tbl>
    <w:p>
      <w:pPr>
        <w:spacing w:line="312"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评标过程中，不得去掉报价中的最高报价和最低报价。</w:t>
      </w:r>
    </w:p>
    <w:p>
      <w:pPr>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技术部分各评委打分汇总取算术平均值作为供应商的技术得分，保留小数点后两位（四舍五入）；</w:t>
      </w:r>
    </w:p>
    <w:p>
      <w:pPr>
        <w:spacing w:line="312" w:lineRule="auto"/>
        <w:ind w:firstLine="480" w:firstLineChars="200"/>
        <w:rPr>
          <w:rFonts w:ascii="宋体" w:hAnsi="宋体" w:cs="宋体"/>
          <w:b/>
          <w:sz w:val="36"/>
          <w:szCs w:val="36"/>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综合得分一致时报价低的优先。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zVkMzViYTIwZDNlOTllNGFlYTUwOTMwM2RkNmMifQ=="/>
    <w:docVar w:name="KSO_WPS_MARK_KEY" w:val="96044fbf-8d10-4585-8916-eb0d97411e5d"/>
  </w:docVars>
  <w:rsids>
    <w:rsidRoot w:val="027D4BFD"/>
    <w:rsid w:val="027D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2024-06-12T07:52:00Z</dcterms:created>
  <dc:creator>Administrator</dc:creator>
  <cp:lastModifiedBy>Administrator</cp:lastModifiedBy>
  <dcterms:modified xsi:type="dcterms:W3CDTF">2024-06-12T07:53:04Z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C39414060A1240E88BE8E9F4BDEE9262_11</vt:lpwstr>
  </property>
</Properties>
</file>