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E05" w:rsidRDefault="00247E05" w:rsidP="00247E05">
      <w:pPr>
        <w:spacing w:line="312" w:lineRule="auto"/>
        <w:jc w:val="center"/>
        <w:rPr>
          <w:rFonts w:ascii="宋体" w:hAnsi="宋体" w:cs="宋体"/>
          <w:b/>
          <w:bCs/>
          <w:szCs w:val="28"/>
        </w:rPr>
      </w:pPr>
      <w:r>
        <w:rPr>
          <w:rFonts w:ascii="宋体" w:hAnsi="宋体" w:cs="宋体" w:hint="eastAsia"/>
          <w:b/>
          <w:bCs/>
          <w:szCs w:val="28"/>
        </w:rPr>
        <w:t>评审标准</w:t>
      </w:r>
    </w:p>
    <w:tbl>
      <w:tblPr>
        <w:tblW w:w="93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75"/>
        <w:gridCol w:w="803"/>
        <w:gridCol w:w="7419"/>
      </w:tblGrid>
      <w:tr w:rsidR="00247E05" w:rsidRPr="0059220D" w:rsidTr="00FB2205">
        <w:trPr>
          <w:trHeight w:val="680"/>
          <w:jc w:val="center"/>
        </w:trPr>
        <w:tc>
          <w:tcPr>
            <w:tcW w:w="1175" w:type="dxa"/>
            <w:vAlign w:val="center"/>
          </w:tcPr>
          <w:p w:rsidR="00247E05" w:rsidRPr="0059220D" w:rsidRDefault="00247E05" w:rsidP="00FB2205">
            <w:pPr>
              <w:pStyle w:val="TableParagraph"/>
              <w:spacing w:before="193"/>
              <w:jc w:val="center"/>
              <w:rPr>
                <w:rFonts w:ascii="宋体" w:eastAsia="宋体" w:hAnsi="宋体" w:cs="宋体"/>
                <w:sz w:val="24"/>
              </w:rPr>
            </w:pPr>
            <w:r w:rsidRPr="0059220D">
              <w:rPr>
                <w:rFonts w:ascii="宋体" w:eastAsia="宋体" w:hAnsi="宋体" w:cs="宋体" w:hint="eastAsia"/>
                <w:sz w:val="24"/>
              </w:rPr>
              <w:t>评标项目</w:t>
            </w:r>
          </w:p>
        </w:tc>
        <w:tc>
          <w:tcPr>
            <w:tcW w:w="803" w:type="dxa"/>
            <w:vAlign w:val="center"/>
          </w:tcPr>
          <w:p w:rsidR="00247E05" w:rsidRPr="0059220D" w:rsidRDefault="00247E05" w:rsidP="00FB2205">
            <w:pPr>
              <w:pStyle w:val="TableParagraph"/>
              <w:spacing w:before="193"/>
              <w:jc w:val="center"/>
              <w:rPr>
                <w:rFonts w:ascii="宋体" w:eastAsia="宋体" w:hAnsi="宋体" w:cs="宋体"/>
                <w:sz w:val="24"/>
              </w:rPr>
            </w:pPr>
            <w:r w:rsidRPr="0059220D">
              <w:rPr>
                <w:rFonts w:ascii="宋体" w:eastAsia="宋体" w:hAnsi="宋体" w:cs="宋体" w:hint="eastAsia"/>
                <w:sz w:val="24"/>
              </w:rPr>
              <w:t>评标分值</w:t>
            </w:r>
          </w:p>
        </w:tc>
        <w:tc>
          <w:tcPr>
            <w:tcW w:w="7419" w:type="dxa"/>
            <w:vAlign w:val="center"/>
          </w:tcPr>
          <w:p w:rsidR="00247E05" w:rsidRPr="0059220D" w:rsidRDefault="00247E05" w:rsidP="00FB2205">
            <w:pPr>
              <w:pStyle w:val="TableParagraph"/>
              <w:spacing w:before="193"/>
              <w:jc w:val="center"/>
              <w:rPr>
                <w:rFonts w:ascii="宋体" w:eastAsia="宋体" w:hAnsi="宋体" w:cs="宋体"/>
                <w:sz w:val="24"/>
              </w:rPr>
            </w:pPr>
            <w:r w:rsidRPr="0059220D">
              <w:rPr>
                <w:rFonts w:ascii="宋体" w:eastAsia="宋体" w:hAnsi="宋体" w:cs="宋体" w:hint="eastAsia"/>
                <w:sz w:val="24"/>
              </w:rPr>
              <w:t>评标方法描述</w:t>
            </w:r>
          </w:p>
        </w:tc>
      </w:tr>
      <w:tr w:rsidR="00247E05" w:rsidRPr="0059220D" w:rsidTr="00FB2205">
        <w:trPr>
          <w:trHeight w:val="680"/>
          <w:jc w:val="center"/>
        </w:trPr>
        <w:tc>
          <w:tcPr>
            <w:tcW w:w="1175" w:type="dxa"/>
            <w:vAlign w:val="center"/>
          </w:tcPr>
          <w:p w:rsidR="00247E05" w:rsidRPr="0059220D" w:rsidRDefault="00247E05" w:rsidP="00FB2205">
            <w:pPr>
              <w:pStyle w:val="TableParagraph"/>
              <w:jc w:val="center"/>
              <w:rPr>
                <w:rFonts w:ascii="宋体" w:eastAsia="宋体" w:hAnsi="宋体" w:cs="宋体"/>
                <w:sz w:val="24"/>
              </w:rPr>
            </w:pPr>
            <w:r w:rsidRPr="0059220D">
              <w:rPr>
                <w:rFonts w:ascii="宋体" w:eastAsia="宋体" w:hAnsi="宋体" w:cs="宋体" w:hint="eastAsia"/>
                <w:sz w:val="24"/>
              </w:rPr>
              <w:t>报价得分</w:t>
            </w:r>
          </w:p>
          <w:p w:rsidR="00247E05" w:rsidRPr="0059220D" w:rsidRDefault="00247E05" w:rsidP="00FB2205">
            <w:pPr>
              <w:pStyle w:val="TableParagraph"/>
              <w:jc w:val="center"/>
              <w:rPr>
                <w:rFonts w:ascii="宋体" w:eastAsia="宋体" w:hAnsi="宋体" w:cs="宋体"/>
                <w:sz w:val="24"/>
              </w:rPr>
            </w:pPr>
            <w:r w:rsidRPr="0059220D">
              <w:rPr>
                <w:rFonts w:ascii="宋体" w:eastAsia="宋体" w:hAnsi="宋体" w:cs="宋体" w:hint="eastAsia"/>
                <w:sz w:val="24"/>
              </w:rPr>
              <w:t>（10分）</w:t>
            </w:r>
          </w:p>
        </w:tc>
        <w:tc>
          <w:tcPr>
            <w:tcW w:w="803" w:type="dxa"/>
            <w:vAlign w:val="center"/>
          </w:tcPr>
          <w:p w:rsidR="00247E05" w:rsidRPr="0059220D" w:rsidRDefault="00247E05" w:rsidP="00FB2205">
            <w:pPr>
              <w:pStyle w:val="TableParagraph"/>
              <w:jc w:val="center"/>
              <w:rPr>
                <w:rFonts w:ascii="宋体" w:eastAsia="宋体" w:hAnsi="宋体" w:cs="宋体"/>
                <w:sz w:val="24"/>
                <w:lang w:val="en-US"/>
              </w:rPr>
            </w:pPr>
            <w:r w:rsidRPr="0059220D">
              <w:rPr>
                <w:rFonts w:ascii="宋体" w:eastAsia="宋体" w:hAnsi="宋体" w:cs="宋体" w:hint="eastAsia"/>
                <w:sz w:val="24"/>
                <w:lang w:val="en-US"/>
              </w:rPr>
              <w:t>10</w:t>
            </w:r>
          </w:p>
        </w:tc>
        <w:tc>
          <w:tcPr>
            <w:tcW w:w="7419" w:type="dxa"/>
          </w:tcPr>
          <w:p w:rsidR="00247E05" w:rsidRPr="0059220D" w:rsidRDefault="00247E05" w:rsidP="00FB2205">
            <w:pPr>
              <w:pStyle w:val="TableParagraph"/>
              <w:spacing w:line="460" w:lineRule="exact"/>
              <w:rPr>
                <w:rFonts w:ascii="宋体" w:eastAsia="宋体" w:hAnsi="宋体" w:cs="宋体"/>
                <w:sz w:val="24"/>
              </w:rPr>
            </w:pPr>
            <w:r w:rsidRPr="0059220D">
              <w:rPr>
                <w:rFonts w:ascii="宋体" w:eastAsia="宋体" w:hAnsi="宋体" w:cs="宋体" w:hint="eastAsia"/>
                <w:sz w:val="24"/>
              </w:rPr>
              <w:t>价格分统一采用低价优先法计算，即满足招标文件要求（通过资格性审查和符合性审查）且价格最低的评标价为评标基准价，其价格分为满分。其他投标人的价格分统一按照下列公式计算：</w:t>
            </w:r>
          </w:p>
          <w:p w:rsidR="00247E05" w:rsidRPr="0059220D" w:rsidRDefault="00247E05" w:rsidP="00FB2205">
            <w:pPr>
              <w:pStyle w:val="TableParagraph"/>
              <w:spacing w:line="460" w:lineRule="exact"/>
              <w:rPr>
                <w:rFonts w:ascii="宋体" w:eastAsia="宋体" w:hAnsi="宋体" w:cs="宋体"/>
                <w:sz w:val="24"/>
              </w:rPr>
            </w:pPr>
            <w:r w:rsidRPr="0059220D">
              <w:rPr>
                <w:rFonts w:ascii="宋体" w:eastAsia="宋体" w:hAnsi="宋体" w:cs="宋体" w:hint="eastAsia"/>
                <w:sz w:val="24"/>
              </w:rPr>
              <w:t>投标报价得分=(评标基准价/投标报价)×10。</w:t>
            </w:r>
          </w:p>
          <w:p w:rsidR="00247E05" w:rsidRPr="0059220D" w:rsidRDefault="00247E05" w:rsidP="00FB2205">
            <w:pPr>
              <w:pStyle w:val="TableParagraph"/>
              <w:spacing w:line="460" w:lineRule="exact"/>
              <w:rPr>
                <w:rFonts w:ascii="宋体" w:eastAsia="宋体" w:hAnsi="宋体" w:cs="宋体"/>
                <w:sz w:val="24"/>
              </w:rPr>
            </w:pPr>
            <w:r w:rsidRPr="0059220D">
              <w:rPr>
                <w:rFonts w:ascii="宋体" w:eastAsia="宋体" w:hAnsi="宋体" w:cs="宋体" w:hint="eastAsia"/>
                <w:sz w:val="24"/>
              </w:rPr>
              <w:t>注：1.小微企业（监狱企业、残疾人福利性单位视同小微企业）价格扣除按照本招标文件供应商须知相关规定执行。</w:t>
            </w:r>
          </w:p>
          <w:p w:rsidR="00247E05" w:rsidRPr="0059220D" w:rsidRDefault="00247E05" w:rsidP="00FB2205">
            <w:pPr>
              <w:pStyle w:val="1"/>
              <w:tabs>
                <w:tab w:val="clear" w:pos="720"/>
                <w:tab w:val="left" w:pos="-900"/>
              </w:tabs>
              <w:spacing w:before="0" w:after="0" w:line="460" w:lineRule="exact"/>
              <w:ind w:left="30" w:firstLineChars="200" w:firstLine="480"/>
              <w:rPr>
                <w:rFonts w:ascii="宋体" w:eastAsia="宋体" w:hAnsi="宋体" w:cs="宋体"/>
                <w:b w:val="0"/>
                <w:sz w:val="24"/>
                <w:szCs w:val="24"/>
                <w:lang w:val="zh-CN" w:bidi="zh-CN"/>
              </w:rPr>
            </w:pPr>
            <w:r w:rsidRPr="0059220D">
              <w:rPr>
                <w:rFonts w:ascii="宋体" w:eastAsia="宋体" w:hAnsi="宋体" w:cs="宋体" w:hint="eastAsia"/>
                <w:b w:val="0"/>
                <w:sz w:val="24"/>
                <w:szCs w:val="24"/>
                <w:lang w:val="zh-CN" w:bidi="zh-CN"/>
              </w:rPr>
              <w:t>2.评标委员会认为投标人的报价明显低于其他通过初步审查的投标人的报价，有可能影响服务质量或者不能诚信履约的，应当要求其在评标现场合理的时间内提供书面说明，必要时提交相关证明材料；投标人不能证明其报价合理性的，评标委员会应当将其作为无效投标处理。</w:t>
            </w:r>
          </w:p>
        </w:tc>
      </w:tr>
      <w:tr w:rsidR="00247E05" w:rsidRPr="0059220D" w:rsidTr="00FB2205">
        <w:trPr>
          <w:trHeight w:val="680"/>
          <w:jc w:val="center"/>
        </w:trPr>
        <w:tc>
          <w:tcPr>
            <w:tcW w:w="1175" w:type="dxa"/>
            <w:vMerge w:val="restart"/>
            <w:vAlign w:val="center"/>
          </w:tcPr>
          <w:p w:rsidR="00247E05" w:rsidRPr="0059220D" w:rsidRDefault="00247E05" w:rsidP="00FB2205">
            <w:pPr>
              <w:pStyle w:val="TableParagraph"/>
              <w:jc w:val="center"/>
              <w:rPr>
                <w:rFonts w:ascii="宋体" w:eastAsia="宋体" w:hAnsi="宋体" w:cs="宋体"/>
                <w:sz w:val="24"/>
              </w:rPr>
            </w:pPr>
            <w:r w:rsidRPr="0059220D">
              <w:rPr>
                <w:rFonts w:ascii="宋体" w:eastAsia="宋体" w:hAnsi="宋体" w:cs="宋体" w:hint="eastAsia"/>
                <w:sz w:val="24"/>
              </w:rPr>
              <w:t>技术方案</w:t>
            </w:r>
          </w:p>
          <w:p w:rsidR="00247E05" w:rsidRPr="0059220D" w:rsidRDefault="00247E05" w:rsidP="00FB2205">
            <w:pPr>
              <w:pStyle w:val="TableParagraph"/>
              <w:jc w:val="center"/>
              <w:rPr>
                <w:rFonts w:ascii="宋体" w:eastAsia="宋体" w:hAnsi="宋体" w:cs="宋体"/>
                <w:sz w:val="24"/>
              </w:rPr>
            </w:pPr>
            <w:r w:rsidRPr="0059220D">
              <w:rPr>
                <w:rFonts w:ascii="宋体" w:eastAsia="宋体" w:hAnsi="宋体" w:cs="宋体" w:hint="eastAsia"/>
                <w:sz w:val="24"/>
              </w:rPr>
              <w:t>（25分）</w:t>
            </w:r>
          </w:p>
        </w:tc>
        <w:tc>
          <w:tcPr>
            <w:tcW w:w="803" w:type="dxa"/>
            <w:vAlign w:val="center"/>
          </w:tcPr>
          <w:p w:rsidR="00247E05" w:rsidRPr="0059220D" w:rsidRDefault="00247E05" w:rsidP="00FB2205">
            <w:pPr>
              <w:pStyle w:val="TableParagraph"/>
              <w:jc w:val="center"/>
              <w:rPr>
                <w:rFonts w:ascii="宋体" w:eastAsia="宋体" w:hAnsi="宋体" w:cs="宋体"/>
                <w:sz w:val="24"/>
                <w:lang w:val="en-US"/>
              </w:rPr>
            </w:pPr>
            <w:r w:rsidRPr="0059220D">
              <w:rPr>
                <w:rFonts w:ascii="宋体" w:eastAsia="宋体" w:hAnsi="宋体" w:cs="宋体" w:hint="eastAsia"/>
                <w:sz w:val="24"/>
                <w:lang w:val="en-US"/>
              </w:rPr>
              <w:t>5</w:t>
            </w:r>
          </w:p>
        </w:tc>
        <w:tc>
          <w:tcPr>
            <w:tcW w:w="7419" w:type="dxa"/>
            <w:vAlign w:val="center"/>
          </w:tcPr>
          <w:p w:rsidR="00247E05" w:rsidRPr="0059220D" w:rsidRDefault="00247E05" w:rsidP="00FB2205">
            <w:pPr>
              <w:spacing w:line="460" w:lineRule="exact"/>
              <w:rPr>
                <w:rFonts w:ascii="宋体" w:hAnsi="宋体" w:cs="宋体"/>
                <w:sz w:val="24"/>
                <w:szCs w:val="24"/>
                <w:lang w:val="zh-CN" w:bidi="zh-CN"/>
              </w:rPr>
            </w:pPr>
            <w:r w:rsidRPr="0059220D">
              <w:rPr>
                <w:rFonts w:ascii="宋体" w:hAnsi="宋体" w:cs="宋体" w:hint="eastAsia"/>
                <w:sz w:val="24"/>
                <w:szCs w:val="24"/>
                <w:lang w:val="zh-CN" w:bidi="zh-CN"/>
              </w:rPr>
              <w:t>对投标人的投标方案与项目需求的吻合程度，包括方案的科学性、先进性、可行性、可扩展性、业务系统间关系描述的合理性，外部系统接口设计的完整性；方案是否科学合理、安全严密、具有一定的前瞻性，是否有独特的优势进行综合评价，优得5分，良得3分，一般得</w:t>
            </w:r>
            <w:r w:rsidRPr="0059220D">
              <w:rPr>
                <w:rFonts w:ascii="宋体" w:hAnsi="宋体" w:cs="宋体"/>
                <w:sz w:val="24"/>
                <w:szCs w:val="24"/>
                <w:lang w:val="zh-CN" w:bidi="zh-CN"/>
              </w:rPr>
              <w:t>1</w:t>
            </w:r>
            <w:r w:rsidRPr="0059220D">
              <w:rPr>
                <w:rFonts w:ascii="宋体" w:hAnsi="宋体" w:cs="宋体" w:hint="eastAsia"/>
                <w:sz w:val="24"/>
                <w:szCs w:val="24"/>
                <w:lang w:val="zh-CN" w:bidi="zh-CN"/>
              </w:rPr>
              <w:t>分；</w:t>
            </w:r>
          </w:p>
        </w:tc>
      </w:tr>
      <w:tr w:rsidR="00247E05" w:rsidRPr="0059220D" w:rsidTr="00FB2205">
        <w:trPr>
          <w:trHeight w:val="680"/>
          <w:jc w:val="center"/>
        </w:trPr>
        <w:tc>
          <w:tcPr>
            <w:tcW w:w="1175" w:type="dxa"/>
            <w:vMerge/>
            <w:vAlign w:val="center"/>
          </w:tcPr>
          <w:p w:rsidR="00247E05" w:rsidRPr="0059220D" w:rsidRDefault="00247E05" w:rsidP="00FB2205">
            <w:pPr>
              <w:pStyle w:val="TableParagraph"/>
              <w:jc w:val="center"/>
              <w:rPr>
                <w:rFonts w:ascii="宋体" w:eastAsia="宋体" w:hAnsi="宋体" w:cs="宋体"/>
                <w:sz w:val="24"/>
              </w:rPr>
            </w:pPr>
          </w:p>
        </w:tc>
        <w:tc>
          <w:tcPr>
            <w:tcW w:w="803" w:type="dxa"/>
            <w:vAlign w:val="center"/>
          </w:tcPr>
          <w:p w:rsidR="00247E05" w:rsidRPr="0059220D" w:rsidRDefault="00247E05" w:rsidP="00FB2205">
            <w:pPr>
              <w:pStyle w:val="TableParagraph"/>
              <w:jc w:val="center"/>
              <w:rPr>
                <w:rFonts w:ascii="宋体" w:eastAsia="宋体" w:hAnsi="宋体" w:cs="宋体"/>
                <w:sz w:val="24"/>
                <w:lang w:val="en-US"/>
              </w:rPr>
            </w:pPr>
            <w:r w:rsidRPr="0059220D">
              <w:rPr>
                <w:rFonts w:ascii="宋体" w:eastAsia="宋体" w:hAnsi="宋体" w:cs="宋体" w:hint="eastAsia"/>
                <w:sz w:val="24"/>
                <w:lang w:val="en-US"/>
              </w:rPr>
              <w:t>5</w:t>
            </w:r>
          </w:p>
        </w:tc>
        <w:tc>
          <w:tcPr>
            <w:tcW w:w="7419" w:type="dxa"/>
            <w:vAlign w:val="center"/>
          </w:tcPr>
          <w:p w:rsidR="00247E05" w:rsidRPr="0059220D" w:rsidRDefault="00247E05" w:rsidP="00FB2205">
            <w:pPr>
              <w:spacing w:line="460" w:lineRule="exact"/>
              <w:rPr>
                <w:rFonts w:ascii="宋体" w:hAnsi="宋体" w:cs="宋体"/>
                <w:sz w:val="24"/>
                <w:szCs w:val="24"/>
                <w:lang w:val="zh-CN" w:bidi="zh-CN"/>
              </w:rPr>
            </w:pPr>
            <w:r w:rsidRPr="0059220D">
              <w:rPr>
                <w:rFonts w:ascii="宋体" w:hAnsi="宋体" w:cs="宋体" w:hint="eastAsia"/>
                <w:sz w:val="24"/>
                <w:szCs w:val="24"/>
                <w:lang w:val="zh-CN" w:bidi="zh-CN"/>
              </w:rPr>
              <w:t>对投标人的方案进行地块管理、档案管理、租赁管理、一张图、系统管理等功能模块设计合理、功能完善、内容齐全的为优得5分；系统设计较合理、功能较完善、内容较齐全的为良得3分；系统设计基本合理、功能基本完善、内容基本齐全的为一般得1分；</w:t>
            </w:r>
          </w:p>
        </w:tc>
      </w:tr>
      <w:tr w:rsidR="00247E05" w:rsidRPr="0059220D" w:rsidTr="00FB2205">
        <w:trPr>
          <w:trHeight w:val="680"/>
          <w:jc w:val="center"/>
        </w:trPr>
        <w:tc>
          <w:tcPr>
            <w:tcW w:w="1175" w:type="dxa"/>
            <w:vMerge/>
            <w:vAlign w:val="center"/>
          </w:tcPr>
          <w:p w:rsidR="00247E05" w:rsidRPr="0059220D" w:rsidRDefault="00247E05" w:rsidP="00FB2205">
            <w:pPr>
              <w:pStyle w:val="TableParagraph"/>
              <w:jc w:val="center"/>
              <w:rPr>
                <w:rFonts w:ascii="宋体" w:eastAsia="宋体" w:hAnsi="宋体" w:cs="宋体"/>
                <w:sz w:val="24"/>
              </w:rPr>
            </w:pPr>
          </w:p>
        </w:tc>
        <w:tc>
          <w:tcPr>
            <w:tcW w:w="803" w:type="dxa"/>
            <w:vAlign w:val="center"/>
          </w:tcPr>
          <w:p w:rsidR="00247E05" w:rsidRPr="0059220D" w:rsidRDefault="00247E05" w:rsidP="00FB2205">
            <w:pPr>
              <w:pStyle w:val="TableParagraph"/>
              <w:jc w:val="center"/>
              <w:rPr>
                <w:rFonts w:ascii="宋体" w:eastAsia="宋体" w:hAnsi="宋体" w:cs="宋体"/>
                <w:sz w:val="24"/>
                <w:lang w:val="en-US"/>
              </w:rPr>
            </w:pPr>
            <w:r w:rsidRPr="0059220D">
              <w:rPr>
                <w:rFonts w:ascii="宋体" w:eastAsia="宋体" w:hAnsi="宋体" w:cs="宋体" w:hint="eastAsia"/>
                <w:sz w:val="24"/>
                <w:lang w:val="en-US"/>
              </w:rPr>
              <w:t>5</w:t>
            </w:r>
          </w:p>
        </w:tc>
        <w:tc>
          <w:tcPr>
            <w:tcW w:w="7419" w:type="dxa"/>
            <w:vAlign w:val="center"/>
          </w:tcPr>
          <w:p w:rsidR="00247E05" w:rsidRPr="0059220D" w:rsidRDefault="00247E05" w:rsidP="00FB2205">
            <w:pPr>
              <w:spacing w:line="460" w:lineRule="exact"/>
              <w:rPr>
                <w:rFonts w:ascii="宋体" w:hAnsi="宋体" w:cs="宋体"/>
                <w:sz w:val="24"/>
                <w:szCs w:val="24"/>
                <w:lang w:val="zh-CN" w:bidi="zh-CN"/>
              </w:rPr>
            </w:pPr>
            <w:r w:rsidRPr="0059220D">
              <w:rPr>
                <w:rFonts w:ascii="宋体" w:hAnsi="宋体" w:cs="宋体" w:hint="eastAsia"/>
                <w:sz w:val="24"/>
                <w:szCs w:val="24"/>
                <w:lang w:val="zh-CN" w:bidi="zh-CN"/>
              </w:rPr>
              <w:t>根据投标人对项目关键技术的分析进行综合评价，解决重点难点技术环节的方法、策略、应对措施合理的为优得5分；解决重点难点技术环节的方法、策略、应对措施较合理的为良得3分；解决重点难点技术环节的方法、策略、应对措施基本合理的为一般得1分；</w:t>
            </w:r>
          </w:p>
        </w:tc>
      </w:tr>
      <w:tr w:rsidR="00247E05" w:rsidRPr="0059220D" w:rsidTr="00FB2205">
        <w:trPr>
          <w:trHeight w:val="680"/>
          <w:jc w:val="center"/>
        </w:trPr>
        <w:tc>
          <w:tcPr>
            <w:tcW w:w="1175" w:type="dxa"/>
            <w:vMerge/>
            <w:vAlign w:val="center"/>
          </w:tcPr>
          <w:p w:rsidR="00247E05" w:rsidRPr="0059220D" w:rsidRDefault="00247E05" w:rsidP="00FB2205">
            <w:pPr>
              <w:pStyle w:val="TableParagraph"/>
              <w:jc w:val="center"/>
              <w:rPr>
                <w:rFonts w:ascii="宋体" w:eastAsia="宋体" w:hAnsi="宋体" w:cs="宋体"/>
                <w:sz w:val="24"/>
              </w:rPr>
            </w:pPr>
          </w:p>
        </w:tc>
        <w:tc>
          <w:tcPr>
            <w:tcW w:w="803" w:type="dxa"/>
            <w:vAlign w:val="center"/>
          </w:tcPr>
          <w:p w:rsidR="00247E05" w:rsidRPr="0059220D" w:rsidRDefault="00247E05" w:rsidP="00FB2205">
            <w:pPr>
              <w:pStyle w:val="TableParagraph"/>
              <w:jc w:val="center"/>
              <w:rPr>
                <w:rFonts w:ascii="宋体" w:eastAsia="宋体" w:hAnsi="宋体" w:cs="宋体"/>
                <w:sz w:val="24"/>
                <w:lang w:val="en-US"/>
              </w:rPr>
            </w:pPr>
            <w:r w:rsidRPr="0059220D">
              <w:rPr>
                <w:rFonts w:ascii="宋体" w:eastAsia="宋体" w:hAnsi="宋体" w:cs="宋体" w:hint="eastAsia"/>
                <w:sz w:val="24"/>
                <w:lang w:val="en-US"/>
              </w:rPr>
              <w:t>5</w:t>
            </w:r>
          </w:p>
        </w:tc>
        <w:tc>
          <w:tcPr>
            <w:tcW w:w="7419" w:type="dxa"/>
            <w:vAlign w:val="center"/>
          </w:tcPr>
          <w:p w:rsidR="00247E05" w:rsidRPr="0059220D" w:rsidRDefault="00247E05" w:rsidP="00FB2205">
            <w:pPr>
              <w:spacing w:line="460" w:lineRule="exact"/>
              <w:rPr>
                <w:rFonts w:ascii="宋体" w:hAnsi="宋体" w:cs="宋体"/>
                <w:sz w:val="24"/>
                <w:szCs w:val="24"/>
                <w:lang w:val="zh-CN" w:bidi="zh-CN"/>
              </w:rPr>
            </w:pPr>
            <w:r w:rsidRPr="0059220D">
              <w:rPr>
                <w:rFonts w:ascii="宋体" w:hAnsi="宋体" w:cs="宋体" w:hint="eastAsia"/>
                <w:sz w:val="24"/>
                <w:szCs w:val="24"/>
                <w:lang w:val="zh-CN" w:bidi="zh-CN"/>
              </w:rPr>
              <w:t>对投标人的系统测试方案进行综合评价，方案完整、内容全面的为优得5分；方案较完整、内容较全面的为良得3分；方案基本完整、内容基本全面的为一般得</w:t>
            </w:r>
            <w:r w:rsidRPr="0059220D">
              <w:rPr>
                <w:rFonts w:ascii="宋体" w:hAnsi="宋体" w:cs="宋体"/>
                <w:sz w:val="24"/>
                <w:szCs w:val="24"/>
                <w:lang w:val="zh-CN" w:bidi="zh-CN"/>
              </w:rPr>
              <w:t>1</w:t>
            </w:r>
            <w:r w:rsidRPr="0059220D">
              <w:rPr>
                <w:rFonts w:ascii="宋体" w:hAnsi="宋体" w:cs="宋体" w:hint="eastAsia"/>
                <w:sz w:val="24"/>
                <w:szCs w:val="24"/>
                <w:lang w:val="zh-CN" w:bidi="zh-CN"/>
              </w:rPr>
              <w:t>分</w:t>
            </w:r>
          </w:p>
        </w:tc>
      </w:tr>
      <w:tr w:rsidR="00247E05" w:rsidRPr="0059220D" w:rsidTr="00FB2205">
        <w:trPr>
          <w:trHeight w:val="680"/>
          <w:jc w:val="center"/>
        </w:trPr>
        <w:tc>
          <w:tcPr>
            <w:tcW w:w="1175" w:type="dxa"/>
            <w:vMerge/>
            <w:vAlign w:val="center"/>
          </w:tcPr>
          <w:p w:rsidR="00247E05" w:rsidRPr="0059220D" w:rsidRDefault="00247E05" w:rsidP="00FB2205">
            <w:pPr>
              <w:pStyle w:val="TableParagraph"/>
              <w:jc w:val="center"/>
              <w:rPr>
                <w:rFonts w:ascii="宋体" w:eastAsia="宋体" w:hAnsi="宋体" w:cs="宋体"/>
                <w:sz w:val="24"/>
              </w:rPr>
            </w:pPr>
          </w:p>
        </w:tc>
        <w:tc>
          <w:tcPr>
            <w:tcW w:w="803" w:type="dxa"/>
            <w:vAlign w:val="center"/>
          </w:tcPr>
          <w:p w:rsidR="00247E05" w:rsidRPr="0059220D" w:rsidRDefault="00247E05" w:rsidP="00FB2205">
            <w:pPr>
              <w:pStyle w:val="TableParagraph"/>
              <w:jc w:val="center"/>
              <w:rPr>
                <w:rFonts w:ascii="宋体" w:eastAsia="宋体" w:hAnsi="宋体" w:cs="宋体"/>
                <w:sz w:val="24"/>
                <w:lang w:val="en-US"/>
              </w:rPr>
            </w:pPr>
            <w:r w:rsidRPr="0059220D">
              <w:rPr>
                <w:rFonts w:ascii="宋体" w:eastAsia="宋体" w:hAnsi="宋体" w:cs="宋体" w:hint="eastAsia"/>
                <w:sz w:val="24"/>
                <w:lang w:val="en-US"/>
              </w:rPr>
              <w:t>3</w:t>
            </w:r>
          </w:p>
        </w:tc>
        <w:tc>
          <w:tcPr>
            <w:tcW w:w="7419" w:type="dxa"/>
            <w:vAlign w:val="center"/>
          </w:tcPr>
          <w:p w:rsidR="00247E05" w:rsidRPr="0059220D" w:rsidRDefault="00247E05" w:rsidP="00FB2205">
            <w:pPr>
              <w:spacing w:line="460" w:lineRule="exact"/>
              <w:rPr>
                <w:rFonts w:ascii="宋体" w:hAnsi="宋体" w:cs="宋体"/>
                <w:sz w:val="24"/>
                <w:szCs w:val="24"/>
                <w:lang w:val="zh-CN" w:bidi="zh-CN"/>
              </w:rPr>
            </w:pPr>
            <w:r w:rsidRPr="0059220D">
              <w:rPr>
                <w:rFonts w:ascii="宋体" w:hAnsi="宋体" w:cs="宋体" w:hint="eastAsia"/>
                <w:sz w:val="24"/>
                <w:szCs w:val="24"/>
                <w:lang w:val="zh-CN" w:bidi="zh-CN"/>
              </w:rPr>
              <w:t>对投标人的数据安全保障体系进行综合评价；体系健全、方案合理的为优得3分，体系较健全、方案较合理的为良得2分，体系基本健全、方</w:t>
            </w:r>
            <w:r w:rsidRPr="0059220D">
              <w:rPr>
                <w:rFonts w:ascii="宋体" w:hAnsi="宋体" w:cs="宋体" w:hint="eastAsia"/>
                <w:sz w:val="24"/>
                <w:szCs w:val="24"/>
                <w:lang w:val="zh-CN" w:bidi="zh-CN"/>
              </w:rPr>
              <w:lastRenderedPageBreak/>
              <w:t>案基本合理的为一般得</w:t>
            </w:r>
            <w:r w:rsidRPr="0059220D">
              <w:rPr>
                <w:rFonts w:ascii="宋体" w:hAnsi="宋体" w:cs="宋体"/>
                <w:sz w:val="24"/>
                <w:szCs w:val="24"/>
                <w:lang w:val="zh-CN" w:bidi="zh-CN"/>
              </w:rPr>
              <w:t>1</w:t>
            </w:r>
            <w:r w:rsidRPr="0059220D">
              <w:rPr>
                <w:rFonts w:ascii="宋体" w:hAnsi="宋体" w:cs="宋体" w:hint="eastAsia"/>
                <w:sz w:val="24"/>
                <w:szCs w:val="24"/>
                <w:lang w:val="zh-CN" w:bidi="zh-CN"/>
              </w:rPr>
              <w:t>分。</w:t>
            </w:r>
          </w:p>
        </w:tc>
      </w:tr>
      <w:tr w:rsidR="00247E05" w:rsidRPr="0059220D" w:rsidTr="00FB2205">
        <w:trPr>
          <w:trHeight w:val="680"/>
          <w:jc w:val="center"/>
        </w:trPr>
        <w:tc>
          <w:tcPr>
            <w:tcW w:w="1175" w:type="dxa"/>
            <w:vMerge/>
            <w:vAlign w:val="center"/>
          </w:tcPr>
          <w:p w:rsidR="00247E05" w:rsidRPr="0059220D" w:rsidRDefault="00247E05" w:rsidP="00FB2205">
            <w:pPr>
              <w:pStyle w:val="TableParagraph"/>
              <w:jc w:val="center"/>
              <w:rPr>
                <w:rFonts w:ascii="宋体" w:eastAsia="宋体" w:hAnsi="宋体" w:cs="宋体"/>
                <w:sz w:val="24"/>
              </w:rPr>
            </w:pPr>
          </w:p>
        </w:tc>
        <w:tc>
          <w:tcPr>
            <w:tcW w:w="803" w:type="dxa"/>
            <w:vAlign w:val="center"/>
          </w:tcPr>
          <w:p w:rsidR="00247E05" w:rsidRPr="0059220D" w:rsidRDefault="00247E05" w:rsidP="00FB2205">
            <w:pPr>
              <w:pStyle w:val="TableParagraph"/>
              <w:jc w:val="center"/>
              <w:rPr>
                <w:rFonts w:ascii="宋体" w:eastAsia="宋体" w:hAnsi="宋体" w:cs="宋体"/>
                <w:sz w:val="24"/>
                <w:lang w:val="en-US"/>
              </w:rPr>
            </w:pPr>
            <w:r w:rsidRPr="0059220D">
              <w:rPr>
                <w:rFonts w:ascii="宋体" w:eastAsia="宋体" w:hAnsi="宋体" w:cs="宋体" w:hint="eastAsia"/>
                <w:sz w:val="24"/>
                <w:lang w:val="en-US"/>
              </w:rPr>
              <w:t>2</w:t>
            </w:r>
          </w:p>
        </w:tc>
        <w:tc>
          <w:tcPr>
            <w:tcW w:w="7419" w:type="dxa"/>
            <w:vAlign w:val="center"/>
          </w:tcPr>
          <w:p w:rsidR="00247E05" w:rsidRPr="0059220D" w:rsidRDefault="00247E05" w:rsidP="00FB2205">
            <w:pPr>
              <w:spacing w:line="460" w:lineRule="exact"/>
              <w:rPr>
                <w:rFonts w:ascii="宋体" w:hAnsi="宋体" w:cs="宋体"/>
                <w:sz w:val="24"/>
                <w:szCs w:val="24"/>
                <w:lang w:val="zh-CN" w:bidi="zh-CN"/>
              </w:rPr>
            </w:pPr>
            <w:r w:rsidRPr="0059220D">
              <w:rPr>
                <w:rFonts w:ascii="宋体" w:hAnsi="宋体" w:cs="宋体" w:hint="eastAsia"/>
                <w:sz w:val="24"/>
                <w:szCs w:val="24"/>
                <w:lang w:val="zh-CN" w:bidi="zh-CN"/>
              </w:rPr>
              <w:t>对投标人的工期保障措施进行综合评价，保障措施周详、科学、合理的2分；保障措施基本合理的为一般得1分。</w:t>
            </w:r>
          </w:p>
        </w:tc>
      </w:tr>
      <w:tr w:rsidR="00247E05" w:rsidRPr="0059220D" w:rsidTr="00FB2205">
        <w:trPr>
          <w:trHeight w:val="680"/>
          <w:jc w:val="center"/>
        </w:trPr>
        <w:tc>
          <w:tcPr>
            <w:tcW w:w="1175" w:type="dxa"/>
            <w:vMerge w:val="restart"/>
            <w:vAlign w:val="center"/>
          </w:tcPr>
          <w:p w:rsidR="00247E05" w:rsidRPr="0059220D" w:rsidRDefault="00247E05" w:rsidP="00FB2205">
            <w:pPr>
              <w:pStyle w:val="TableParagraph"/>
              <w:jc w:val="center"/>
              <w:rPr>
                <w:rFonts w:ascii="宋体" w:eastAsia="宋体" w:hAnsi="宋体" w:cs="宋体"/>
                <w:sz w:val="24"/>
                <w:lang w:val="en-US"/>
              </w:rPr>
            </w:pPr>
            <w:r w:rsidRPr="0059220D">
              <w:rPr>
                <w:rFonts w:ascii="宋体" w:eastAsia="宋体" w:hAnsi="宋体" w:cs="宋体" w:hint="eastAsia"/>
                <w:sz w:val="24"/>
                <w:lang w:val="en-US"/>
              </w:rPr>
              <w:t>企业实力</w:t>
            </w:r>
          </w:p>
          <w:p w:rsidR="00247E05" w:rsidRPr="0059220D" w:rsidRDefault="00247E05" w:rsidP="00FB2205">
            <w:pPr>
              <w:pStyle w:val="TableParagraph"/>
              <w:jc w:val="center"/>
              <w:rPr>
                <w:rFonts w:ascii="宋体" w:eastAsia="宋体" w:hAnsi="宋体" w:cs="宋体"/>
                <w:sz w:val="24"/>
              </w:rPr>
            </w:pPr>
            <w:r w:rsidRPr="0059220D">
              <w:rPr>
                <w:rFonts w:ascii="宋体" w:eastAsia="宋体" w:hAnsi="宋体" w:cs="宋体" w:hint="eastAsia"/>
                <w:sz w:val="24"/>
                <w:lang w:val="en-US"/>
              </w:rPr>
              <w:t>（14分）</w:t>
            </w:r>
          </w:p>
        </w:tc>
        <w:tc>
          <w:tcPr>
            <w:tcW w:w="803" w:type="dxa"/>
            <w:vAlign w:val="center"/>
          </w:tcPr>
          <w:p w:rsidR="00247E05" w:rsidRPr="0059220D" w:rsidRDefault="00247E05" w:rsidP="00FB2205">
            <w:pPr>
              <w:pStyle w:val="TableParagraph"/>
              <w:jc w:val="center"/>
              <w:rPr>
                <w:rFonts w:ascii="宋体" w:eastAsia="宋体" w:hAnsi="宋体" w:cs="宋体"/>
                <w:sz w:val="24"/>
                <w:lang w:val="en-US"/>
              </w:rPr>
            </w:pPr>
            <w:r w:rsidRPr="0059220D">
              <w:rPr>
                <w:rFonts w:ascii="宋体" w:eastAsia="宋体" w:hAnsi="宋体" w:cs="宋体" w:hint="eastAsia"/>
                <w:sz w:val="24"/>
                <w:lang w:val="en-US"/>
              </w:rPr>
              <w:t>6</w:t>
            </w:r>
          </w:p>
        </w:tc>
        <w:tc>
          <w:tcPr>
            <w:tcW w:w="7419" w:type="dxa"/>
            <w:vAlign w:val="center"/>
          </w:tcPr>
          <w:p w:rsidR="00247E05" w:rsidRPr="0059220D" w:rsidRDefault="00247E05" w:rsidP="00FB2205">
            <w:pPr>
              <w:spacing w:line="460" w:lineRule="exact"/>
              <w:rPr>
                <w:rFonts w:ascii="宋体" w:hAnsi="宋体"/>
                <w:sz w:val="24"/>
                <w:szCs w:val="24"/>
                <w:lang w:bidi="zh-CN"/>
              </w:rPr>
            </w:pPr>
            <w:r w:rsidRPr="0059220D">
              <w:rPr>
                <w:rFonts w:ascii="宋体" w:hAnsi="宋体" w:hint="eastAsia"/>
                <w:sz w:val="24"/>
                <w:szCs w:val="24"/>
                <w:lang w:val="zh-CN" w:bidi="zh-CN"/>
              </w:rPr>
              <w:t xml:space="preserve">投标人承接的项目获得过省级及以上部门颁发的奖项的每有一个得2分，满分6分； </w:t>
            </w:r>
          </w:p>
        </w:tc>
      </w:tr>
      <w:tr w:rsidR="00247E05" w:rsidRPr="0059220D" w:rsidTr="00FB2205">
        <w:trPr>
          <w:trHeight w:val="593"/>
          <w:jc w:val="center"/>
        </w:trPr>
        <w:tc>
          <w:tcPr>
            <w:tcW w:w="1175" w:type="dxa"/>
            <w:vMerge/>
            <w:vAlign w:val="center"/>
          </w:tcPr>
          <w:p w:rsidR="00247E05" w:rsidRPr="0059220D" w:rsidRDefault="00247E05" w:rsidP="00FB2205">
            <w:pPr>
              <w:pStyle w:val="TableParagraph"/>
              <w:jc w:val="center"/>
              <w:rPr>
                <w:rFonts w:ascii="宋体" w:eastAsia="宋体" w:hAnsi="宋体" w:cs="宋体"/>
                <w:sz w:val="24"/>
              </w:rPr>
            </w:pPr>
          </w:p>
        </w:tc>
        <w:tc>
          <w:tcPr>
            <w:tcW w:w="803" w:type="dxa"/>
            <w:vAlign w:val="center"/>
          </w:tcPr>
          <w:p w:rsidR="00247E05" w:rsidRPr="0059220D" w:rsidRDefault="00247E05" w:rsidP="00FB2205">
            <w:pPr>
              <w:pStyle w:val="TableParagraph"/>
              <w:jc w:val="center"/>
              <w:rPr>
                <w:rFonts w:ascii="宋体" w:eastAsia="宋体" w:hAnsi="宋体" w:cs="宋体"/>
                <w:sz w:val="24"/>
                <w:lang w:val="en-US"/>
              </w:rPr>
            </w:pPr>
            <w:r w:rsidRPr="0059220D">
              <w:rPr>
                <w:rFonts w:ascii="宋体" w:eastAsia="宋体" w:hAnsi="宋体" w:cs="宋体" w:hint="eastAsia"/>
                <w:sz w:val="24"/>
                <w:lang w:val="en-US"/>
              </w:rPr>
              <w:t>2</w:t>
            </w:r>
          </w:p>
        </w:tc>
        <w:tc>
          <w:tcPr>
            <w:tcW w:w="7419" w:type="dxa"/>
            <w:vAlign w:val="center"/>
          </w:tcPr>
          <w:p w:rsidR="00247E05" w:rsidRPr="0059220D" w:rsidRDefault="00247E05" w:rsidP="00FB2205">
            <w:pPr>
              <w:spacing w:line="460" w:lineRule="exact"/>
              <w:rPr>
                <w:rFonts w:ascii="宋体" w:hAnsi="宋体"/>
                <w:sz w:val="24"/>
                <w:szCs w:val="24"/>
                <w:lang w:bidi="zh-CN"/>
              </w:rPr>
            </w:pPr>
            <w:r w:rsidRPr="0059220D">
              <w:rPr>
                <w:rFonts w:ascii="宋体" w:hAnsi="宋体" w:hint="eastAsia"/>
                <w:sz w:val="24"/>
                <w:szCs w:val="24"/>
                <w:lang w:val="zh-CN" w:bidi="zh-CN"/>
              </w:rPr>
              <w:t>投标人具有信息安全管理体系认证证书得2分。</w:t>
            </w:r>
          </w:p>
        </w:tc>
      </w:tr>
      <w:tr w:rsidR="00247E05" w:rsidRPr="0059220D" w:rsidTr="00FB2205">
        <w:trPr>
          <w:trHeight w:val="680"/>
          <w:jc w:val="center"/>
        </w:trPr>
        <w:tc>
          <w:tcPr>
            <w:tcW w:w="1175" w:type="dxa"/>
            <w:vMerge/>
            <w:vAlign w:val="center"/>
          </w:tcPr>
          <w:p w:rsidR="00247E05" w:rsidRPr="0059220D" w:rsidRDefault="00247E05" w:rsidP="00FB2205">
            <w:pPr>
              <w:pStyle w:val="TableParagraph"/>
              <w:jc w:val="center"/>
              <w:rPr>
                <w:rFonts w:ascii="宋体" w:eastAsia="宋体" w:hAnsi="宋体" w:cs="宋体"/>
                <w:sz w:val="24"/>
              </w:rPr>
            </w:pPr>
          </w:p>
        </w:tc>
        <w:tc>
          <w:tcPr>
            <w:tcW w:w="803" w:type="dxa"/>
            <w:vAlign w:val="center"/>
          </w:tcPr>
          <w:p w:rsidR="00247E05" w:rsidRPr="0059220D" w:rsidRDefault="00247E05" w:rsidP="00FB2205">
            <w:pPr>
              <w:pStyle w:val="TableParagraph"/>
              <w:jc w:val="center"/>
              <w:rPr>
                <w:rFonts w:ascii="宋体" w:eastAsia="宋体" w:hAnsi="宋体" w:cs="宋体"/>
                <w:sz w:val="24"/>
                <w:lang w:val="en-US"/>
              </w:rPr>
            </w:pPr>
            <w:r w:rsidRPr="0059220D">
              <w:rPr>
                <w:rFonts w:ascii="宋体" w:eastAsia="宋体" w:hAnsi="宋体" w:cs="宋体" w:hint="eastAsia"/>
                <w:sz w:val="24"/>
                <w:lang w:val="en-US"/>
              </w:rPr>
              <w:t>2</w:t>
            </w:r>
          </w:p>
        </w:tc>
        <w:tc>
          <w:tcPr>
            <w:tcW w:w="7419" w:type="dxa"/>
            <w:vAlign w:val="center"/>
          </w:tcPr>
          <w:p w:rsidR="00247E05" w:rsidRPr="0059220D" w:rsidRDefault="00247E05" w:rsidP="00FB2205">
            <w:pPr>
              <w:spacing w:line="460" w:lineRule="exact"/>
              <w:rPr>
                <w:rFonts w:ascii="宋体" w:hAnsi="宋体"/>
                <w:sz w:val="24"/>
                <w:szCs w:val="24"/>
                <w:lang w:bidi="zh-CN"/>
              </w:rPr>
            </w:pPr>
            <w:r w:rsidRPr="0059220D">
              <w:rPr>
                <w:rFonts w:ascii="宋体" w:hAnsi="宋体" w:hint="eastAsia"/>
                <w:sz w:val="24"/>
                <w:szCs w:val="24"/>
                <w:lang w:val="zh-CN" w:bidi="zh-CN"/>
              </w:rPr>
              <w:t>投标人具有质量管理体系认证证书得2分；</w:t>
            </w:r>
          </w:p>
        </w:tc>
      </w:tr>
      <w:tr w:rsidR="00247E05" w:rsidRPr="0059220D" w:rsidTr="00FB2205">
        <w:trPr>
          <w:trHeight w:val="583"/>
          <w:jc w:val="center"/>
        </w:trPr>
        <w:tc>
          <w:tcPr>
            <w:tcW w:w="1175" w:type="dxa"/>
            <w:vMerge/>
            <w:vAlign w:val="center"/>
          </w:tcPr>
          <w:p w:rsidR="00247E05" w:rsidRPr="0059220D" w:rsidRDefault="00247E05" w:rsidP="00FB2205">
            <w:pPr>
              <w:pStyle w:val="TableParagraph"/>
              <w:jc w:val="center"/>
              <w:rPr>
                <w:rFonts w:ascii="宋体" w:eastAsia="宋体" w:hAnsi="宋体" w:cs="宋体"/>
                <w:sz w:val="24"/>
              </w:rPr>
            </w:pPr>
          </w:p>
        </w:tc>
        <w:tc>
          <w:tcPr>
            <w:tcW w:w="803" w:type="dxa"/>
            <w:vAlign w:val="center"/>
          </w:tcPr>
          <w:p w:rsidR="00247E05" w:rsidRPr="0059220D" w:rsidRDefault="00247E05" w:rsidP="00FB2205">
            <w:pPr>
              <w:pStyle w:val="TableParagraph"/>
              <w:jc w:val="center"/>
              <w:rPr>
                <w:rFonts w:ascii="宋体" w:eastAsia="宋体" w:hAnsi="宋体" w:cs="宋体"/>
                <w:sz w:val="24"/>
                <w:lang w:val="en-US"/>
              </w:rPr>
            </w:pPr>
            <w:r w:rsidRPr="0059220D">
              <w:rPr>
                <w:rFonts w:ascii="宋体" w:eastAsia="宋体" w:hAnsi="宋体" w:cs="宋体" w:hint="eastAsia"/>
                <w:sz w:val="24"/>
                <w:lang w:val="en-US"/>
              </w:rPr>
              <w:t>2</w:t>
            </w:r>
          </w:p>
        </w:tc>
        <w:tc>
          <w:tcPr>
            <w:tcW w:w="7419" w:type="dxa"/>
            <w:vAlign w:val="center"/>
          </w:tcPr>
          <w:p w:rsidR="00247E05" w:rsidRPr="0059220D" w:rsidRDefault="00247E05" w:rsidP="00FB2205">
            <w:pPr>
              <w:spacing w:line="460" w:lineRule="exact"/>
              <w:rPr>
                <w:rFonts w:ascii="宋体" w:hAnsi="宋体"/>
                <w:sz w:val="24"/>
                <w:szCs w:val="24"/>
                <w:lang w:bidi="zh-CN"/>
              </w:rPr>
            </w:pPr>
            <w:r w:rsidRPr="0059220D">
              <w:rPr>
                <w:rFonts w:ascii="宋体" w:hAnsi="宋体" w:hint="eastAsia"/>
                <w:sz w:val="24"/>
                <w:szCs w:val="24"/>
                <w:lang w:val="zh-CN" w:bidi="zh-CN"/>
              </w:rPr>
              <w:t>投标人具有环境管理体系认证证书得2分；</w:t>
            </w:r>
          </w:p>
        </w:tc>
      </w:tr>
      <w:tr w:rsidR="00247E05" w:rsidRPr="0059220D" w:rsidTr="00FB2205">
        <w:trPr>
          <w:trHeight w:val="593"/>
          <w:jc w:val="center"/>
        </w:trPr>
        <w:tc>
          <w:tcPr>
            <w:tcW w:w="1175" w:type="dxa"/>
            <w:vMerge/>
            <w:vAlign w:val="center"/>
          </w:tcPr>
          <w:p w:rsidR="00247E05" w:rsidRPr="0059220D" w:rsidRDefault="00247E05" w:rsidP="00FB2205">
            <w:pPr>
              <w:pStyle w:val="TableParagraph"/>
              <w:jc w:val="center"/>
              <w:rPr>
                <w:rFonts w:ascii="宋体" w:eastAsia="宋体" w:hAnsi="宋体" w:cs="宋体"/>
                <w:sz w:val="24"/>
              </w:rPr>
            </w:pPr>
          </w:p>
        </w:tc>
        <w:tc>
          <w:tcPr>
            <w:tcW w:w="803" w:type="dxa"/>
            <w:vAlign w:val="center"/>
          </w:tcPr>
          <w:p w:rsidR="00247E05" w:rsidRPr="0059220D" w:rsidRDefault="00247E05" w:rsidP="00FB2205">
            <w:pPr>
              <w:pStyle w:val="TableParagraph"/>
              <w:jc w:val="center"/>
              <w:rPr>
                <w:rFonts w:ascii="宋体" w:eastAsia="宋体" w:hAnsi="宋体" w:cs="宋体"/>
                <w:sz w:val="24"/>
                <w:lang w:val="en-US"/>
              </w:rPr>
            </w:pPr>
            <w:r w:rsidRPr="0059220D">
              <w:rPr>
                <w:rFonts w:ascii="宋体" w:eastAsia="宋体" w:hAnsi="宋体" w:cs="宋体" w:hint="eastAsia"/>
                <w:sz w:val="24"/>
                <w:lang w:val="en-US"/>
              </w:rPr>
              <w:t>2</w:t>
            </w:r>
          </w:p>
        </w:tc>
        <w:tc>
          <w:tcPr>
            <w:tcW w:w="7419" w:type="dxa"/>
            <w:vAlign w:val="center"/>
          </w:tcPr>
          <w:p w:rsidR="00247E05" w:rsidRPr="0059220D" w:rsidRDefault="00247E05" w:rsidP="00FB2205">
            <w:pPr>
              <w:spacing w:line="460" w:lineRule="exact"/>
              <w:rPr>
                <w:rFonts w:ascii="宋体" w:hAnsi="宋体"/>
                <w:sz w:val="24"/>
                <w:szCs w:val="24"/>
                <w:lang w:bidi="zh-CN"/>
              </w:rPr>
            </w:pPr>
            <w:r w:rsidRPr="0059220D">
              <w:rPr>
                <w:rFonts w:ascii="宋体" w:hAnsi="宋体" w:hint="eastAsia"/>
                <w:sz w:val="24"/>
                <w:szCs w:val="24"/>
                <w:lang w:val="zh-CN" w:bidi="zh-CN"/>
              </w:rPr>
              <w:t>投标人具有职业健康安全管理体系认证证书得2分；</w:t>
            </w:r>
          </w:p>
        </w:tc>
      </w:tr>
      <w:tr w:rsidR="00247E05" w:rsidRPr="0059220D" w:rsidTr="00FB2205">
        <w:trPr>
          <w:trHeight w:val="680"/>
          <w:jc w:val="center"/>
        </w:trPr>
        <w:tc>
          <w:tcPr>
            <w:tcW w:w="1175" w:type="dxa"/>
            <w:vMerge w:val="restart"/>
            <w:vAlign w:val="center"/>
          </w:tcPr>
          <w:p w:rsidR="00247E05" w:rsidRPr="0059220D" w:rsidRDefault="00247E05" w:rsidP="00FB2205">
            <w:pPr>
              <w:pStyle w:val="TableParagraph"/>
              <w:jc w:val="center"/>
              <w:rPr>
                <w:rFonts w:ascii="宋体" w:eastAsia="宋体" w:hAnsi="宋体" w:cs="宋体"/>
                <w:sz w:val="24"/>
                <w:lang w:val="en-US"/>
              </w:rPr>
            </w:pPr>
            <w:r w:rsidRPr="0059220D">
              <w:rPr>
                <w:rFonts w:ascii="宋体" w:eastAsia="宋体" w:hAnsi="宋体" w:cs="宋体" w:hint="eastAsia"/>
                <w:sz w:val="24"/>
                <w:lang w:val="en-US"/>
              </w:rPr>
              <w:t>服务团队</w:t>
            </w:r>
          </w:p>
          <w:p w:rsidR="00247E05" w:rsidRPr="0059220D" w:rsidRDefault="00247E05" w:rsidP="00FB2205">
            <w:pPr>
              <w:pStyle w:val="TableParagraph"/>
              <w:jc w:val="center"/>
              <w:rPr>
                <w:rFonts w:ascii="宋体" w:eastAsia="宋体" w:hAnsi="宋体" w:cs="宋体"/>
                <w:sz w:val="24"/>
              </w:rPr>
            </w:pPr>
            <w:r w:rsidRPr="0059220D">
              <w:rPr>
                <w:rFonts w:ascii="宋体" w:eastAsia="宋体" w:hAnsi="宋体" w:cs="宋体" w:hint="eastAsia"/>
                <w:sz w:val="24"/>
                <w:lang w:val="en-US"/>
              </w:rPr>
              <w:t>（26分）</w:t>
            </w:r>
          </w:p>
        </w:tc>
        <w:tc>
          <w:tcPr>
            <w:tcW w:w="803" w:type="dxa"/>
            <w:vAlign w:val="center"/>
          </w:tcPr>
          <w:p w:rsidR="00247E05" w:rsidRPr="0059220D" w:rsidRDefault="00247E05" w:rsidP="00FB2205">
            <w:pPr>
              <w:pStyle w:val="TableParagraph"/>
              <w:jc w:val="center"/>
              <w:rPr>
                <w:rFonts w:ascii="宋体" w:eastAsia="宋体" w:hAnsi="宋体" w:cs="宋体"/>
                <w:sz w:val="24"/>
                <w:lang w:val="en-US"/>
              </w:rPr>
            </w:pPr>
            <w:r w:rsidRPr="0059220D">
              <w:rPr>
                <w:rFonts w:ascii="宋体" w:eastAsia="宋体" w:hAnsi="宋体" w:cs="宋体" w:hint="eastAsia"/>
                <w:sz w:val="24"/>
                <w:lang w:val="en-US"/>
              </w:rPr>
              <w:t>10</w:t>
            </w:r>
          </w:p>
        </w:tc>
        <w:tc>
          <w:tcPr>
            <w:tcW w:w="7419" w:type="dxa"/>
            <w:vAlign w:val="center"/>
          </w:tcPr>
          <w:p w:rsidR="00247E05" w:rsidRPr="0059220D" w:rsidRDefault="00247E05" w:rsidP="00FB2205">
            <w:pPr>
              <w:spacing w:line="460" w:lineRule="exact"/>
              <w:rPr>
                <w:rFonts w:ascii="宋体" w:hAnsi="宋体"/>
                <w:sz w:val="24"/>
                <w:szCs w:val="24"/>
                <w:lang w:val="zh-CN" w:bidi="zh-CN"/>
              </w:rPr>
            </w:pPr>
            <w:r w:rsidRPr="0059220D">
              <w:rPr>
                <w:rFonts w:ascii="宋体" w:hAnsi="宋体" w:hint="eastAsia"/>
                <w:sz w:val="24"/>
                <w:szCs w:val="24"/>
                <w:lang w:val="zh-CN" w:bidi="zh-CN"/>
              </w:rPr>
              <w:t>拟派项目负责人：具有注册测绘师职业资格证和注册证；具有中级以上职称；全部满足得10分，缺项不得分；</w:t>
            </w:r>
          </w:p>
        </w:tc>
      </w:tr>
      <w:tr w:rsidR="00247E05" w:rsidRPr="0059220D" w:rsidTr="00FB2205">
        <w:trPr>
          <w:trHeight w:val="680"/>
          <w:jc w:val="center"/>
        </w:trPr>
        <w:tc>
          <w:tcPr>
            <w:tcW w:w="1175" w:type="dxa"/>
            <w:vMerge/>
            <w:vAlign w:val="center"/>
          </w:tcPr>
          <w:p w:rsidR="00247E05" w:rsidRPr="0059220D" w:rsidRDefault="00247E05" w:rsidP="00FB2205">
            <w:pPr>
              <w:pStyle w:val="TableParagraph"/>
              <w:jc w:val="center"/>
              <w:rPr>
                <w:rFonts w:ascii="宋体" w:eastAsia="宋体" w:hAnsi="宋体" w:cs="宋体"/>
                <w:sz w:val="24"/>
              </w:rPr>
            </w:pPr>
          </w:p>
        </w:tc>
        <w:tc>
          <w:tcPr>
            <w:tcW w:w="803" w:type="dxa"/>
            <w:vAlign w:val="center"/>
          </w:tcPr>
          <w:p w:rsidR="00247E05" w:rsidRPr="0059220D" w:rsidRDefault="00247E05" w:rsidP="00FB2205">
            <w:pPr>
              <w:pStyle w:val="TableParagraph"/>
              <w:jc w:val="center"/>
              <w:rPr>
                <w:rFonts w:ascii="宋体" w:eastAsia="宋体" w:hAnsi="宋体" w:cs="宋体"/>
                <w:sz w:val="24"/>
                <w:lang w:val="en-US"/>
              </w:rPr>
            </w:pPr>
            <w:r w:rsidRPr="0059220D">
              <w:rPr>
                <w:rFonts w:ascii="宋体" w:eastAsia="宋体" w:hAnsi="宋体" w:cs="宋体" w:hint="eastAsia"/>
                <w:sz w:val="24"/>
                <w:lang w:val="en-US"/>
              </w:rPr>
              <w:t>10</w:t>
            </w:r>
          </w:p>
        </w:tc>
        <w:tc>
          <w:tcPr>
            <w:tcW w:w="7419" w:type="dxa"/>
            <w:vAlign w:val="center"/>
          </w:tcPr>
          <w:p w:rsidR="00247E05" w:rsidRPr="0059220D" w:rsidRDefault="00247E05" w:rsidP="00FB2205">
            <w:pPr>
              <w:spacing w:line="460" w:lineRule="exact"/>
              <w:rPr>
                <w:rFonts w:ascii="宋体" w:hAnsi="宋体"/>
                <w:sz w:val="24"/>
                <w:szCs w:val="24"/>
                <w:lang w:val="zh-CN" w:bidi="zh-CN"/>
              </w:rPr>
            </w:pPr>
            <w:r w:rsidRPr="0059220D">
              <w:rPr>
                <w:rFonts w:ascii="宋体" w:hAnsi="宋体" w:hint="eastAsia"/>
                <w:sz w:val="24"/>
                <w:szCs w:val="24"/>
                <w:lang w:val="zh-CN" w:bidi="zh-CN"/>
              </w:rPr>
              <w:t>拟派技术负责人：具有注册测绘师职业资格证和注册证；具有中级及以上职称；全部满足得10分，缺项不得分；</w:t>
            </w:r>
          </w:p>
        </w:tc>
      </w:tr>
      <w:tr w:rsidR="00247E05" w:rsidRPr="0059220D" w:rsidTr="00FB2205">
        <w:trPr>
          <w:trHeight w:val="680"/>
          <w:jc w:val="center"/>
        </w:trPr>
        <w:tc>
          <w:tcPr>
            <w:tcW w:w="1175" w:type="dxa"/>
            <w:vMerge/>
            <w:vAlign w:val="center"/>
          </w:tcPr>
          <w:p w:rsidR="00247E05" w:rsidRPr="0059220D" w:rsidRDefault="00247E05" w:rsidP="00FB2205">
            <w:pPr>
              <w:pStyle w:val="TableParagraph"/>
              <w:jc w:val="center"/>
              <w:rPr>
                <w:rFonts w:ascii="宋体" w:eastAsia="宋体" w:hAnsi="宋体" w:cs="宋体"/>
                <w:sz w:val="24"/>
                <w:lang w:val="en-US"/>
              </w:rPr>
            </w:pPr>
          </w:p>
        </w:tc>
        <w:tc>
          <w:tcPr>
            <w:tcW w:w="803" w:type="dxa"/>
            <w:vAlign w:val="center"/>
          </w:tcPr>
          <w:p w:rsidR="00247E05" w:rsidRPr="0059220D" w:rsidRDefault="00247E05" w:rsidP="00FB2205">
            <w:pPr>
              <w:pStyle w:val="TableParagraph"/>
              <w:jc w:val="center"/>
              <w:rPr>
                <w:rFonts w:ascii="宋体" w:eastAsia="宋体" w:hAnsi="宋体" w:cs="宋体"/>
                <w:sz w:val="24"/>
                <w:lang w:val="en-US"/>
              </w:rPr>
            </w:pPr>
            <w:r w:rsidRPr="0059220D">
              <w:rPr>
                <w:rFonts w:ascii="宋体" w:eastAsia="宋体" w:hAnsi="宋体" w:cs="宋体" w:hint="eastAsia"/>
                <w:sz w:val="24"/>
                <w:lang w:val="en-US"/>
              </w:rPr>
              <w:t>6</w:t>
            </w:r>
          </w:p>
        </w:tc>
        <w:tc>
          <w:tcPr>
            <w:tcW w:w="7419" w:type="dxa"/>
            <w:vAlign w:val="center"/>
          </w:tcPr>
          <w:p w:rsidR="00247E05" w:rsidRPr="0059220D" w:rsidRDefault="00247E05" w:rsidP="00FB2205">
            <w:pPr>
              <w:pStyle w:val="TableParagraph"/>
              <w:spacing w:line="460" w:lineRule="exact"/>
              <w:rPr>
                <w:rFonts w:ascii="宋体" w:eastAsia="宋体" w:hAnsi="宋体" w:cs="宋体"/>
                <w:sz w:val="24"/>
                <w:lang w:val="en-US"/>
              </w:rPr>
            </w:pPr>
            <w:r w:rsidRPr="0059220D">
              <w:rPr>
                <w:rFonts w:ascii="宋体" w:eastAsia="宋体" w:hAnsi="宋体" w:cs="宋体" w:hint="eastAsia"/>
                <w:sz w:val="24"/>
                <w:lang w:val="en-US"/>
              </w:rPr>
              <w:t>项目组成人员中具有国家测绘地理信息局颁发的涉密测绘成果管理人员岗位培训证书的，每提供一个得2分，满分6分；</w:t>
            </w:r>
          </w:p>
        </w:tc>
      </w:tr>
      <w:tr w:rsidR="00247E05" w:rsidRPr="0059220D" w:rsidTr="00FB2205">
        <w:trPr>
          <w:trHeight w:val="680"/>
          <w:jc w:val="center"/>
        </w:trPr>
        <w:tc>
          <w:tcPr>
            <w:tcW w:w="1175" w:type="dxa"/>
            <w:vMerge/>
            <w:vAlign w:val="center"/>
          </w:tcPr>
          <w:p w:rsidR="00247E05" w:rsidRPr="0059220D" w:rsidRDefault="00247E05" w:rsidP="00FB2205">
            <w:pPr>
              <w:pStyle w:val="TableParagraph"/>
              <w:jc w:val="center"/>
              <w:rPr>
                <w:rFonts w:ascii="宋体" w:eastAsia="宋体" w:hAnsi="宋体" w:cs="宋体"/>
                <w:sz w:val="24"/>
                <w:lang w:val="en-US"/>
              </w:rPr>
            </w:pPr>
          </w:p>
        </w:tc>
        <w:tc>
          <w:tcPr>
            <w:tcW w:w="8222" w:type="dxa"/>
            <w:gridSpan w:val="2"/>
            <w:vAlign w:val="center"/>
          </w:tcPr>
          <w:p w:rsidR="00247E05" w:rsidRPr="0059220D" w:rsidRDefault="00247E05" w:rsidP="00FB2205">
            <w:pPr>
              <w:pStyle w:val="TableParagraph"/>
              <w:spacing w:line="460" w:lineRule="exact"/>
              <w:rPr>
                <w:rFonts w:ascii="宋体" w:eastAsia="宋体" w:hAnsi="宋体" w:cs="宋体"/>
                <w:sz w:val="24"/>
                <w:lang w:val="en-US"/>
              </w:rPr>
            </w:pPr>
            <w:r w:rsidRPr="0059220D">
              <w:rPr>
                <w:rFonts w:ascii="宋体" w:eastAsia="宋体" w:hAnsi="宋体" w:cs="宋体" w:hint="eastAsia"/>
                <w:sz w:val="24"/>
              </w:rPr>
              <w:t>注：以上人员不累计得分，提供劳动合同和社保部门开具的投标人为持证人员缴纳近6个月任意一个月的社保证明材料。</w:t>
            </w:r>
          </w:p>
        </w:tc>
      </w:tr>
      <w:tr w:rsidR="00247E05" w:rsidRPr="0059220D" w:rsidTr="00FB2205">
        <w:trPr>
          <w:trHeight w:val="1581"/>
          <w:jc w:val="center"/>
        </w:trPr>
        <w:tc>
          <w:tcPr>
            <w:tcW w:w="1175" w:type="dxa"/>
            <w:vAlign w:val="center"/>
          </w:tcPr>
          <w:p w:rsidR="00247E05" w:rsidRPr="0059220D" w:rsidRDefault="00247E05" w:rsidP="00FB2205">
            <w:pPr>
              <w:pStyle w:val="TableParagraph"/>
              <w:jc w:val="center"/>
              <w:rPr>
                <w:rFonts w:ascii="宋体" w:eastAsia="宋体" w:hAnsi="宋体" w:cs="宋体"/>
                <w:sz w:val="24"/>
                <w:lang w:val="en-US"/>
              </w:rPr>
            </w:pPr>
            <w:r w:rsidRPr="0059220D">
              <w:rPr>
                <w:rFonts w:ascii="宋体" w:eastAsia="宋体" w:hAnsi="宋体" w:cs="宋体" w:hint="eastAsia"/>
                <w:sz w:val="24"/>
                <w:lang w:val="en-US"/>
              </w:rPr>
              <w:t>类似业绩（20分）</w:t>
            </w:r>
          </w:p>
        </w:tc>
        <w:tc>
          <w:tcPr>
            <w:tcW w:w="803" w:type="dxa"/>
            <w:vAlign w:val="center"/>
          </w:tcPr>
          <w:p w:rsidR="00247E05" w:rsidRPr="0059220D" w:rsidRDefault="00247E05" w:rsidP="00FB2205">
            <w:pPr>
              <w:pStyle w:val="TableParagraph"/>
              <w:jc w:val="center"/>
              <w:rPr>
                <w:rFonts w:ascii="宋体" w:eastAsia="宋体" w:hAnsi="宋体" w:cs="宋体"/>
                <w:sz w:val="24"/>
                <w:lang w:val="en-US"/>
              </w:rPr>
            </w:pPr>
            <w:r w:rsidRPr="0059220D">
              <w:rPr>
                <w:rFonts w:ascii="宋体" w:eastAsia="宋体" w:hAnsi="宋体" w:cs="宋体" w:hint="eastAsia"/>
                <w:sz w:val="24"/>
                <w:lang w:val="en-US"/>
              </w:rPr>
              <w:t>20</w:t>
            </w:r>
          </w:p>
        </w:tc>
        <w:tc>
          <w:tcPr>
            <w:tcW w:w="7419" w:type="dxa"/>
            <w:vAlign w:val="center"/>
          </w:tcPr>
          <w:p w:rsidR="00247E05" w:rsidRPr="0059220D" w:rsidRDefault="00247E05" w:rsidP="00FB2205">
            <w:pPr>
              <w:pStyle w:val="TableParagraph"/>
              <w:spacing w:line="460" w:lineRule="exact"/>
              <w:rPr>
                <w:rFonts w:ascii="宋体" w:eastAsia="宋体" w:hAnsi="宋体" w:cs="宋体"/>
                <w:sz w:val="24"/>
                <w:lang w:val="en-US"/>
              </w:rPr>
            </w:pPr>
            <w:r w:rsidRPr="0059220D">
              <w:rPr>
                <w:rFonts w:ascii="宋体" w:eastAsia="宋体" w:hAnsi="宋体" w:cs="宋体" w:hint="eastAsia"/>
                <w:sz w:val="24"/>
              </w:rPr>
              <w:t>投标人具有2022年以来自然资源相关项目业绩的，每提供一个业绩得5分，满分20分(投标文件中附中标通知书及合同扫描件，同一个项目合同不累计得分)；</w:t>
            </w:r>
          </w:p>
        </w:tc>
      </w:tr>
      <w:tr w:rsidR="00247E05" w:rsidRPr="0059220D" w:rsidTr="00FB2205">
        <w:trPr>
          <w:trHeight w:val="558"/>
          <w:jc w:val="center"/>
        </w:trPr>
        <w:tc>
          <w:tcPr>
            <w:tcW w:w="1175" w:type="dxa"/>
            <w:vAlign w:val="center"/>
          </w:tcPr>
          <w:p w:rsidR="00247E05" w:rsidRPr="0059220D" w:rsidRDefault="00247E05" w:rsidP="00FB2205">
            <w:pPr>
              <w:pStyle w:val="TableParagraph"/>
              <w:jc w:val="center"/>
              <w:rPr>
                <w:rFonts w:ascii="宋体" w:eastAsia="宋体" w:hAnsi="宋体" w:cs="宋体"/>
                <w:sz w:val="24"/>
              </w:rPr>
            </w:pPr>
            <w:r w:rsidRPr="0059220D">
              <w:rPr>
                <w:rFonts w:ascii="宋体" w:eastAsia="宋体" w:hAnsi="宋体" w:cs="宋体" w:hint="eastAsia"/>
                <w:sz w:val="24"/>
              </w:rPr>
              <w:t>服务承诺</w:t>
            </w:r>
          </w:p>
          <w:p w:rsidR="00247E05" w:rsidRPr="0059220D" w:rsidRDefault="00247E05" w:rsidP="00FB2205">
            <w:pPr>
              <w:pStyle w:val="TableParagraph"/>
              <w:jc w:val="center"/>
              <w:rPr>
                <w:rFonts w:ascii="宋体" w:eastAsia="宋体" w:hAnsi="宋体" w:cs="宋体"/>
                <w:sz w:val="24"/>
              </w:rPr>
            </w:pPr>
            <w:r w:rsidRPr="0059220D">
              <w:rPr>
                <w:rFonts w:ascii="宋体" w:eastAsia="宋体" w:hAnsi="宋体" w:cs="宋体" w:hint="eastAsia"/>
                <w:sz w:val="24"/>
              </w:rPr>
              <w:t>（5分）</w:t>
            </w:r>
          </w:p>
        </w:tc>
        <w:tc>
          <w:tcPr>
            <w:tcW w:w="803" w:type="dxa"/>
            <w:vAlign w:val="center"/>
          </w:tcPr>
          <w:p w:rsidR="00247E05" w:rsidRPr="0059220D" w:rsidRDefault="00247E05" w:rsidP="00FB2205">
            <w:pPr>
              <w:pStyle w:val="TableParagraph"/>
              <w:jc w:val="center"/>
              <w:rPr>
                <w:rFonts w:ascii="宋体" w:eastAsia="宋体" w:hAnsi="宋体" w:cs="宋体"/>
                <w:sz w:val="24"/>
                <w:lang w:val="en-US"/>
              </w:rPr>
            </w:pPr>
            <w:r w:rsidRPr="0059220D">
              <w:rPr>
                <w:rFonts w:ascii="宋体" w:eastAsia="宋体" w:hAnsi="宋体" w:cs="宋体" w:hint="eastAsia"/>
                <w:sz w:val="24"/>
                <w:lang w:val="en-US"/>
              </w:rPr>
              <w:t>5</w:t>
            </w:r>
          </w:p>
        </w:tc>
        <w:tc>
          <w:tcPr>
            <w:tcW w:w="7419" w:type="dxa"/>
            <w:vAlign w:val="center"/>
          </w:tcPr>
          <w:p w:rsidR="00247E05" w:rsidRPr="0059220D" w:rsidRDefault="00247E05" w:rsidP="00FB2205">
            <w:pPr>
              <w:spacing w:line="460" w:lineRule="exact"/>
              <w:rPr>
                <w:rFonts w:ascii="宋体" w:hAnsi="宋体"/>
                <w:sz w:val="24"/>
                <w:szCs w:val="24"/>
                <w:lang w:bidi="zh-CN"/>
              </w:rPr>
            </w:pPr>
            <w:r w:rsidRPr="0059220D">
              <w:rPr>
                <w:rFonts w:ascii="宋体" w:hAnsi="宋体" w:hint="eastAsia"/>
                <w:sz w:val="24"/>
                <w:szCs w:val="24"/>
                <w:lang w:val="zh-CN" w:bidi="zh-CN"/>
              </w:rPr>
              <w:t>服务时效性保障措施及承诺。（有具体、可行性强且能满足</w:t>
            </w:r>
            <w:r w:rsidRPr="0059220D">
              <w:rPr>
                <w:rFonts w:ascii="宋体" w:hAnsi="宋体" w:hint="eastAsia"/>
                <w:sz w:val="24"/>
                <w:szCs w:val="24"/>
                <w:lang w:bidi="zh-CN"/>
              </w:rPr>
              <w:t>招标</w:t>
            </w:r>
            <w:r w:rsidRPr="0059220D">
              <w:rPr>
                <w:rFonts w:ascii="宋体" w:hAnsi="宋体" w:hint="eastAsia"/>
                <w:sz w:val="24"/>
                <w:szCs w:val="24"/>
                <w:lang w:val="zh-CN" w:bidi="zh-CN"/>
              </w:rPr>
              <w:t>人紧急需求的保障服务时效的措施和承诺得5分，有较具体、可行性较强且基本能满足</w:t>
            </w:r>
            <w:r w:rsidRPr="0059220D">
              <w:rPr>
                <w:rFonts w:ascii="宋体" w:hAnsi="宋体" w:hint="eastAsia"/>
                <w:sz w:val="24"/>
                <w:szCs w:val="24"/>
                <w:lang w:bidi="zh-CN"/>
              </w:rPr>
              <w:t>招标</w:t>
            </w:r>
            <w:r w:rsidRPr="0059220D">
              <w:rPr>
                <w:rFonts w:ascii="宋体" w:hAnsi="宋体" w:hint="eastAsia"/>
                <w:sz w:val="24"/>
                <w:szCs w:val="24"/>
                <w:lang w:val="zh-CN" w:bidi="zh-CN"/>
              </w:rPr>
              <w:t>人紧急需求的保障服务时效的措施和承诺得2分，较差或没有不得分。）</w:t>
            </w:r>
          </w:p>
        </w:tc>
      </w:tr>
    </w:tbl>
    <w:p w:rsidR="006755C7" w:rsidRDefault="006755C7">
      <w:bookmarkStart w:id="0" w:name="_GoBack"/>
      <w:bookmarkEnd w:id="0"/>
    </w:p>
    <w:sectPr w:rsidR="006755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BD4" w:rsidRDefault="00144BD4" w:rsidP="00247E05">
      <w:r>
        <w:separator/>
      </w:r>
    </w:p>
  </w:endnote>
  <w:endnote w:type="continuationSeparator" w:id="0">
    <w:p w:rsidR="00144BD4" w:rsidRDefault="00144BD4" w:rsidP="0024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BD4" w:rsidRDefault="00144BD4" w:rsidP="00247E05">
      <w:r>
        <w:separator/>
      </w:r>
    </w:p>
  </w:footnote>
  <w:footnote w:type="continuationSeparator" w:id="0">
    <w:p w:rsidR="00144BD4" w:rsidRDefault="00144BD4" w:rsidP="00247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F0E"/>
    <w:rsid w:val="00144BD4"/>
    <w:rsid w:val="00247E05"/>
    <w:rsid w:val="006755C7"/>
    <w:rsid w:val="007E291B"/>
    <w:rsid w:val="00C95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6ED29"/>
  <w15:chartTrackingRefBased/>
  <w15:docId w15:val="{30588E81-8EAF-4C3E-A659-4D16626E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247E05"/>
    <w:pPr>
      <w:widowControl w:val="0"/>
      <w:jc w:val="both"/>
    </w:pPr>
    <w:rPr>
      <w:rFonts w:ascii="Times New Roman" w:eastAsia="宋体" w:hAnsi="Times New Roman" w:cs="Times New Roman"/>
      <w:sz w:val="28"/>
      <w:szCs w:val="20"/>
    </w:rPr>
  </w:style>
  <w:style w:type="paragraph" w:styleId="4">
    <w:name w:val="heading 4"/>
    <w:basedOn w:val="a"/>
    <w:next w:val="a"/>
    <w:link w:val="40"/>
    <w:uiPriority w:val="9"/>
    <w:semiHidden/>
    <w:unhideWhenUsed/>
    <w:qFormat/>
    <w:rsid w:val="00247E05"/>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E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47E05"/>
    <w:rPr>
      <w:sz w:val="18"/>
      <w:szCs w:val="18"/>
    </w:rPr>
  </w:style>
  <w:style w:type="paragraph" w:styleId="a5">
    <w:name w:val="footer"/>
    <w:basedOn w:val="a"/>
    <w:link w:val="a6"/>
    <w:uiPriority w:val="99"/>
    <w:unhideWhenUsed/>
    <w:rsid w:val="00247E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47E05"/>
    <w:rPr>
      <w:sz w:val="18"/>
      <w:szCs w:val="18"/>
    </w:rPr>
  </w:style>
  <w:style w:type="paragraph" w:customStyle="1" w:styleId="1">
    <w:name w:val="样式1"/>
    <w:basedOn w:val="4"/>
    <w:qFormat/>
    <w:rsid w:val="00247E05"/>
    <w:pPr>
      <w:tabs>
        <w:tab w:val="left" w:pos="720"/>
      </w:tabs>
      <w:spacing w:before="500" w:after="260" w:line="560" w:lineRule="atLeast"/>
      <w:ind w:left="420" w:hanging="420"/>
    </w:pPr>
    <w:rPr>
      <w:rFonts w:ascii="Arial" w:eastAsia="黑体" w:hAnsi="Arial" w:cs="Times New Roman"/>
      <w:bCs w:val="0"/>
      <w:szCs w:val="20"/>
    </w:rPr>
  </w:style>
  <w:style w:type="paragraph" w:customStyle="1" w:styleId="TableParagraph">
    <w:name w:val="Table Paragraph"/>
    <w:basedOn w:val="a"/>
    <w:uiPriority w:val="1"/>
    <w:qFormat/>
    <w:rsid w:val="00247E05"/>
    <w:rPr>
      <w:rFonts w:ascii="仿宋" w:eastAsia="仿宋" w:hAnsi="仿宋" w:cs="仿宋"/>
      <w:sz w:val="21"/>
      <w:szCs w:val="24"/>
      <w:lang w:val="zh-CN" w:bidi="zh-CN"/>
    </w:rPr>
  </w:style>
  <w:style w:type="paragraph" w:styleId="a7">
    <w:name w:val="Body Text Indent"/>
    <w:basedOn w:val="a"/>
    <w:link w:val="a8"/>
    <w:uiPriority w:val="99"/>
    <w:semiHidden/>
    <w:unhideWhenUsed/>
    <w:rsid w:val="00247E05"/>
    <w:pPr>
      <w:spacing w:after="120"/>
      <w:ind w:leftChars="200" w:left="420"/>
    </w:pPr>
  </w:style>
  <w:style w:type="character" w:customStyle="1" w:styleId="a8">
    <w:name w:val="正文文本缩进 字符"/>
    <w:basedOn w:val="a0"/>
    <w:link w:val="a7"/>
    <w:uiPriority w:val="99"/>
    <w:semiHidden/>
    <w:rsid w:val="00247E05"/>
    <w:rPr>
      <w:rFonts w:ascii="Times New Roman" w:eastAsia="宋体" w:hAnsi="Times New Roman" w:cs="Times New Roman"/>
      <w:sz w:val="28"/>
      <w:szCs w:val="20"/>
    </w:rPr>
  </w:style>
  <w:style w:type="paragraph" w:styleId="2">
    <w:name w:val="Body Text First Indent 2"/>
    <w:basedOn w:val="a7"/>
    <w:link w:val="20"/>
    <w:uiPriority w:val="99"/>
    <w:semiHidden/>
    <w:unhideWhenUsed/>
    <w:rsid w:val="00247E05"/>
    <w:pPr>
      <w:ind w:firstLineChars="200" w:firstLine="420"/>
    </w:pPr>
  </w:style>
  <w:style w:type="character" w:customStyle="1" w:styleId="20">
    <w:name w:val="正文首行缩进 2 字符"/>
    <w:basedOn w:val="a8"/>
    <w:link w:val="2"/>
    <w:uiPriority w:val="99"/>
    <w:semiHidden/>
    <w:rsid w:val="00247E05"/>
    <w:rPr>
      <w:rFonts w:ascii="Times New Roman" w:eastAsia="宋体" w:hAnsi="Times New Roman" w:cs="Times New Roman"/>
      <w:sz w:val="28"/>
      <w:szCs w:val="20"/>
    </w:rPr>
  </w:style>
  <w:style w:type="character" w:customStyle="1" w:styleId="40">
    <w:name w:val="标题 4 字符"/>
    <w:basedOn w:val="a0"/>
    <w:link w:val="4"/>
    <w:uiPriority w:val="9"/>
    <w:semiHidden/>
    <w:rsid w:val="00247E05"/>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2024-06-04T07:23:00Z</dcterms:created>
  <dcterms:modified xsi:type="dcterms:W3CDTF">2024-06-04T07:23:00Z</dcterms:modified>
</cp:coreProperties>
</file>