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宋体" w:hAnsi="宋体"/>
          <w:sz w:val="36"/>
        </w:rPr>
      </w:pPr>
      <w:bookmarkStart w:id="0" w:name="_Toc38367762"/>
      <w:r>
        <w:rPr>
          <w:rFonts w:hint="eastAsia" w:ascii="宋体" w:hAnsi="宋体"/>
          <w:sz w:val="36"/>
        </w:rPr>
        <w:t>【灵活运行</w:t>
      </w:r>
      <w:r>
        <w:rPr>
          <w:rFonts w:hint="eastAsia" w:hAnsi="宋体" w:cs="宋体"/>
        </w:rPr>
        <w:t>发电机健康状况智能诊断系统</w:t>
      </w:r>
      <w:r>
        <w:rPr>
          <w:rFonts w:hint="eastAsia" w:ascii="宋体" w:hAnsi="宋体"/>
          <w:sz w:val="36"/>
        </w:rPr>
        <w:t>】</w:t>
      </w:r>
    </w:p>
    <w:p>
      <w:pPr>
        <w:pStyle w:val="7"/>
        <w:rPr>
          <w:rFonts w:ascii="宋体" w:hAnsi="宋体"/>
          <w:sz w:val="36"/>
        </w:rPr>
      </w:pPr>
      <w:r>
        <w:rPr>
          <w:rFonts w:ascii="宋体" w:hAnsi="宋体"/>
          <w:sz w:val="36"/>
        </w:rPr>
        <w:t>采购需求</w:t>
      </w:r>
      <w:bookmarkEnd w:id="0"/>
    </w:p>
    <w:p>
      <w:pPr>
        <w:tabs>
          <w:tab w:val="left" w:pos="900"/>
        </w:tabs>
        <w:spacing w:before="156" w:beforeLines="50" w:line="360" w:lineRule="auto"/>
        <w:rPr>
          <w:b/>
          <w:szCs w:val="21"/>
        </w:rPr>
      </w:pPr>
      <w:bookmarkStart w:id="1" w:name="_Toc172360661"/>
      <w:bookmarkStart w:id="2" w:name="_Toc158978330"/>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pPr>
        <w:spacing w:before="156" w:line="360" w:lineRule="auto"/>
        <w:ind w:firstLine="420"/>
        <w:rPr>
          <w:rFonts w:hAnsi="宋体"/>
          <w:color w:val="FF0000"/>
          <w:szCs w:val="21"/>
        </w:rPr>
      </w:pPr>
      <w:r>
        <w:rPr>
          <w:rFonts w:hint="eastAsia" w:ascii="宋体" w:hAnsi="宋体" w:cs="等线"/>
        </w:rPr>
        <w:t>本项目采购灵活运行火力发电机健康状况智能诊断系统1套，主要用于汇集大型火力发电机运行状态监测数据，并完成发电机健康状态的智能诊断，要求具有较高的系统集成度、可实现灵活运行发电机的实时状态诊断和评估，诊断准确率高。</w:t>
      </w:r>
    </w:p>
    <w:p>
      <w:pPr>
        <w:tabs>
          <w:tab w:val="left" w:pos="900"/>
        </w:tabs>
        <w:spacing w:before="156" w:beforeLines="50" w:line="360" w:lineRule="auto"/>
        <w:rPr>
          <w:b/>
          <w:szCs w:val="21"/>
        </w:rPr>
      </w:pPr>
      <w:r>
        <w:rPr>
          <w:rFonts w:hAnsi="宋体"/>
          <w:b/>
          <w:szCs w:val="21"/>
        </w:rPr>
        <w:t>（二）为落实政府采购政策需满足的要求</w:t>
      </w:r>
    </w:p>
    <w:p>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工业</w:t>
      </w:r>
      <w:r>
        <w:rPr>
          <w:rFonts w:hAnsi="宋体"/>
          <w:szCs w:val="24"/>
          <w:u w:val="single"/>
        </w:rPr>
        <w:t xml:space="preserve">  </w:t>
      </w:r>
      <w:r>
        <w:rPr>
          <w:rFonts w:hint="eastAsia" w:hAnsi="宋体"/>
          <w:szCs w:val="24"/>
        </w:rPr>
        <w:t>。</w:t>
      </w:r>
    </w:p>
    <w:p>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rPr>
          <w:rFonts w:hAnsi="宋体"/>
          <w:b/>
          <w:szCs w:val="21"/>
        </w:rPr>
      </w:pPr>
      <w:r>
        <w:rPr>
          <w:rFonts w:hint="eastAsia" w:hAnsi="宋体"/>
          <w:b/>
          <w:szCs w:val="21"/>
        </w:rPr>
        <w:t>三、采购标的概况</w:t>
      </w:r>
    </w:p>
    <w:p>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灵活运行发电机健康状况智能诊断系统</w:t>
      </w:r>
      <w:r>
        <w:rPr>
          <w:rFonts w:ascii="宋体" w:hAnsi="宋体"/>
          <w:szCs w:val="21"/>
          <w:u w:val="single"/>
        </w:rPr>
        <w:t xml:space="preserve">  </w:t>
      </w:r>
      <w:r>
        <w:rPr>
          <w:rFonts w:hAnsi="宋体"/>
          <w:szCs w:val="21"/>
        </w:rPr>
        <w:t xml:space="preserve">   </w:t>
      </w:r>
    </w:p>
    <w:p>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72万</w:t>
      </w:r>
      <w:r>
        <w:rPr>
          <w:rFonts w:hAnsi="宋体"/>
          <w:szCs w:val="21"/>
          <w:u w:val="single"/>
        </w:rPr>
        <w:t xml:space="preserve">  </w:t>
      </w:r>
      <w:r>
        <w:rPr>
          <w:rFonts w:hAnsi="宋体"/>
          <w:szCs w:val="21"/>
        </w:rPr>
        <w:t xml:space="preserve"> </w:t>
      </w:r>
      <w:r>
        <w:rPr>
          <w:rFonts w:hint="eastAsia" w:hAnsi="宋体"/>
          <w:szCs w:val="21"/>
        </w:rPr>
        <w:t>元。</w:t>
      </w:r>
    </w:p>
    <w:p>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30</w:t>
      </w:r>
      <w:r>
        <w:rPr>
          <w:rFonts w:hAnsi="宋体"/>
          <w:u w:val="single"/>
        </w:rPr>
        <w:t xml:space="preserve"> </w:t>
      </w:r>
      <w:r>
        <w:rPr>
          <w:rFonts w:hint="eastAsia" w:hAnsi="宋体"/>
        </w:rPr>
        <w:t>天内。</w:t>
      </w:r>
    </w:p>
    <w:p>
      <w:pPr>
        <w:tabs>
          <w:tab w:val="left" w:pos="900"/>
        </w:tabs>
        <w:spacing w:before="156" w:beforeLines="50" w:line="360" w:lineRule="auto"/>
        <w:rPr>
          <w:rFonts w:hAnsi="宋体"/>
          <w:szCs w:val="21"/>
          <w:highlight w:val="none"/>
        </w:rPr>
      </w:pPr>
      <w:r>
        <w:rPr>
          <w:rFonts w:hint="eastAsia" w:hAnsi="宋体"/>
          <w:szCs w:val="21"/>
          <w:highlight w:val="none"/>
        </w:rPr>
        <w:t>（五）</w:t>
      </w:r>
      <w:r>
        <w:rPr>
          <w:rFonts w:hAnsi="宋体"/>
          <w:szCs w:val="21"/>
          <w:highlight w:val="none"/>
        </w:rPr>
        <w:t>交付地点：</w:t>
      </w:r>
      <w:r>
        <w:rPr>
          <w:rFonts w:hint="default" w:hAnsi="宋体"/>
          <w:szCs w:val="21"/>
          <w:highlight w:val="none"/>
          <w:u w:val="none"/>
        </w:rPr>
        <w:t xml:space="preserve"> 西安交通大学指定地点</w:t>
      </w:r>
      <w:r>
        <w:rPr>
          <w:rFonts w:hAnsi="宋体"/>
          <w:szCs w:val="21"/>
          <w:highlight w:val="none"/>
          <w:u w:val="none"/>
        </w:rPr>
        <w:t xml:space="preserve"> </w:t>
      </w:r>
      <w:r>
        <w:rPr>
          <w:rFonts w:hint="eastAsia" w:hAnsi="宋体"/>
          <w:szCs w:val="21"/>
          <w:highlight w:val="none"/>
        </w:rPr>
        <w:t>。</w:t>
      </w:r>
    </w:p>
    <w:p>
      <w:pPr>
        <w:tabs>
          <w:tab w:val="left" w:pos="900"/>
        </w:tabs>
        <w:spacing w:before="156" w:beforeLines="50" w:line="360" w:lineRule="auto"/>
        <w:rPr>
          <w:rFonts w:hAnsi="宋体"/>
          <w:szCs w:val="21"/>
          <w:highlight w:val="none"/>
        </w:rPr>
      </w:pPr>
      <w:r>
        <w:rPr>
          <w:rFonts w:hint="eastAsia" w:hAnsi="宋体"/>
          <w:szCs w:val="21"/>
          <w:highlight w:val="none"/>
        </w:rPr>
        <w:t>（六）付款进度安排：</w:t>
      </w:r>
      <w:r>
        <w:rPr>
          <w:rFonts w:hint="eastAsia" w:hAnsi="宋体"/>
          <w:szCs w:val="21"/>
          <w:highlight w:val="none"/>
          <w:u w:val="single"/>
        </w:rPr>
        <w:t xml:space="preserve"> 项目验收后付9</w:t>
      </w:r>
      <w:r>
        <w:rPr>
          <w:rFonts w:hAnsi="宋体"/>
          <w:szCs w:val="21"/>
          <w:highlight w:val="none"/>
          <w:u w:val="single"/>
        </w:rPr>
        <w:t>5%</w:t>
      </w:r>
      <w:r>
        <w:rPr>
          <w:rFonts w:hint="eastAsia" w:hAnsi="宋体"/>
          <w:szCs w:val="21"/>
          <w:highlight w:val="none"/>
          <w:u w:val="single"/>
        </w:rPr>
        <w:t>，一年后付余款5</w:t>
      </w:r>
      <w:r>
        <w:rPr>
          <w:rFonts w:hAnsi="宋体"/>
          <w:szCs w:val="21"/>
          <w:highlight w:val="none"/>
          <w:u w:val="single"/>
        </w:rPr>
        <w:t xml:space="preserve">% </w:t>
      </w:r>
      <w:r>
        <w:rPr>
          <w:rFonts w:hint="eastAsia" w:hAnsi="宋体"/>
          <w:szCs w:val="21"/>
          <w:highlight w:val="none"/>
        </w:rPr>
        <w:t>。</w:t>
      </w:r>
    </w:p>
    <w:p>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pPr>
        <w:tabs>
          <w:tab w:val="left" w:pos="900"/>
        </w:tabs>
        <w:spacing w:before="156" w:beforeLines="50" w:line="360" w:lineRule="auto"/>
        <w:ind w:firstLine="422" w:firstLineChars="200"/>
        <w:rPr>
          <w:rFonts w:hAnsi="宋体"/>
          <w:szCs w:val="21"/>
        </w:rPr>
      </w:pPr>
      <w:r>
        <w:rPr>
          <w:rFonts w:hint="eastAsia" w:hAnsi="宋体"/>
          <w:b/>
          <w:bCs/>
          <w:szCs w:val="21"/>
        </w:rPr>
        <w:t>服务内容</w:t>
      </w:r>
      <w:r>
        <w:rPr>
          <w:rFonts w:hint="eastAsia" w:hAnsi="宋体"/>
          <w:szCs w:val="21"/>
        </w:rPr>
        <w:t>：提交灵活运行发电机健康状况智能诊断系统1套，以及该系统的部署和调试服务。</w:t>
      </w:r>
    </w:p>
    <w:p>
      <w:pPr>
        <w:tabs>
          <w:tab w:val="left" w:pos="900"/>
        </w:tabs>
        <w:spacing w:before="156" w:beforeLines="50" w:line="360" w:lineRule="auto"/>
        <w:ind w:firstLine="422" w:firstLineChars="200"/>
        <w:rPr>
          <w:rFonts w:hAnsi="宋体"/>
          <w:szCs w:val="21"/>
        </w:rPr>
      </w:pPr>
      <w:r>
        <w:rPr>
          <w:rFonts w:hint="eastAsia" w:hAnsi="宋体"/>
          <w:b/>
          <w:bCs/>
          <w:szCs w:val="21"/>
        </w:rPr>
        <w:t>服务范围</w:t>
      </w:r>
      <w:r>
        <w:rPr>
          <w:rFonts w:hint="eastAsia" w:hAnsi="宋体"/>
          <w:szCs w:val="21"/>
        </w:rPr>
        <w:t>：该软件系统应至少包括智慧平台与三维可视化功能、定子运行状态诊断功能模块、转子运行状态诊断功能模块。</w:t>
      </w:r>
    </w:p>
    <w:p>
      <w:pPr>
        <w:numPr>
          <w:ilvl w:val="0"/>
          <w:numId w:val="1"/>
        </w:numPr>
        <w:tabs>
          <w:tab w:val="left" w:pos="900"/>
        </w:tabs>
        <w:spacing w:before="156" w:beforeLines="50" w:line="360" w:lineRule="auto"/>
        <w:ind w:firstLine="420" w:firstLineChars="200"/>
        <w:rPr>
          <w:rFonts w:hint="eastAsia" w:hAnsi="宋体"/>
          <w:szCs w:val="21"/>
        </w:rPr>
      </w:pPr>
      <w:r>
        <w:rPr>
          <w:rFonts w:hint="eastAsia" w:hAnsi="宋体"/>
          <w:szCs w:val="21"/>
        </w:rPr>
        <w:t>智慧平台与三维可视化功能实现发电机的三维模型数据联动，采用标准化接口和统一调用方式，汇集发电机的SIS系统数据和传感器监测数据，结合发电机主机设备的三维建模，进行三维可视化开发：</w:t>
      </w:r>
    </w:p>
    <w:p>
      <w:pPr>
        <w:tabs>
          <w:tab w:val="left" w:pos="900"/>
        </w:tabs>
        <w:spacing w:before="156" w:beforeLines="50" w:line="360" w:lineRule="auto"/>
        <w:ind w:firstLine="420" w:firstLineChars="200"/>
        <w:rPr>
          <w:rFonts w:hint="eastAsia" w:hAnsi="宋体"/>
          <w:szCs w:val="21"/>
          <w:highlight w:val="none"/>
        </w:rPr>
      </w:pPr>
      <w:r>
        <w:rPr>
          <w:rFonts w:hint="eastAsia" w:hAnsi="宋体"/>
          <w:szCs w:val="21"/>
          <w:highlight w:val="none"/>
        </w:rPr>
        <w:t>智慧平台应达到以下预定目标：</w:t>
      </w:r>
    </w:p>
    <w:p>
      <w:pPr>
        <w:tabs>
          <w:tab w:val="left" w:pos="900"/>
        </w:tabs>
        <w:spacing w:before="156" w:beforeLines="50" w:line="360" w:lineRule="auto"/>
        <w:ind w:firstLine="420" w:firstLineChars="200"/>
        <w:rPr>
          <w:rFonts w:hAnsi="宋体"/>
          <w:szCs w:val="21"/>
          <w:highlight w:val="none"/>
        </w:rPr>
      </w:pPr>
      <w:r>
        <w:rPr>
          <w:rFonts w:hint="eastAsia" w:hAnsi="宋体"/>
          <w:szCs w:val="21"/>
          <w:highlight w:val="none"/>
        </w:rPr>
        <w:t>（1）数据接口实时推送：现场采集数据保证同时5个并发推送延迟低于5秒。数据接收保证同时5个并发推送延迟低于5秒</w:t>
      </w:r>
      <w:r>
        <w:rPr>
          <w:rFonts w:hint="eastAsia" w:hAnsi="宋体"/>
          <w:szCs w:val="21"/>
          <w:highlight w:val="none"/>
          <w:lang w:eastAsia="zh-CN"/>
        </w:rPr>
        <w:t>。</w:t>
      </w:r>
    </w:p>
    <w:p>
      <w:pPr>
        <w:tabs>
          <w:tab w:val="left" w:pos="900"/>
        </w:tabs>
        <w:spacing w:before="156" w:beforeLines="50" w:line="360" w:lineRule="auto"/>
        <w:ind w:firstLine="420" w:firstLineChars="200"/>
        <w:rPr>
          <w:rFonts w:hint="eastAsia" w:hAnsi="宋体" w:eastAsia="宋体"/>
          <w:szCs w:val="21"/>
          <w:highlight w:val="none"/>
          <w:lang w:eastAsia="zh-CN"/>
        </w:rPr>
      </w:pPr>
      <w:r>
        <w:rPr>
          <w:rFonts w:hint="eastAsia" w:hAnsi="宋体"/>
          <w:szCs w:val="21"/>
          <w:highlight w:val="none"/>
        </w:rPr>
        <w:t>（2）</w:t>
      </w:r>
      <w:r>
        <w:rPr>
          <w:rFonts w:hint="eastAsia" w:hAnsi="宋体"/>
          <w:szCs w:val="21"/>
          <w:highlight w:val="none"/>
          <w:lang w:eastAsia="zh-CN"/>
        </w:rPr>
        <w:t>测点数据</w:t>
      </w:r>
      <w:r>
        <w:rPr>
          <w:rFonts w:hint="eastAsia" w:hAnsi="宋体"/>
          <w:szCs w:val="21"/>
          <w:highlight w:val="none"/>
          <w:lang w:val="en-US" w:eastAsia="zh-CN"/>
        </w:rPr>
        <w:t>接入：</w:t>
      </w:r>
      <w:r>
        <w:rPr>
          <w:rFonts w:hint="eastAsia" w:hAnsi="宋体"/>
          <w:szCs w:val="21"/>
          <w:highlight w:val="none"/>
          <w:lang w:eastAsia="zh-CN"/>
        </w:rPr>
        <w:t>批量接入10000</w:t>
      </w:r>
      <w:r>
        <w:rPr>
          <w:rFonts w:hint="eastAsia" w:hAnsi="宋体"/>
          <w:szCs w:val="21"/>
          <w:highlight w:val="none"/>
          <w:lang w:val="en-US" w:eastAsia="zh-CN"/>
        </w:rPr>
        <w:t>点</w:t>
      </w:r>
      <w:r>
        <w:rPr>
          <w:rFonts w:hint="eastAsia" w:hAnsi="宋体"/>
          <w:szCs w:val="21"/>
          <w:highlight w:val="none"/>
          <w:lang w:eastAsia="zh-CN"/>
        </w:rPr>
        <w:t>/10ms，</w:t>
      </w:r>
      <w:r>
        <w:rPr>
          <w:rFonts w:hint="eastAsia" w:hAnsi="宋体"/>
          <w:szCs w:val="21"/>
          <w:highlight w:val="none"/>
          <w:lang w:val="en-US" w:eastAsia="zh-CN"/>
        </w:rPr>
        <w:t>单点</w:t>
      </w:r>
      <w:r>
        <w:rPr>
          <w:rFonts w:hint="eastAsia" w:hAnsi="宋体"/>
          <w:szCs w:val="21"/>
          <w:highlight w:val="none"/>
          <w:lang w:eastAsia="zh-CN"/>
        </w:rPr>
        <w:t>接入：10000</w:t>
      </w:r>
      <w:r>
        <w:rPr>
          <w:rFonts w:hint="eastAsia" w:hAnsi="宋体"/>
          <w:szCs w:val="21"/>
          <w:highlight w:val="none"/>
          <w:lang w:val="en-US" w:eastAsia="zh-CN"/>
        </w:rPr>
        <w:t>点</w:t>
      </w:r>
      <w:r>
        <w:rPr>
          <w:rFonts w:hint="eastAsia" w:hAnsi="宋体"/>
          <w:szCs w:val="21"/>
          <w:highlight w:val="none"/>
          <w:lang w:eastAsia="zh-CN"/>
        </w:rPr>
        <w:t>/s。</w:t>
      </w:r>
    </w:p>
    <w:p>
      <w:pPr>
        <w:tabs>
          <w:tab w:val="left" w:pos="900"/>
        </w:tabs>
        <w:spacing w:before="156" w:beforeLines="50" w:line="360" w:lineRule="auto"/>
        <w:ind w:firstLine="420" w:firstLineChars="200"/>
        <w:rPr>
          <w:rFonts w:hint="eastAsia" w:hAnsi="宋体" w:eastAsia="宋体"/>
          <w:szCs w:val="21"/>
          <w:lang w:eastAsia="zh-CN"/>
        </w:rPr>
      </w:pPr>
      <w:r>
        <w:rPr>
          <w:rFonts w:hint="eastAsia" w:hAnsi="宋体"/>
          <w:szCs w:val="21"/>
        </w:rPr>
        <w:t>2、 定子功能模块应包括绕组温度及空心线堵塞诊断评估功能，具体包括：</w:t>
      </w:r>
    </w:p>
    <w:p>
      <w:pPr>
        <w:tabs>
          <w:tab w:val="left" w:pos="900"/>
        </w:tabs>
        <w:spacing w:before="156" w:beforeLines="50" w:line="360" w:lineRule="auto"/>
        <w:ind w:firstLine="420" w:firstLineChars="200"/>
        <w:rPr>
          <w:rFonts w:hAnsi="宋体"/>
          <w:szCs w:val="21"/>
        </w:rPr>
      </w:pPr>
      <w:r>
        <w:rPr>
          <w:rFonts w:hint="eastAsia" w:hAnsi="宋体"/>
          <w:szCs w:val="21"/>
        </w:rPr>
        <w:t>（1）汇集发电机实时运行工况监测数据，计算输出发电机各定子绕组出水温度理论正常值，并以此评估各实际运行值，实现时间维度（实时工况）与空间维度（各物理测点）的动态标准异常预警。</w:t>
      </w:r>
    </w:p>
    <w:p>
      <w:pPr>
        <w:tabs>
          <w:tab w:val="left" w:pos="900"/>
        </w:tabs>
        <w:spacing w:before="156" w:beforeLines="50" w:line="360" w:lineRule="auto"/>
        <w:ind w:firstLine="420" w:firstLineChars="200"/>
        <w:rPr>
          <w:rFonts w:hAnsi="宋体"/>
          <w:szCs w:val="21"/>
        </w:rPr>
      </w:pPr>
      <w:r>
        <w:rPr>
          <w:rFonts w:hint="eastAsia" w:hAnsi="宋体"/>
          <w:szCs w:val="21"/>
        </w:rPr>
        <w:t>（2）利用发电机实时运行工况，计算输出发电机各定子绕组层间温度理论正常值，并以此评估各实际运行值，实现时间维度（实时工况）与空间维度（各物理测点）的动态标准异常预警。</w:t>
      </w:r>
    </w:p>
    <w:p>
      <w:pPr>
        <w:tabs>
          <w:tab w:val="left" w:pos="900"/>
        </w:tabs>
        <w:spacing w:before="156" w:beforeLines="50" w:line="360" w:lineRule="auto"/>
        <w:ind w:firstLine="420" w:firstLineChars="200"/>
        <w:rPr>
          <w:rFonts w:hAnsi="宋体"/>
          <w:szCs w:val="21"/>
        </w:rPr>
      </w:pPr>
      <w:r>
        <w:rPr>
          <w:rFonts w:hint="eastAsia" w:hAnsi="宋体"/>
          <w:szCs w:val="21"/>
        </w:rPr>
        <w:t>（3）利用定子绕组出水温度与层间温度异常预警，结合发电机定子绕组渐开线连接物理结构，实现发电机定子线棒过热定位及发电机定子空心线堵塞诊断。</w:t>
      </w:r>
    </w:p>
    <w:p>
      <w:pPr>
        <w:tabs>
          <w:tab w:val="left" w:pos="900"/>
        </w:tabs>
        <w:spacing w:before="156" w:beforeLines="50" w:line="360" w:lineRule="auto"/>
        <w:ind w:firstLine="420" w:firstLineChars="200"/>
        <w:rPr>
          <w:rFonts w:hAnsi="宋体"/>
          <w:szCs w:val="21"/>
        </w:rPr>
      </w:pPr>
      <w:r>
        <w:rPr>
          <w:rFonts w:hint="eastAsia" w:hAnsi="宋体"/>
          <w:szCs w:val="21"/>
        </w:rPr>
        <w:t>（4）结合预警和诊断情况，进行发电机运行状态评估，并提供运行及检修建议。</w:t>
      </w:r>
    </w:p>
    <w:p>
      <w:pPr>
        <w:tabs>
          <w:tab w:val="left" w:pos="900"/>
        </w:tabs>
        <w:spacing w:before="156" w:beforeLines="50" w:line="360" w:lineRule="auto"/>
        <w:ind w:firstLine="420" w:firstLineChars="200"/>
        <w:rPr>
          <w:rFonts w:hAnsi="宋体"/>
          <w:szCs w:val="21"/>
        </w:rPr>
      </w:pPr>
      <w:r>
        <w:rPr>
          <w:rFonts w:hint="eastAsia" w:hAnsi="宋体"/>
          <w:szCs w:val="21"/>
        </w:rPr>
        <w:t>该功能模块应达到以下预定目标：</w:t>
      </w:r>
    </w:p>
    <w:p>
      <w:pPr>
        <w:tabs>
          <w:tab w:val="left" w:pos="900"/>
        </w:tabs>
        <w:spacing w:before="156" w:beforeLines="50" w:line="360" w:lineRule="auto"/>
        <w:ind w:firstLine="420" w:firstLineChars="200"/>
        <w:rPr>
          <w:rFonts w:hAnsi="宋体"/>
          <w:szCs w:val="21"/>
        </w:rPr>
      </w:pPr>
      <w:r>
        <w:rPr>
          <w:rFonts w:hint="eastAsia" w:hAnsi="宋体"/>
          <w:szCs w:val="21"/>
        </w:rPr>
        <w:t>（1）计算输出各定子绕组出水温度理论正常值，及各出水温度实时动态标准异常预警情况。</w:t>
      </w:r>
    </w:p>
    <w:p>
      <w:pPr>
        <w:tabs>
          <w:tab w:val="left" w:pos="900"/>
        </w:tabs>
        <w:spacing w:before="156" w:beforeLines="50" w:line="360" w:lineRule="auto"/>
        <w:ind w:firstLine="420" w:firstLineChars="200"/>
        <w:rPr>
          <w:rFonts w:hAnsi="宋体"/>
          <w:szCs w:val="21"/>
        </w:rPr>
      </w:pPr>
      <w:r>
        <w:rPr>
          <w:rFonts w:hint="eastAsia" w:hAnsi="宋体"/>
          <w:szCs w:val="21"/>
        </w:rPr>
        <w:t>（2）计算输出各定子绕组层间温度理论正常值，及各出水温度实时动态标准异常预警情况。</w:t>
      </w:r>
    </w:p>
    <w:p>
      <w:pPr>
        <w:tabs>
          <w:tab w:val="left" w:pos="900"/>
        </w:tabs>
        <w:spacing w:before="156" w:beforeLines="50" w:line="360" w:lineRule="auto"/>
        <w:ind w:firstLine="420" w:firstLineChars="200"/>
        <w:rPr>
          <w:rFonts w:hAnsi="宋体"/>
          <w:szCs w:val="21"/>
        </w:rPr>
      </w:pPr>
      <w:r>
        <w:rPr>
          <w:rFonts w:hint="eastAsia" w:hAnsi="宋体"/>
          <w:szCs w:val="21"/>
        </w:rPr>
        <w:t>（3）输出展示发电机定子线棒过热及发电机定子空心线堵塞情况。</w:t>
      </w:r>
    </w:p>
    <w:p>
      <w:pPr>
        <w:tabs>
          <w:tab w:val="left" w:pos="900"/>
        </w:tabs>
        <w:spacing w:before="156" w:beforeLines="50" w:line="360" w:lineRule="auto"/>
        <w:ind w:firstLine="420" w:firstLineChars="200"/>
        <w:rPr>
          <w:rFonts w:hAnsi="宋体"/>
          <w:szCs w:val="21"/>
        </w:rPr>
      </w:pPr>
      <w:r>
        <w:rPr>
          <w:rFonts w:hint="eastAsia" w:hAnsi="宋体"/>
          <w:szCs w:val="21"/>
        </w:rPr>
        <w:t>（4）结合预警和诊断情况，输出展示运行及检修建议。</w:t>
      </w:r>
    </w:p>
    <w:p>
      <w:pPr>
        <w:tabs>
          <w:tab w:val="left" w:pos="900"/>
        </w:tabs>
        <w:spacing w:before="156" w:beforeLines="50" w:line="360" w:lineRule="auto"/>
        <w:ind w:firstLine="420" w:firstLineChars="200"/>
        <w:rPr>
          <w:rFonts w:hAnsi="宋体"/>
          <w:szCs w:val="21"/>
        </w:rPr>
      </w:pPr>
      <w:r>
        <w:rPr>
          <w:rFonts w:hint="eastAsia" w:hAnsi="宋体"/>
          <w:szCs w:val="21"/>
        </w:rPr>
        <w:t>（5）结合三维模型及二维图表等形式，对定子绕组温度状态进行综合呈现，帮助电厂运维人员尽快定位异常故障点，提高运维监控及故障分析排查效率。</w:t>
      </w:r>
    </w:p>
    <w:p>
      <w:pPr>
        <w:tabs>
          <w:tab w:val="left" w:pos="900"/>
        </w:tabs>
        <w:spacing w:before="156" w:beforeLines="50" w:line="360" w:lineRule="auto"/>
        <w:ind w:firstLine="420" w:firstLineChars="200"/>
        <w:rPr>
          <w:rFonts w:hAnsi="宋体"/>
          <w:szCs w:val="21"/>
        </w:rPr>
      </w:pPr>
      <w:r>
        <w:rPr>
          <w:rFonts w:hint="eastAsia" w:hAnsi="宋体"/>
          <w:szCs w:val="21"/>
        </w:rPr>
        <w:t>3、转子功能模块主要为转子匝间短路综合在线诊断功能，具体包括：</w:t>
      </w:r>
    </w:p>
    <w:p>
      <w:pPr>
        <w:tabs>
          <w:tab w:val="left" w:pos="900"/>
        </w:tabs>
        <w:spacing w:before="156" w:beforeLines="50" w:line="360" w:lineRule="auto"/>
        <w:ind w:firstLine="420" w:firstLineChars="200"/>
        <w:rPr>
          <w:rFonts w:hAnsi="宋体"/>
          <w:szCs w:val="21"/>
        </w:rPr>
      </w:pPr>
      <w:r>
        <w:rPr>
          <w:rFonts w:hint="eastAsia" w:hAnsi="宋体"/>
          <w:szCs w:val="21"/>
        </w:rPr>
        <w:t>（1）结合转子励磁电流、转子振动及匝间短路探测装置等数据，以及预警情况，实现转子匝间短路综合在线诊断。</w:t>
      </w:r>
    </w:p>
    <w:p>
      <w:pPr>
        <w:tabs>
          <w:tab w:val="left" w:pos="900"/>
        </w:tabs>
        <w:spacing w:before="156" w:beforeLines="50" w:line="360" w:lineRule="auto"/>
        <w:ind w:firstLine="420" w:firstLineChars="200"/>
        <w:rPr>
          <w:rFonts w:hAnsi="宋体"/>
          <w:szCs w:val="21"/>
        </w:rPr>
      </w:pPr>
      <w:r>
        <w:rPr>
          <w:rFonts w:hint="eastAsia" w:hAnsi="宋体"/>
          <w:szCs w:val="21"/>
        </w:rPr>
        <w:t>（2）结合诊断情况，评估发电机转子运行状态，并提供运行及检修建议。</w:t>
      </w:r>
    </w:p>
    <w:p>
      <w:pPr>
        <w:tabs>
          <w:tab w:val="left" w:pos="900"/>
        </w:tabs>
        <w:spacing w:before="156" w:beforeLines="50" w:line="360" w:lineRule="auto"/>
        <w:ind w:firstLine="420" w:firstLineChars="200"/>
        <w:rPr>
          <w:rFonts w:hAnsi="宋体"/>
          <w:szCs w:val="21"/>
        </w:rPr>
      </w:pPr>
      <w:r>
        <w:rPr>
          <w:rFonts w:hint="eastAsia" w:hAnsi="宋体"/>
          <w:szCs w:val="21"/>
        </w:rPr>
        <w:t>该功能模块应达到以下预定目标：</w:t>
      </w:r>
    </w:p>
    <w:p>
      <w:pPr>
        <w:tabs>
          <w:tab w:val="left" w:pos="900"/>
        </w:tabs>
        <w:spacing w:before="156" w:beforeLines="50" w:line="360" w:lineRule="auto"/>
        <w:ind w:firstLine="420" w:firstLineChars="200"/>
        <w:rPr>
          <w:rFonts w:hAnsi="宋体"/>
          <w:szCs w:val="21"/>
        </w:rPr>
      </w:pPr>
      <w:r>
        <w:rPr>
          <w:rFonts w:hint="eastAsia" w:hAnsi="宋体"/>
          <w:szCs w:val="21"/>
        </w:rPr>
        <w:t>（1）展示转子励磁电流理论正常值及预警情况。</w:t>
      </w:r>
    </w:p>
    <w:p>
      <w:pPr>
        <w:tabs>
          <w:tab w:val="left" w:pos="900"/>
        </w:tabs>
        <w:spacing w:before="156" w:beforeLines="50" w:line="360" w:lineRule="auto"/>
        <w:ind w:firstLine="420" w:firstLineChars="200"/>
        <w:rPr>
          <w:rFonts w:hAnsi="宋体"/>
          <w:szCs w:val="21"/>
        </w:rPr>
      </w:pPr>
      <w:r>
        <w:rPr>
          <w:rFonts w:hint="eastAsia" w:hAnsi="宋体"/>
          <w:szCs w:val="21"/>
        </w:rPr>
        <w:t>（2）汇集输出展示转子匝间短路综合预警及诊断情况。</w:t>
      </w:r>
    </w:p>
    <w:p>
      <w:pPr>
        <w:tabs>
          <w:tab w:val="left" w:pos="900"/>
        </w:tabs>
        <w:spacing w:before="156" w:beforeLines="50" w:line="360" w:lineRule="auto"/>
        <w:ind w:firstLine="420" w:firstLineChars="200"/>
        <w:rPr>
          <w:rFonts w:hAnsi="宋体"/>
          <w:szCs w:val="21"/>
        </w:rPr>
      </w:pPr>
      <w:r>
        <w:rPr>
          <w:rFonts w:hint="eastAsia" w:hAnsi="宋体"/>
          <w:szCs w:val="21"/>
        </w:rPr>
        <w:t>（3）输出展示运行及检修建议。</w:t>
      </w:r>
    </w:p>
    <w:p>
      <w:pPr>
        <w:tabs>
          <w:tab w:val="left" w:pos="900"/>
        </w:tabs>
        <w:spacing w:before="156" w:beforeLines="50" w:line="360" w:lineRule="auto"/>
        <w:ind w:firstLine="420" w:firstLineChars="200"/>
        <w:rPr>
          <w:rFonts w:hAnsi="宋体"/>
          <w:szCs w:val="21"/>
        </w:rPr>
      </w:pPr>
      <w:r>
        <w:rPr>
          <w:rFonts w:hint="eastAsia" w:hAnsi="宋体"/>
          <w:szCs w:val="21"/>
        </w:rPr>
        <w:t>（4）结合三维模型、平面图表等多种形式，对转子匝间绝缘状态进行综合呈现，帮助电厂运维人员尽快定位异常故障点，提高运维监控及故障分析排查效率。</w:t>
      </w:r>
    </w:p>
    <w:p>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pPr>
        <w:numPr>
          <w:ilvl w:val="0"/>
          <w:numId w:val="2"/>
        </w:numPr>
        <w:tabs>
          <w:tab w:val="left" w:pos="900"/>
        </w:tabs>
        <w:spacing w:before="156" w:beforeLines="50" w:line="360" w:lineRule="auto"/>
        <w:rPr>
          <w:rFonts w:ascii="宋体" w:hAnsi="宋体"/>
          <w:szCs w:val="21"/>
        </w:rPr>
      </w:pPr>
      <w:r>
        <w:rPr>
          <w:rFonts w:hint="eastAsia" w:ascii="宋体" w:hAnsi="宋体"/>
          <w:szCs w:val="21"/>
        </w:rPr>
        <w:t>质保期：</w:t>
      </w:r>
      <w:r>
        <w:rPr>
          <w:rFonts w:hint="eastAsia" w:ascii="宋体" w:hAnsi="宋体"/>
          <w:szCs w:val="21"/>
          <w:highlight w:val="none"/>
        </w:rPr>
        <w:t xml:space="preserve"> </w:t>
      </w:r>
      <w:r>
        <w:rPr>
          <w:rFonts w:ascii="宋体" w:hAnsi="宋体"/>
          <w:szCs w:val="21"/>
          <w:highlight w:val="none"/>
          <w:u w:val="single"/>
        </w:rPr>
        <w:t xml:space="preserve">  3 </w:t>
      </w:r>
      <w:r>
        <w:rPr>
          <w:rFonts w:hint="eastAsia" w:ascii="宋体" w:hAnsi="宋体"/>
          <w:szCs w:val="21"/>
          <w:highlight w:val="none"/>
        </w:rPr>
        <w:t>年，</w:t>
      </w:r>
      <w:r>
        <w:rPr>
          <w:rFonts w:ascii="宋体" w:hAnsi="宋体" w:cs="宋体"/>
          <w:highlight w:val="none"/>
        </w:rPr>
        <w:t>质</w:t>
      </w:r>
      <w:r>
        <w:rPr>
          <w:rFonts w:ascii="宋体" w:hAnsi="宋体" w:cs="宋体"/>
        </w:rPr>
        <w:t>保期内免费维保2次/年，免人工服务费。</w:t>
      </w:r>
      <w:r>
        <w:rPr>
          <w:rFonts w:hint="eastAsia" w:ascii="宋体" w:hAnsi="宋体"/>
          <w:szCs w:val="21"/>
        </w:rPr>
        <w:t>质保期满后，仍需提供专业维修服务，投标人在投标文件中需注明维修服务单项报价。</w:t>
      </w:r>
    </w:p>
    <w:p>
      <w:pPr>
        <w:numPr>
          <w:ilvl w:val="0"/>
          <w:numId w:val="2"/>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w:t>
      </w:r>
      <w:r>
        <w:rPr>
          <w:rFonts w:ascii="宋体" w:hAnsi="宋体"/>
          <w:szCs w:val="21"/>
        </w:rPr>
        <w:t>24</w:t>
      </w:r>
      <w:r>
        <w:rPr>
          <w:rFonts w:hint="eastAsia" w:ascii="宋体" w:hAnsi="宋体"/>
          <w:szCs w:val="21"/>
        </w:rPr>
        <w:t>小时内到达现场维修。维修人员到现场后若问题特殊无法现场修复的，供货方需在24小时内给出合理解决方案。</w:t>
      </w:r>
    </w:p>
    <w:p>
      <w:pPr>
        <w:pStyle w:val="20"/>
        <w:numPr>
          <w:ilvl w:val="0"/>
          <w:numId w:val="2"/>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 xml:space="preserve">提供培训电子资料及视频；供方免费为用户培训至少 </w:t>
      </w:r>
      <w:r>
        <w:rPr>
          <w:rFonts w:hint="eastAsia" w:ascii="宋体" w:hAnsi="宋体" w:cs="宋体"/>
        </w:rPr>
        <w:t>2</w:t>
      </w:r>
      <w:r>
        <w:rPr>
          <w:rFonts w:ascii="宋体" w:hAnsi="宋体" w:cs="宋体"/>
        </w:rPr>
        <w:t xml:space="preserve"> 名操作人员进行为期至少 </w:t>
      </w:r>
      <w:r>
        <w:rPr>
          <w:rFonts w:hint="eastAsia" w:ascii="宋体" w:hAnsi="宋体" w:cs="宋体"/>
        </w:rPr>
        <w:t>2</w:t>
      </w:r>
      <w:r>
        <w:rPr>
          <w:rFonts w:ascii="宋体" w:hAnsi="宋体" w:cs="宋体"/>
        </w:rPr>
        <w:t xml:space="preserve"> 天的现场操作培训以及应用培训，保证用户掌握有关设备的使用、维护、管理和应用等工作要求。不定期的免费提供相关设备应用方面的技术咨询等。 </w:t>
      </w:r>
    </w:p>
    <w:p>
      <w:pPr>
        <w:tabs>
          <w:tab w:val="left" w:pos="420"/>
          <w:tab w:val="left" w:pos="900"/>
        </w:tabs>
        <w:spacing w:before="156" w:beforeLines="50" w:line="360" w:lineRule="auto"/>
        <w:ind w:left="420"/>
        <w:rPr>
          <w:rFonts w:ascii="宋体" w:hAnsi="宋体"/>
          <w:b/>
          <w:szCs w:val="21"/>
        </w:rPr>
      </w:pPr>
    </w:p>
    <w:p>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pPr>
              <w:widowControl/>
              <w:jc w:val="center"/>
              <w:textAlignment w:val="baseline"/>
              <w:rPr>
                <w:color w:val="000000"/>
                <w:kern w:val="0"/>
                <w:sz w:val="20"/>
                <w:szCs w:val="21"/>
              </w:rPr>
            </w:pPr>
            <w:r>
              <w:rPr>
                <w:color w:val="000000"/>
                <w:kern w:val="0"/>
                <w:sz w:val="20"/>
                <w:szCs w:val="21"/>
              </w:rPr>
              <w:t>现场的检验指标及方法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pPr>
              <w:widowControl/>
              <w:jc w:val="center"/>
              <w:textAlignment w:val="baseline"/>
              <w:rPr>
                <w:color w:val="000000"/>
                <w:kern w:val="0"/>
                <w:sz w:val="20"/>
                <w:szCs w:val="21"/>
              </w:rPr>
            </w:pPr>
            <w:r>
              <w:rPr>
                <w:color w:val="000000"/>
                <w:kern w:val="0"/>
                <w:sz w:val="20"/>
                <w:szCs w:val="2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highlight w:val="none"/>
              </w:rPr>
            </w:pPr>
            <w:r>
              <w:rPr>
                <w:color w:val="000000"/>
                <w:kern w:val="0"/>
                <w:sz w:val="20"/>
                <w:szCs w:val="21"/>
                <w:highlight w:val="none"/>
              </w:rPr>
              <w:t>1</w:t>
            </w:r>
          </w:p>
        </w:tc>
        <w:tc>
          <w:tcPr>
            <w:tcW w:w="3507" w:type="dxa"/>
            <w:vAlign w:val="center"/>
          </w:tcPr>
          <w:p>
            <w:pPr>
              <w:widowControl/>
              <w:textAlignment w:val="baseline"/>
              <w:rPr>
                <w:color w:val="000000"/>
                <w:kern w:val="0"/>
                <w:sz w:val="18"/>
                <w:szCs w:val="18"/>
                <w:highlight w:val="none"/>
              </w:rPr>
            </w:pPr>
            <w:r>
              <w:rPr>
                <w:rFonts w:hint="eastAsia"/>
                <w:color w:val="000000"/>
                <w:kern w:val="0"/>
                <w:sz w:val="18"/>
                <w:szCs w:val="18"/>
                <w:highlight w:val="none"/>
              </w:rPr>
              <w:t>软件系统部署到位，并正常运行。</w:t>
            </w:r>
          </w:p>
        </w:tc>
        <w:tc>
          <w:tcPr>
            <w:tcW w:w="4368" w:type="dxa"/>
            <w:gridSpan w:val="2"/>
            <w:vAlign w:val="center"/>
          </w:tcPr>
          <w:p>
            <w:pPr>
              <w:widowControl/>
              <w:jc w:val="left"/>
              <w:textAlignment w:val="baseline"/>
              <w:rPr>
                <w:color w:val="000000"/>
                <w:kern w:val="0"/>
                <w:sz w:val="18"/>
                <w:szCs w:val="18"/>
                <w:highlight w:val="none"/>
              </w:rPr>
            </w:pPr>
            <w:r>
              <w:rPr>
                <w:color w:val="000000"/>
                <w:kern w:val="0"/>
                <w:sz w:val="18"/>
                <w:szCs w:val="18"/>
                <w:highlight w:val="none"/>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highlight w:val="none"/>
              </w:rPr>
            </w:pPr>
            <w:r>
              <w:rPr>
                <w:color w:val="000000"/>
                <w:kern w:val="0"/>
                <w:sz w:val="20"/>
                <w:szCs w:val="21"/>
                <w:highlight w:val="none"/>
              </w:rPr>
              <w:t>2</w:t>
            </w:r>
          </w:p>
        </w:tc>
        <w:tc>
          <w:tcPr>
            <w:tcW w:w="3507" w:type="dxa"/>
            <w:vAlign w:val="center"/>
          </w:tcPr>
          <w:p>
            <w:pPr>
              <w:widowControl/>
              <w:textAlignment w:val="baseline"/>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color w:val="000000"/>
                <w:kern w:val="0"/>
                <w:sz w:val="18"/>
                <w:szCs w:val="18"/>
                <w:highlight w:val="none"/>
              </w:rPr>
              <w:t>所有功能和指标参数</w:t>
            </w:r>
            <w:r>
              <w:rPr>
                <w:rFonts w:hint="eastAsia"/>
                <w:color w:val="000000"/>
                <w:kern w:val="0"/>
                <w:sz w:val="18"/>
                <w:szCs w:val="18"/>
                <w:highlight w:val="none"/>
              </w:rPr>
              <w:t>（</w:t>
            </w:r>
            <w:r>
              <w:rPr>
                <w:color w:val="000000"/>
                <w:kern w:val="0"/>
                <w:sz w:val="18"/>
                <w:szCs w:val="18"/>
                <w:highlight w:val="none"/>
              </w:rPr>
              <w:t>包括边界极限值</w:t>
            </w:r>
            <w:r>
              <w:rPr>
                <w:rFonts w:hint="eastAsia"/>
                <w:color w:val="000000"/>
                <w:kern w:val="0"/>
                <w:sz w:val="18"/>
                <w:szCs w:val="18"/>
                <w:highlight w:val="none"/>
              </w:rPr>
              <w:t>）</w:t>
            </w:r>
            <w:r>
              <w:rPr>
                <w:color w:val="000000"/>
                <w:kern w:val="0"/>
                <w:sz w:val="18"/>
                <w:szCs w:val="18"/>
                <w:highlight w:val="none"/>
              </w:rPr>
              <w:t>达到采购</w:t>
            </w:r>
            <w:r>
              <w:rPr>
                <w:rFonts w:hint="eastAsia"/>
                <w:color w:val="000000"/>
                <w:kern w:val="0"/>
                <w:sz w:val="18"/>
                <w:szCs w:val="18"/>
                <w:highlight w:val="none"/>
              </w:rPr>
              <w:t>结果合同约定</w:t>
            </w:r>
            <w:r>
              <w:rPr>
                <w:color w:val="000000"/>
                <w:kern w:val="0"/>
                <w:sz w:val="18"/>
                <w:szCs w:val="18"/>
                <w:highlight w:val="none"/>
              </w:rPr>
              <w:t>要求</w:t>
            </w:r>
            <w:r>
              <w:rPr>
                <w:rFonts w:hint="eastAsia"/>
                <w:color w:val="000000"/>
                <w:kern w:val="0"/>
                <w:sz w:val="18"/>
                <w:szCs w:val="18"/>
                <w:highlight w:val="none"/>
              </w:rPr>
              <w:t>。</w:t>
            </w:r>
          </w:p>
        </w:tc>
        <w:tc>
          <w:tcPr>
            <w:tcW w:w="4368" w:type="dxa"/>
            <w:gridSpan w:val="2"/>
            <w:vAlign w:val="center"/>
          </w:tcPr>
          <w:p>
            <w:pPr>
              <w:rPr>
                <w:rFonts w:ascii="Times New Roman" w:hAnsi="宋体" w:eastAsia="宋体" w:cs="Times New Roman"/>
                <w:kern w:val="0"/>
                <w:sz w:val="20"/>
                <w:szCs w:val="21"/>
                <w:highlight w:val="none"/>
                <w:lang w:val="en-US" w:eastAsia="zh-CN" w:bidi="ar-SA"/>
              </w:rPr>
            </w:pPr>
            <w:r>
              <w:rPr>
                <w:rFonts w:hint="eastAsia"/>
                <w:color w:val="000000"/>
                <w:kern w:val="0"/>
                <w:sz w:val="18"/>
                <w:szCs w:val="18"/>
                <w:highlight w:val="none"/>
              </w:rPr>
              <w:t>依据《合同》及其附件（包括但不限于《采购需求》《供应商投标（响应）文件》《投标澄清函》《技术协议》等）约定，</w:t>
            </w:r>
            <w:r>
              <w:rPr>
                <w:color w:val="000000"/>
                <w:kern w:val="0"/>
                <w:sz w:val="18"/>
                <w:szCs w:val="18"/>
                <w:highlight w:val="none"/>
              </w:rPr>
              <w:t>现场测试</w:t>
            </w:r>
            <w:r>
              <w:rPr>
                <w:rFonts w:hint="eastAsia"/>
                <w:color w:val="000000"/>
                <w:kern w:val="0"/>
                <w:sz w:val="18"/>
                <w:szCs w:val="18"/>
                <w:highlight w:val="none"/>
              </w:rPr>
              <w:t>，供应商应</w:t>
            </w:r>
            <w:r>
              <w:rPr>
                <w:color w:val="000000"/>
                <w:kern w:val="0"/>
                <w:sz w:val="18"/>
                <w:szCs w:val="18"/>
                <w:highlight w:val="none"/>
              </w:rPr>
              <w:t>提供</w:t>
            </w:r>
            <w:r>
              <w:rPr>
                <w:rFonts w:hint="eastAsia"/>
                <w:color w:val="000000"/>
                <w:kern w:val="0"/>
                <w:sz w:val="18"/>
                <w:szCs w:val="18"/>
                <w:highlight w:val="none"/>
              </w:rPr>
              <w:t>《产品出厂检测报告》和根据合同约定提供《第三方检测报告》。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highlight w:val="none"/>
              </w:rPr>
            </w:pPr>
            <w:r>
              <w:rPr>
                <w:color w:val="000000"/>
                <w:kern w:val="0"/>
                <w:sz w:val="20"/>
                <w:szCs w:val="21"/>
                <w:highlight w:val="none"/>
              </w:rPr>
              <w:t>3</w:t>
            </w:r>
          </w:p>
        </w:tc>
        <w:tc>
          <w:tcPr>
            <w:tcW w:w="3507" w:type="dxa"/>
            <w:vAlign w:val="center"/>
          </w:tcPr>
          <w:p>
            <w:pPr>
              <w:widowControl/>
              <w:textAlignment w:val="baseline"/>
              <w:rPr>
                <w:rFonts w:ascii="Times New Roman" w:hAnsi="Times New Roman" w:eastAsia="宋体" w:cs="Times New Roman"/>
                <w:color w:val="000000"/>
                <w:kern w:val="0"/>
                <w:sz w:val="18"/>
                <w:szCs w:val="18"/>
                <w:highlight w:val="none"/>
                <w:lang w:val="en-US" w:eastAsia="zh-CN" w:bidi="ar-SA"/>
              </w:rPr>
            </w:pPr>
            <w:r>
              <w:rPr>
                <w:color w:val="000000"/>
                <w:kern w:val="0"/>
                <w:sz w:val="18"/>
                <w:szCs w:val="18"/>
                <w:highlight w:val="none"/>
              </w:rPr>
              <w:t>提供</w:t>
            </w:r>
            <w:r>
              <w:rPr>
                <w:rFonts w:hint="eastAsia"/>
                <w:color w:val="000000"/>
                <w:kern w:val="0"/>
                <w:sz w:val="18"/>
                <w:szCs w:val="18"/>
                <w:highlight w:val="none"/>
              </w:rPr>
              <w:t>《培训视频》影像资料</w:t>
            </w:r>
          </w:p>
        </w:tc>
        <w:tc>
          <w:tcPr>
            <w:tcW w:w="4368" w:type="dxa"/>
            <w:gridSpan w:val="2"/>
            <w:vAlign w:val="center"/>
          </w:tcPr>
          <w:p>
            <w:pPr>
              <w:widowControl/>
              <w:textAlignment w:val="baseline"/>
              <w:rPr>
                <w:rFonts w:ascii="Times New Roman" w:hAnsi="Times New Roman" w:eastAsia="宋体" w:cs="Times New Roman"/>
                <w:color w:val="000000"/>
                <w:kern w:val="0"/>
                <w:sz w:val="18"/>
                <w:szCs w:val="18"/>
                <w:highlight w:val="none"/>
                <w:lang w:val="en-US" w:eastAsia="zh-CN" w:bidi="ar-SA"/>
              </w:rPr>
            </w:pPr>
            <w:r>
              <w:rPr>
                <w:color w:val="000000"/>
                <w:kern w:val="0"/>
                <w:sz w:val="18"/>
                <w:szCs w:val="18"/>
                <w:highlight w:val="none"/>
              </w:rPr>
              <w:t>现场核查</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pPr>
              <w:widowControl/>
              <w:textAlignment w:val="baseline"/>
              <w:rPr>
                <w:color w:val="000000"/>
                <w:kern w:val="0"/>
                <w:sz w:val="18"/>
                <w:szCs w:val="18"/>
              </w:rPr>
            </w:pPr>
          </w:p>
        </w:tc>
        <w:tc>
          <w:tcPr>
            <w:tcW w:w="4368" w:type="dxa"/>
            <w:gridSpan w:val="2"/>
            <w:vAlign w:val="center"/>
          </w:tcPr>
          <w:p>
            <w:pPr>
              <w:widowControl/>
              <w:textAlignment w:val="baseline"/>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pPr>
              <w:widowControl/>
              <w:textAlignment w:val="baseline"/>
              <w:rPr>
                <w:color w:val="000000"/>
                <w:kern w:val="0"/>
                <w:sz w:val="18"/>
                <w:szCs w:val="18"/>
              </w:rPr>
            </w:pPr>
            <w:r>
              <w:rPr>
                <w:rFonts w:hint="eastAsia"/>
                <w:color w:val="000000"/>
                <w:kern w:val="0"/>
                <w:sz w:val="18"/>
                <w:szCs w:val="18"/>
              </w:rPr>
              <w:t>提供《供应商货物类项目完工报告》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pPr>
              <w:widowControl/>
              <w:textAlignment w:val="baseline"/>
              <w:rPr>
                <w:color w:val="000000"/>
                <w:kern w:val="0"/>
                <w:sz w:val="20"/>
                <w:szCs w:val="21"/>
              </w:rPr>
            </w:pPr>
            <w:r>
              <w:rPr>
                <w:color w:val="000000"/>
                <w:kern w:val="0"/>
                <w:sz w:val="20"/>
                <w:szCs w:val="21"/>
              </w:rPr>
              <w:t>除现场验收外，需提供的其他验收要求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pPr>
              <w:widowControl/>
              <w:spacing w:line="450" w:lineRule="atLeast"/>
              <w:textAlignment w:val="baseline"/>
              <w:rPr>
                <w:color w:val="000000"/>
                <w:kern w:val="0"/>
                <w:sz w:val="20"/>
                <w:szCs w:val="21"/>
              </w:rPr>
            </w:pPr>
          </w:p>
        </w:tc>
        <w:tc>
          <w:tcPr>
            <w:tcW w:w="4368" w:type="dxa"/>
            <w:gridSpan w:val="2"/>
            <w:vAlign w:val="center"/>
          </w:tcPr>
          <w:p>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ED4A5"/>
    <w:multiLevelType w:val="singleLevel"/>
    <w:tmpl w:val="8D2ED4A5"/>
    <w:lvl w:ilvl="0" w:tentative="0">
      <w:start w:val="1"/>
      <w:numFmt w:val="decimal"/>
      <w:suff w:val="nothing"/>
      <w:lvlText w:val="%1、"/>
      <w:lvlJc w:val="left"/>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NmU0ZTNlZGM4ODgyYWI5Y2E1MDhlOWVhMjY3ZjcifQ=="/>
  </w:docVars>
  <w:rsids>
    <w:rsidRoot w:val="00A161FC"/>
    <w:rsid w:val="000170BA"/>
    <w:rsid w:val="00017C9A"/>
    <w:rsid w:val="00090056"/>
    <w:rsid w:val="000A209A"/>
    <w:rsid w:val="00105428"/>
    <w:rsid w:val="0012727F"/>
    <w:rsid w:val="00140AF0"/>
    <w:rsid w:val="001507CE"/>
    <w:rsid w:val="00157667"/>
    <w:rsid w:val="001609FC"/>
    <w:rsid w:val="0018461B"/>
    <w:rsid w:val="00195E56"/>
    <w:rsid w:val="001B712C"/>
    <w:rsid w:val="001C0880"/>
    <w:rsid w:val="001C41C3"/>
    <w:rsid w:val="001C7C84"/>
    <w:rsid w:val="0022142F"/>
    <w:rsid w:val="00237253"/>
    <w:rsid w:val="002815C8"/>
    <w:rsid w:val="002B3A1B"/>
    <w:rsid w:val="003113D4"/>
    <w:rsid w:val="00345D8D"/>
    <w:rsid w:val="00353EC3"/>
    <w:rsid w:val="0036352F"/>
    <w:rsid w:val="003649AF"/>
    <w:rsid w:val="00453832"/>
    <w:rsid w:val="004951D7"/>
    <w:rsid w:val="004A43F0"/>
    <w:rsid w:val="004E4B14"/>
    <w:rsid w:val="00501176"/>
    <w:rsid w:val="00510891"/>
    <w:rsid w:val="0053111A"/>
    <w:rsid w:val="00562C62"/>
    <w:rsid w:val="005633CE"/>
    <w:rsid w:val="00571ADE"/>
    <w:rsid w:val="005853E9"/>
    <w:rsid w:val="0059304A"/>
    <w:rsid w:val="005951EF"/>
    <w:rsid w:val="005C3DA0"/>
    <w:rsid w:val="005C5E5B"/>
    <w:rsid w:val="005F1571"/>
    <w:rsid w:val="005F401F"/>
    <w:rsid w:val="00611202"/>
    <w:rsid w:val="006237BE"/>
    <w:rsid w:val="0063432F"/>
    <w:rsid w:val="00636F27"/>
    <w:rsid w:val="00640733"/>
    <w:rsid w:val="006878E9"/>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60A39"/>
    <w:rsid w:val="00870113"/>
    <w:rsid w:val="00873F09"/>
    <w:rsid w:val="0088138E"/>
    <w:rsid w:val="0089621F"/>
    <w:rsid w:val="008C0BE7"/>
    <w:rsid w:val="008D094B"/>
    <w:rsid w:val="00902581"/>
    <w:rsid w:val="00912013"/>
    <w:rsid w:val="00925E61"/>
    <w:rsid w:val="00986BEE"/>
    <w:rsid w:val="0099177F"/>
    <w:rsid w:val="00995789"/>
    <w:rsid w:val="009A4FF7"/>
    <w:rsid w:val="009D3518"/>
    <w:rsid w:val="009E2D75"/>
    <w:rsid w:val="009F6CAB"/>
    <w:rsid w:val="009F7A2C"/>
    <w:rsid w:val="00A047F0"/>
    <w:rsid w:val="00A161FC"/>
    <w:rsid w:val="00A61746"/>
    <w:rsid w:val="00A765E9"/>
    <w:rsid w:val="00A865ED"/>
    <w:rsid w:val="00AA4FBB"/>
    <w:rsid w:val="00AB48E9"/>
    <w:rsid w:val="00AC005D"/>
    <w:rsid w:val="00AC6F95"/>
    <w:rsid w:val="00AE1AFA"/>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324D9"/>
    <w:rsid w:val="00D41788"/>
    <w:rsid w:val="00D56E82"/>
    <w:rsid w:val="00D94396"/>
    <w:rsid w:val="00DB54F5"/>
    <w:rsid w:val="00DB6ED1"/>
    <w:rsid w:val="00DC1928"/>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9789E"/>
    <w:rsid w:val="00FB00E1"/>
    <w:rsid w:val="00FC1111"/>
    <w:rsid w:val="00FC3BB8"/>
    <w:rsid w:val="00FE1B41"/>
    <w:rsid w:val="00FF21F2"/>
    <w:rsid w:val="00FF339E"/>
    <w:rsid w:val="00FF47AD"/>
    <w:rsid w:val="00FF698C"/>
    <w:rsid w:val="031E4624"/>
    <w:rsid w:val="0A9E76CB"/>
    <w:rsid w:val="1BC72B84"/>
    <w:rsid w:val="1E7446E9"/>
    <w:rsid w:val="240E268E"/>
    <w:rsid w:val="28EB3019"/>
    <w:rsid w:val="2AF77388"/>
    <w:rsid w:val="45322315"/>
    <w:rsid w:val="491C276C"/>
    <w:rsid w:val="4C316261"/>
    <w:rsid w:val="4FAF6015"/>
    <w:rsid w:val="515E041A"/>
    <w:rsid w:val="51F7377B"/>
    <w:rsid w:val="54987783"/>
    <w:rsid w:val="572764A8"/>
    <w:rsid w:val="57D41166"/>
    <w:rsid w:val="5BBD3112"/>
    <w:rsid w:val="5E0B00F1"/>
    <w:rsid w:val="71D36F94"/>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link w:val="14"/>
    <w:autoRedefine/>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3">
    <w:name w:val="annotation text"/>
    <w:basedOn w:val="1"/>
    <w:link w:val="23"/>
    <w:autoRedefine/>
    <w:unhideWhenUsed/>
    <w:qFormat/>
    <w:uiPriority w:val="99"/>
    <w:pPr>
      <w:jc w:val="left"/>
    </w:pPr>
  </w:style>
  <w:style w:type="paragraph" w:styleId="4">
    <w:name w:val="Plain Text"/>
    <w:basedOn w:val="1"/>
    <w:link w:val="13"/>
    <w:autoRedefine/>
    <w:qFormat/>
    <w:uiPriority w:val="0"/>
    <w:rPr>
      <w:rFonts w:ascii="宋体" w:hAnsi="Courier New" w:cstheme="minorBidi"/>
      <w:szCs w:val="22"/>
    </w:rPr>
  </w:style>
  <w:style w:type="paragraph" w:styleId="5">
    <w:name w:val="Balloon Text"/>
    <w:basedOn w:val="1"/>
    <w:link w:val="21"/>
    <w:autoRedefine/>
    <w:semiHidden/>
    <w:unhideWhenUsed/>
    <w:qFormat/>
    <w:uiPriority w:val="99"/>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5"/>
    <w:autoRedefine/>
    <w:qFormat/>
    <w:uiPriority w:val="0"/>
    <w:pPr>
      <w:spacing w:before="240" w:after="60"/>
      <w:jc w:val="center"/>
      <w:outlineLvl w:val="0"/>
    </w:pPr>
    <w:rPr>
      <w:rFonts w:ascii="Arial" w:hAnsi="Arial" w:cs="Arial"/>
      <w:b/>
      <w:bCs/>
      <w:sz w:val="32"/>
      <w:szCs w:val="32"/>
    </w:rPr>
  </w:style>
  <w:style w:type="paragraph" w:styleId="8">
    <w:name w:val="annotation subject"/>
    <w:basedOn w:val="3"/>
    <w:next w:val="3"/>
    <w:link w:val="24"/>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纯文本 字符"/>
    <w:link w:val="4"/>
    <w:autoRedefine/>
    <w:qFormat/>
    <w:uiPriority w:val="0"/>
    <w:rPr>
      <w:rFonts w:ascii="宋体" w:hAnsi="Courier New" w:eastAsia="宋体"/>
    </w:rPr>
  </w:style>
  <w:style w:type="character" w:customStyle="1" w:styleId="14">
    <w:name w:val="页脚 字符"/>
    <w:link w:val="2"/>
    <w:qFormat/>
    <w:uiPriority w:val="0"/>
    <w:rPr>
      <w:sz w:val="18"/>
    </w:rPr>
  </w:style>
  <w:style w:type="character" w:customStyle="1" w:styleId="15">
    <w:name w:val="标题 字符"/>
    <w:link w:val="7"/>
    <w:autoRedefine/>
    <w:qFormat/>
    <w:uiPriority w:val="0"/>
    <w:rPr>
      <w:rFonts w:ascii="Arial" w:hAnsi="Arial" w:eastAsia="宋体" w:cs="Arial"/>
      <w:b/>
      <w:bCs/>
      <w:sz w:val="32"/>
      <w:szCs w:val="32"/>
    </w:rPr>
  </w:style>
  <w:style w:type="character" w:customStyle="1" w:styleId="16">
    <w:name w:val="页脚 Char"/>
    <w:basedOn w:val="11"/>
    <w:autoRedefine/>
    <w:semiHidden/>
    <w:qFormat/>
    <w:uiPriority w:val="99"/>
    <w:rPr>
      <w:rFonts w:ascii="Times New Roman" w:hAnsi="Times New Roman" w:eastAsia="宋体" w:cs="Times New Roman"/>
      <w:sz w:val="18"/>
      <w:szCs w:val="18"/>
    </w:rPr>
  </w:style>
  <w:style w:type="character" w:customStyle="1" w:styleId="17">
    <w:name w:val="标题 Char"/>
    <w:basedOn w:val="11"/>
    <w:qFormat/>
    <w:uiPriority w:val="10"/>
    <w:rPr>
      <w:rFonts w:eastAsia="宋体" w:asciiTheme="majorHAnsi" w:hAnsiTheme="majorHAnsi" w:cstheme="majorBidi"/>
      <w:b/>
      <w:bCs/>
      <w:sz w:val="32"/>
      <w:szCs w:val="32"/>
    </w:rPr>
  </w:style>
  <w:style w:type="character" w:customStyle="1" w:styleId="18">
    <w:name w:val="纯文本 Char"/>
    <w:basedOn w:val="11"/>
    <w:autoRedefine/>
    <w:semiHidden/>
    <w:qFormat/>
    <w:uiPriority w:val="99"/>
    <w:rPr>
      <w:rFonts w:ascii="宋体" w:hAnsi="Courier New" w:eastAsia="宋体" w:cs="Courier New"/>
      <w:szCs w:val="21"/>
    </w:rPr>
  </w:style>
  <w:style w:type="character" w:customStyle="1" w:styleId="19">
    <w:name w:val="页眉 字符"/>
    <w:basedOn w:val="11"/>
    <w:link w:val="6"/>
    <w:autoRedefine/>
    <w:qFormat/>
    <w:uiPriority w:val="99"/>
    <w:rPr>
      <w:rFonts w:ascii="Times New Roman" w:hAnsi="Times New Roman" w:eastAsia="宋体" w:cs="Times New Roman"/>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字符"/>
    <w:basedOn w:val="11"/>
    <w:link w:val="5"/>
    <w:semiHidden/>
    <w:qFormat/>
    <w:uiPriority w:val="99"/>
    <w:rPr>
      <w:rFonts w:ascii="Times New Roman" w:hAnsi="Times New Roman" w:eastAsia="宋体" w:cs="Times New Roman"/>
      <w:sz w:val="18"/>
      <w:szCs w:val="18"/>
    </w:rPr>
  </w:style>
  <w:style w:type="paragraph" w:customStyle="1" w:styleId="22">
    <w:name w:val="paragraph"/>
    <w:basedOn w:val="1"/>
    <w:autoRedefine/>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3">
    <w:name w:val="批注文字 字符"/>
    <w:basedOn w:val="11"/>
    <w:link w:val="3"/>
    <w:autoRedefine/>
    <w:qFormat/>
    <w:uiPriority w:val="99"/>
    <w:rPr>
      <w:rFonts w:ascii="Times New Roman" w:hAnsi="Times New Roman" w:eastAsia="宋体" w:cs="Times New Roman"/>
      <w:kern w:val="2"/>
      <w:sz w:val="21"/>
    </w:rPr>
  </w:style>
  <w:style w:type="character" w:customStyle="1" w:styleId="24">
    <w:name w:val="批注主题 字符"/>
    <w:basedOn w:val="23"/>
    <w:link w:val="8"/>
    <w:autoRedefine/>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428</Words>
  <Characters>2440</Characters>
  <Lines>20</Lines>
  <Paragraphs>5</Paragraphs>
  <TotalTime>1</TotalTime>
  <ScaleCrop>false</ScaleCrop>
  <LinksUpToDate>false</LinksUpToDate>
  <CharactersWithSpaces>2863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2024-05-09T01:38:00Z</dcterms:created>
  <dc:creator>User</dc:creator>
  <cp:lastModifiedBy>dell</cp:lastModifiedBy>
  <dcterms:modified xsi:type="dcterms:W3CDTF">2024-05-09T04:49:01Z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F5BA6DE84E0242B58010744BC98ED66D_13</vt:lpwstr>
  </property>
</Properties>
</file>