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spacing w:val="80"/>
          <w:sz w:val="112"/>
          <w:szCs w:val="112"/>
        </w:rPr>
      </w:pPr>
      <w:r>
        <w:rPr>
          <w:rFonts w:hint="eastAsia" w:ascii="黑体" w:hAnsi="黑体" w:eastAsia="黑体"/>
          <w:spacing w:val="80"/>
          <w:sz w:val="112"/>
          <w:szCs w:val="112"/>
        </w:rPr>
        <w:t>询比采购文件</w:t>
      </w:r>
    </w:p>
    <w:p>
      <w:pPr>
        <w:jc w:val="center"/>
        <w:outlineLvl w:val="0"/>
        <w:rPr>
          <w:rFonts w:ascii="黑体" w:hAnsi="黑体" w:eastAsia="黑体"/>
          <w:spacing w:val="80"/>
          <w:sz w:val="44"/>
          <w:szCs w:val="44"/>
        </w:rPr>
      </w:pPr>
      <w:r>
        <w:rPr>
          <w:rFonts w:hint="eastAsia" w:ascii="黑体" w:hAnsi="黑体" w:eastAsia="黑体"/>
          <w:spacing w:val="80"/>
          <w:sz w:val="44"/>
          <w:szCs w:val="44"/>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hint="default"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val="0"/>
          <w:bCs/>
          <w:sz w:val="36"/>
          <w:szCs w:val="36"/>
          <w:lang w:val="en-US" w:eastAsia="zh-CN"/>
        </w:rPr>
        <w:t xml:space="preserve"> 项目名称：</w:t>
      </w:r>
      <w:r>
        <w:rPr>
          <w:rFonts w:hint="eastAsia" w:asciiTheme="majorEastAsia" w:hAnsiTheme="majorEastAsia" w:eastAsiaTheme="majorEastAsia" w:cstheme="majorEastAsia"/>
          <w:sz w:val="36"/>
          <w:szCs w:val="30"/>
        </w:rPr>
        <w:t>昌都市康盛矿业发展集团有限公司</w:t>
      </w:r>
      <w:r>
        <w:rPr>
          <w:rFonts w:hint="eastAsia" w:asciiTheme="majorEastAsia" w:hAnsiTheme="majorEastAsia" w:eastAsiaTheme="majorEastAsia" w:cstheme="majorEastAsia"/>
          <w:sz w:val="36"/>
          <w:szCs w:val="30"/>
          <w:lang w:val="en-US" w:eastAsia="zh-CN"/>
        </w:rPr>
        <w:t>财务软件采购</w:t>
      </w:r>
    </w:p>
    <w:p>
      <w:pPr>
        <w:spacing w:line="700" w:lineRule="exact"/>
        <w:ind w:firstLine="1080" w:firstLineChars="300"/>
        <w:rPr>
          <w:rFonts w:hint="eastAsia" w:asciiTheme="majorEastAsia" w:hAnsiTheme="majorEastAsia" w:eastAsiaTheme="majorEastAsia" w:cstheme="majorEastAsia"/>
          <w:sz w:val="36"/>
          <w:szCs w:val="30"/>
        </w:rPr>
      </w:pPr>
      <w:r>
        <w:rPr>
          <w:rFonts w:hint="eastAsia" w:asciiTheme="majorEastAsia" w:hAnsiTheme="majorEastAsia" w:eastAsiaTheme="majorEastAsia" w:cstheme="majorEastAsia"/>
          <w:sz w:val="36"/>
          <w:szCs w:val="30"/>
        </w:rPr>
        <w:t>采购人：昌都市康盛矿业发展集团有限公司</w:t>
      </w:r>
    </w:p>
    <w:p>
      <w:pPr>
        <w:spacing w:line="700" w:lineRule="exact"/>
        <w:ind w:firstLine="1749" w:firstLineChars="486"/>
        <w:rPr>
          <w:rFonts w:hint="eastAsia" w:asciiTheme="majorEastAsia" w:hAnsiTheme="majorEastAsia" w:eastAsiaTheme="majorEastAsia" w:cstheme="majorEastAsia"/>
          <w:sz w:val="36"/>
          <w:szCs w:val="30"/>
        </w:rPr>
      </w:pPr>
    </w:p>
    <w:p>
      <w:pPr>
        <w:spacing w:line="720" w:lineRule="exact"/>
        <w:jc w:val="center"/>
        <w:outlineLvl w:val="0"/>
        <w:rPr>
          <w:rFonts w:hint="eastAsia" w:asciiTheme="majorEastAsia" w:hAnsiTheme="majorEastAsia" w:eastAsiaTheme="majorEastAsia" w:cstheme="majorEastAsia"/>
          <w:sz w:val="48"/>
          <w:szCs w:val="32"/>
        </w:rPr>
      </w:pPr>
      <w:r>
        <w:rPr>
          <w:rFonts w:hint="eastAsia" w:asciiTheme="majorEastAsia" w:hAnsiTheme="majorEastAsia" w:eastAsiaTheme="majorEastAsia" w:cstheme="majorEastAsia"/>
          <w:sz w:val="48"/>
          <w:szCs w:val="32"/>
        </w:rPr>
        <w:t>二〇二</w:t>
      </w:r>
      <w:r>
        <w:rPr>
          <w:rFonts w:hint="eastAsia" w:asciiTheme="majorEastAsia" w:hAnsiTheme="majorEastAsia" w:eastAsiaTheme="majorEastAsia" w:cstheme="majorEastAsia"/>
          <w:sz w:val="48"/>
          <w:szCs w:val="32"/>
          <w:lang w:val="en-US" w:eastAsia="zh-CN"/>
        </w:rPr>
        <w:t>四</w:t>
      </w:r>
      <w:r>
        <w:rPr>
          <w:rFonts w:hint="eastAsia" w:asciiTheme="majorEastAsia" w:hAnsiTheme="majorEastAsia" w:eastAsiaTheme="majorEastAsia" w:cstheme="majorEastAsia"/>
          <w:sz w:val="48"/>
          <w:szCs w:val="32"/>
        </w:rPr>
        <w:t>年</w:t>
      </w:r>
      <w:r>
        <w:rPr>
          <w:rFonts w:hint="eastAsia" w:asciiTheme="majorEastAsia" w:hAnsiTheme="majorEastAsia" w:eastAsiaTheme="majorEastAsia" w:cstheme="majorEastAsia"/>
          <w:sz w:val="48"/>
          <w:szCs w:val="32"/>
          <w:lang w:val="en-US" w:eastAsia="zh-CN"/>
        </w:rPr>
        <w:t>五</w:t>
      </w:r>
      <w:r>
        <w:rPr>
          <w:rFonts w:hint="eastAsia" w:asciiTheme="majorEastAsia" w:hAnsiTheme="majorEastAsia" w:eastAsiaTheme="majorEastAsia" w:cstheme="majorEastAsia"/>
          <w:sz w:val="48"/>
          <w:szCs w:val="32"/>
        </w:rPr>
        <w:t>月</w:t>
      </w:r>
    </w:p>
    <w:p>
      <w:pPr>
        <w:spacing w:line="480" w:lineRule="exact"/>
        <w:outlineLvl w:val="0"/>
        <w:rPr>
          <w:rFonts w:hint="eastAsia" w:asciiTheme="majorEastAsia" w:hAnsiTheme="majorEastAsia" w:eastAsiaTheme="majorEastAsia" w:cstheme="majorEastAsia"/>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pStyle w:val="4"/>
        <w:spacing w:before="0" w:after="0" w:line="360" w:lineRule="auto"/>
        <w:rPr>
          <w:rFonts w:ascii="宋体" w:hAnsi="宋体" w:cs="宋体"/>
          <w:sz w:val="24"/>
          <w:szCs w:val="24"/>
        </w:rPr>
      </w:pPr>
      <w:bookmarkStart w:id="0" w:name="_Toc313893526"/>
      <w:bookmarkStart w:id="1" w:name="_Toc3463"/>
      <w:bookmarkStart w:id="2" w:name="_Toc12808"/>
      <w:bookmarkStart w:id="3" w:name="_Toc7625"/>
      <w:bookmarkStart w:id="4" w:name="_Toc317775175"/>
      <w:bookmarkStart w:id="5" w:name="_Toc26820"/>
      <w:bookmarkStart w:id="6" w:name="_Toc18881"/>
      <w:bookmarkStart w:id="7" w:name="_Toc18159"/>
      <w:bookmarkStart w:id="8" w:name="_Toc25458"/>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1305"/>
        <w:gridCol w:w="2133"/>
        <w:gridCol w:w="1587"/>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09"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bCs/>
                <w:kern w:val="0"/>
                <w:sz w:val="21"/>
                <w:szCs w:val="24"/>
              </w:rPr>
            </w:pPr>
            <w:bookmarkStart w:id="9" w:name="_Toc22399"/>
            <w:bookmarkStart w:id="10" w:name="_Toc15576"/>
            <w:bookmarkStart w:id="11" w:name="_Toc1790"/>
            <w:bookmarkStart w:id="12" w:name="_Toc15727"/>
            <w:bookmarkStart w:id="13" w:name="_Toc19437"/>
            <w:bookmarkStart w:id="14" w:name="_Toc25190"/>
            <w:bookmarkStart w:id="15" w:name="_Toc6462"/>
            <w:bookmarkStart w:id="16" w:name="_Toc317775178"/>
            <w:bookmarkStart w:id="17" w:name="_Toc373860293"/>
            <w:r>
              <w:rPr>
                <w:rFonts w:hint="eastAsia" w:ascii="宋体" w:hAnsi="宋体" w:cs="宋体"/>
                <w:b/>
                <w:bCs/>
                <w:kern w:val="0"/>
                <w:sz w:val="21"/>
                <w:szCs w:val="24"/>
              </w:rPr>
              <w:t>项目名称</w:t>
            </w:r>
          </w:p>
        </w:tc>
        <w:tc>
          <w:tcPr>
            <w:tcW w:w="1305"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bCs/>
                <w:kern w:val="0"/>
                <w:sz w:val="21"/>
                <w:szCs w:val="24"/>
              </w:rPr>
            </w:pPr>
            <w:r>
              <w:rPr>
                <w:rFonts w:hint="eastAsia" w:ascii="宋体" w:hAnsi="宋体" w:cs="宋体"/>
                <w:b/>
                <w:bCs/>
                <w:kern w:val="0"/>
                <w:sz w:val="21"/>
                <w:szCs w:val="24"/>
              </w:rPr>
              <w:t>采购预算</w:t>
            </w:r>
          </w:p>
          <w:p>
            <w:pPr>
              <w:spacing w:line="360" w:lineRule="auto"/>
              <w:jc w:val="center"/>
              <w:rPr>
                <w:rFonts w:ascii="宋体" w:hAnsi="宋体" w:cs="宋体"/>
                <w:b/>
                <w:bCs/>
                <w:kern w:val="0"/>
                <w:sz w:val="21"/>
                <w:szCs w:val="24"/>
              </w:rPr>
            </w:pPr>
            <w:r>
              <w:rPr>
                <w:rFonts w:hint="eastAsia" w:ascii="宋体" w:hAnsi="宋体" w:cs="宋体"/>
                <w:b/>
                <w:bCs/>
                <w:kern w:val="0"/>
                <w:sz w:val="21"/>
                <w:szCs w:val="24"/>
              </w:rPr>
              <w:t>（</w:t>
            </w:r>
            <w:r>
              <w:rPr>
                <w:rFonts w:hint="eastAsia" w:ascii="宋体" w:hAnsi="宋体" w:cs="宋体"/>
                <w:b/>
                <w:bCs/>
                <w:kern w:val="0"/>
                <w:sz w:val="21"/>
                <w:szCs w:val="24"/>
                <w:lang w:val="en-US" w:eastAsia="zh-CN"/>
              </w:rPr>
              <w:t>万</w:t>
            </w:r>
            <w:r>
              <w:rPr>
                <w:rFonts w:hint="eastAsia" w:ascii="宋体" w:hAnsi="宋体" w:cs="宋体"/>
                <w:b/>
                <w:bCs/>
                <w:kern w:val="0"/>
                <w:sz w:val="21"/>
                <w:szCs w:val="24"/>
              </w:rPr>
              <w:t>元）</w:t>
            </w:r>
          </w:p>
        </w:tc>
        <w:tc>
          <w:tcPr>
            <w:tcW w:w="213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58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资金来源</w:t>
            </w:r>
          </w:p>
        </w:tc>
        <w:tc>
          <w:tcPr>
            <w:tcW w:w="739"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509"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 w:val="21"/>
                <w:szCs w:val="24"/>
              </w:rPr>
            </w:pPr>
            <w:bookmarkStart w:id="18" w:name="_Hlk344477914"/>
            <w:r>
              <w:rPr>
                <w:rFonts w:hint="eastAsia" w:ascii="宋体" w:hAnsi="宋体" w:cs="宋体"/>
                <w:b/>
                <w:bCs/>
                <w:kern w:val="0"/>
                <w:sz w:val="21"/>
                <w:szCs w:val="24"/>
                <w:lang w:val="en-US" w:eastAsia="zh-CN"/>
              </w:rPr>
              <w:t>昌都市康盛矿业发展集团有限公司财务软件采购</w:t>
            </w:r>
          </w:p>
        </w:tc>
        <w:tc>
          <w:tcPr>
            <w:tcW w:w="1305"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1"/>
                <w:szCs w:val="24"/>
                <w:lang w:val="en-US" w:eastAsia="zh-CN"/>
              </w:rPr>
            </w:pPr>
            <w:r>
              <w:rPr>
                <w:rFonts w:hint="eastAsia" w:ascii="宋体" w:hAnsi="宋体" w:cs="宋体"/>
                <w:kern w:val="0"/>
                <w:sz w:val="21"/>
                <w:szCs w:val="24"/>
                <w:lang w:val="en-US" w:eastAsia="zh-CN"/>
              </w:rPr>
              <w:t>21</w:t>
            </w:r>
          </w:p>
        </w:tc>
        <w:tc>
          <w:tcPr>
            <w:tcW w:w="2133"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4"/>
                <w:lang w:val="en-US" w:eastAsia="zh-CN"/>
              </w:rPr>
            </w:pPr>
            <w:r>
              <w:rPr>
                <w:rFonts w:hint="eastAsia" w:ascii="宋体" w:hAnsi="宋体" w:cs="宋体"/>
                <w:kern w:val="0"/>
                <w:sz w:val="21"/>
                <w:szCs w:val="24"/>
                <w:lang w:val="en-US" w:eastAsia="zh-CN"/>
              </w:rPr>
              <w:t>1</w:t>
            </w:r>
          </w:p>
        </w:tc>
        <w:tc>
          <w:tcPr>
            <w:tcW w:w="1587"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kern w:val="0"/>
                <w:sz w:val="21"/>
                <w:szCs w:val="24"/>
                <w:lang w:val="en-US" w:eastAsia="zh-CN"/>
              </w:rPr>
            </w:pPr>
            <w:r>
              <w:rPr>
                <w:rFonts w:hint="eastAsia" w:ascii="宋体" w:hAnsi="宋体" w:cs="宋体"/>
                <w:kern w:val="0"/>
                <w:sz w:val="21"/>
                <w:szCs w:val="24"/>
                <w:lang w:val="en-US" w:eastAsia="zh-CN"/>
              </w:rPr>
              <w:t>自筹资金</w:t>
            </w:r>
          </w:p>
        </w:tc>
        <w:tc>
          <w:tcPr>
            <w:tcW w:w="739" w:type="dxa"/>
            <w:tcBorders>
              <w:top w:val="single" w:color="auto" w:sz="4" w:space="0"/>
              <w:left w:val="single" w:color="auto" w:sz="4" w:space="0"/>
              <w:right w:val="single" w:color="auto" w:sz="4" w:space="0"/>
            </w:tcBorders>
            <w:vAlign w:val="center"/>
          </w:tcPr>
          <w:p>
            <w:pPr>
              <w:spacing w:line="360" w:lineRule="auto"/>
              <w:jc w:val="center"/>
              <w:rPr>
                <w:rFonts w:ascii="宋体" w:hAnsi="宋体"/>
                <w:b/>
                <w:sz w:val="21"/>
                <w:szCs w:val="21"/>
              </w:rPr>
            </w:pPr>
          </w:p>
        </w:tc>
      </w:tr>
      <w:bookmarkEnd w:id="18"/>
    </w:tbl>
    <w:p>
      <w:pPr>
        <w:pStyle w:val="4"/>
        <w:spacing w:before="0" w:after="0" w:line="360"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1、具有独立承担民事责任的能力（提供法人或者其他组织的营业执照等证明文件，扫描件加盖公章）；</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2、具有良好的商业信誉和健全的财务会计制度；</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3、具有履行合同所必需的设备和专业技术能力；</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4、有依法缴纳税收和社会保障资金的良好记录；</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p>
    <w:p>
      <w:pPr>
        <w:spacing w:line="360" w:lineRule="auto"/>
        <w:ind w:firstLine="480" w:firstLineChars="20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6、法律、行政法规规定的其他条件。</w:t>
      </w:r>
    </w:p>
    <w:p>
      <w:pPr>
        <w:pStyle w:val="21"/>
        <w:ind w:firstLine="480" w:firstLineChars="200"/>
        <w:rPr>
          <w:rFonts w:hAnsi="宋体"/>
          <w:color w:val="auto"/>
          <w:kern w:val="2"/>
          <w:sz w:val="21"/>
          <w:szCs w:val="21"/>
          <w:lang w:bidi="ar"/>
        </w:rPr>
      </w:pPr>
      <w:r>
        <w:rPr>
          <w:rFonts w:hint="eastAsia" w:ascii="宋体" w:hAnsi="宋体" w:cs="宋体"/>
          <w:sz w:val="24"/>
          <w:szCs w:val="24"/>
        </w:rPr>
        <w:t>（</w:t>
      </w:r>
      <w:r>
        <w:rPr>
          <w:rFonts w:hint="eastAsia" w:hAnsi="宋体" w:cs="宋体"/>
          <w:sz w:val="24"/>
          <w:szCs w:val="24"/>
          <w:lang w:val="en-US" w:eastAsia="zh-CN"/>
        </w:rPr>
        <w:t>2</w:t>
      </w:r>
      <w:r>
        <w:rPr>
          <w:rFonts w:hint="eastAsia" w:ascii="宋体" w:hAnsi="宋体" w:cs="宋体"/>
          <w:sz w:val="24"/>
          <w:szCs w:val="24"/>
        </w:rPr>
        <w:t>-6由供应商自行提供承诺说明，加盖公章）</w:t>
      </w:r>
    </w:p>
    <w:p>
      <w:pPr>
        <w:numPr>
          <w:ilvl w:val="0"/>
          <w:numId w:val="2"/>
        </w:num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特定资格条件</w:t>
      </w:r>
    </w:p>
    <w:p>
      <w:pPr>
        <w:pStyle w:val="5"/>
        <w:numPr>
          <w:ilvl w:val="0"/>
          <w:numId w:val="0"/>
        </w:numPr>
        <w:ind w:firstLine="840" w:firstLineChars="300"/>
        <w:rPr>
          <w:rFonts w:hint="eastAsia" w:eastAsia="宋体"/>
          <w:lang w:val="en-US" w:eastAsia="zh-CN"/>
        </w:rPr>
      </w:pPr>
      <w:r>
        <w:rPr>
          <w:rFonts w:hint="eastAsia"/>
          <w:lang w:val="en-US" w:eastAsia="zh-CN"/>
        </w:rPr>
        <w:t>无</w:t>
      </w:r>
    </w:p>
    <w:bookmarkEnd w:id="16"/>
    <w:bookmarkEnd w:id="17"/>
    <w:p>
      <w:pPr>
        <w:snapToGrid w:val="0"/>
        <w:spacing w:line="360" w:lineRule="auto"/>
        <w:rPr>
          <w:rFonts w:ascii="宋体" w:hAnsi="宋体" w:cs="宋体"/>
          <w:b/>
          <w:bCs/>
          <w:sz w:val="24"/>
          <w:szCs w:val="24"/>
        </w:rPr>
      </w:pPr>
      <w:r>
        <w:rPr>
          <w:rFonts w:hint="eastAsia" w:ascii="宋体" w:hAnsi="宋体" w:cs="宋体"/>
          <w:b/>
          <w:bCs/>
          <w:sz w:val="24"/>
          <w:szCs w:val="24"/>
        </w:rPr>
        <w:t>三、采购内容</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7"/>
        <w:gridCol w:w="1549"/>
        <w:gridCol w:w="1198"/>
        <w:gridCol w:w="5574"/>
        <w:gridCol w:w="632"/>
        <w:gridCol w:w="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一级模块</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二级模块</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功能/参数描述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一、软件平台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用友U8 Cloud集团财务管理</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基础平台</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基于业务和管理层面，通过基础平台对组织、流程、功能、资源、信息进行基础配置，减少实施开发服务工作，提高工作效率。</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总账</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完成会计科目维护、会计凭证管理、常用账簿查询等日常基本财务核算工作，适应集团性企业、不同行业、不同管理要求。</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企业报表</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各级组织进行报表的制定、下发、收集、审核、上报等相关业务工作，可为各企业、事业单位提供各类管理报表的服务，如财务管理报表、合并报表的个别报表、业务管理信息表等，提供报表编制、数据采集和报表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固定资产</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严格遵循国家最新会计准则，实现了对固定资产核算业务的支撑，对递延资产、无形资产的管理。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合并报表</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并分为两种：大合并及逐级合并。大合并是将所有参与合并的单位的个别报表数据汇总，并在整个合并范围内对内部交易进行抵销，得到最后的合并结果。逐级合并是指按照多级合并体系，自下而上逐级进行内部交易抵销，得到多个合并主体的合并报表数据。</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厂商支持服务</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厂商400电话支持服务，自软件产品订购之日起1年的厂商支持服务。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软件平台报价小计</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实施服务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集团财务管控</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及3个下属组织财务管控实施，含：集团全业务调研，根据业务情况进行统一科目咨询建议，科目设置方案沟通及确定，系统科目设置、产品安装、配置、测试、培训、上线、优化等。现场实施配置，报价含差旅费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人天</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合并报表</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及3个下属组织财务合并报表实施，含：集团各公司内部交易、结算规则等调研，根据业务情况进行合并报表咨询建议，合并报表方案确定，合并报表实施、配置、测试、培训、上线及优化等。现场实施配置，报价含差旅费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人天</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运维服务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技术支持服务</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首年免运维服务，自《系统上线报告》签订之日起1年的技术支持服务。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运维服务内容：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1、远程问题处理，电话、微信QQ、远程桌面、远程会议等。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2、专属服务顾问、专属服务群。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后续每年远程技术支持服务费预估：5000-10000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技术服务报价小计</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三、服务器及配套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本地服务器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（含备份功能）</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专用服务器</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中央处理--CPU Intel(R)  至强XEON Gold 二十八核心 2.4GHz, 20MB Cache;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固件硬盘--250G-SSD-2.5"                                                                                                           刀片缓存--450G 高速P-A-E封装加速技术（Turbo加速3.0 6000MB/秒）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数据硬盘--1000G封装缓存3DNAND PCIE 超高速数据硬盘；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内存容量--128GB-RECC4代-2400MHz(高标4bit服务器专用) (双通道32X4)                                                                                                                               安全引擎：ERP专用数据安全舱4000G企业级存储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断电保护设备</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智能断电保护</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智能断电保护套件，3000VA/2400W</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专用防火墙</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华为专用防火墙</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华为坤灵USG6000E-S03（硬件费用8999+现场安装调试费用4000）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服务器及配套小计</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项目总计</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FF0000"/>
                <w:kern w:val="0"/>
                <w:sz w:val="22"/>
                <w:szCs w:val="22"/>
                <w:u w:val="none"/>
                <w:lang w:val="en-US" w:eastAsia="zh-CN" w:bidi="ar"/>
              </w:rPr>
              <w:t>注：以上</w:t>
            </w:r>
            <w:r>
              <w:rPr>
                <w:rFonts w:hint="eastAsia" w:ascii="宋体" w:hAnsi="宋体" w:eastAsia="宋体" w:cs="宋体"/>
                <w:b/>
                <w:bCs/>
                <w:i w:val="0"/>
                <w:iCs w:val="0"/>
                <w:color w:val="FF0000"/>
                <w:kern w:val="0"/>
                <w:sz w:val="22"/>
                <w:szCs w:val="22"/>
                <w:u w:val="none"/>
                <w:lang w:val="en-US" w:eastAsia="zh-CN" w:bidi="ar"/>
              </w:rPr>
              <w:t>软件一次性买断模式</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widowControl/>
        <w:snapToGrid w:val="0"/>
        <w:spacing w:before="120" w:beforeLines="50" w:line="360" w:lineRule="auto"/>
        <w:jc w:val="left"/>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 xml:space="preserve">注：1、以上采购清单如有品牌或专有型号仅做参数参考，不作为投标产品强制要求。 </w:t>
      </w:r>
    </w:p>
    <w:p>
      <w:pPr>
        <w:widowControl/>
        <w:snapToGrid w:val="0"/>
        <w:spacing w:line="360" w:lineRule="auto"/>
        <w:ind w:firstLine="442" w:firstLineChars="200"/>
        <w:jc w:val="left"/>
        <w:textAlignment w:val="center"/>
        <w:rPr>
          <w:rFonts w:hint="eastAsia" w:ascii="宋体" w:hAnsi="宋体" w:cs="宋体"/>
          <w:b/>
          <w:bCs/>
          <w:sz w:val="24"/>
          <w:szCs w:val="24"/>
        </w:rPr>
      </w:pPr>
      <w:r>
        <w:rPr>
          <w:rFonts w:hint="eastAsia" w:ascii="宋体" w:hAnsi="宋体" w:cs="宋体"/>
          <w:b/>
          <w:bCs/>
          <w:color w:val="000000"/>
          <w:kern w:val="0"/>
          <w:sz w:val="22"/>
          <w:szCs w:val="22"/>
          <w:lang w:bidi="ar"/>
        </w:rPr>
        <w:t>2、报价应包含采购的税费、运费（运送到采购人指定地点）、装卸费安装费等相关费用且不得超过所投标包的最高限价。</w:t>
      </w:r>
    </w:p>
    <w:p>
      <w:pPr>
        <w:snapToGrid w:val="0"/>
        <w:spacing w:line="360" w:lineRule="auto"/>
        <w:rPr>
          <w:rFonts w:ascii="宋体" w:hAnsi="宋体" w:cs="宋体"/>
          <w:b/>
          <w:bCs/>
          <w:sz w:val="24"/>
          <w:szCs w:val="24"/>
        </w:rPr>
      </w:pPr>
      <w:r>
        <w:rPr>
          <w:rFonts w:hint="eastAsia" w:ascii="宋体" w:hAnsi="宋体" w:cs="宋体"/>
          <w:b/>
          <w:bCs/>
          <w:sz w:val="24"/>
          <w:szCs w:val="24"/>
        </w:rPr>
        <w:t>四、交货期</w:t>
      </w:r>
    </w:p>
    <w:p>
      <w:pPr>
        <w:keepLines/>
        <w:spacing w:line="360" w:lineRule="auto"/>
        <w:ind w:firstLine="480" w:firstLineChars="200"/>
        <w:rPr>
          <w:rFonts w:ascii="宋体" w:hAnsi="宋体" w:cs="宋体"/>
          <w:sz w:val="24"/>
          <w:szCs w:val="24"/>
          <w:highlight w:val="yellow"/>
        </w:rPr>
      </w:pPr>
      <w:r>
        <w:rPr>
          <w:rFonts w:hint="eastAsia" w:ascii="宋体" w:hAnsi="宋体" w:cs="宋体"/>
          <w:sz w:val="24"/>
          <w:szCs w:val="24"/>
        </w:rPr>
        <w:t>30日历天（以合同签订为准）</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pStyle w:val="4"/>
        <w:spacing w:before="0" w:after="0" w:line="360" w:lineRule="auto"/>
        <w:ind w:firstLine="480" w:firstLineChars="200"/>
        <w:rPr>
          <w:rFonts w:ascii="宋体" w:hAnsi="宋体" w:cs="宋体"/>
          <w:b w:val="0"/>
          <w:sz w:val="24"/>
          <w:szCs w:val="24"/>
        </w:rPr>
      </w:pPr>
      <w:bookmarkStart w:id="19" w:name="_Toc20778"/>
      <w:bookmarkStart w:id="20" w:name="_Toc11828"/>
      <w:bookmarkStart w:id="21" w:name="_Toc3475"/>
      <w:bookmarkStart w:id="22" w:name="_Toc27955"/>
      <w:bookmarkStart w:id="23" w:name="_Toc5085"/>
      <w:bookmarkStart w:id="24" w:name="_Toc9654"/>
      <w:bookmarkStart w:id="25" w:name="_Toc25886"/>
      <w:bookmarkStart w:id="26" w:name="_Toc15478"/>
      <w:bookmarkStart w:id="27" w:name="_Toc14778"/>
      <w:bookmarkStart w:id="28" w:name="_Toc31315"/>
      <w:bookmarkStart w:id="29" w:name="_Toc19730"/>
      <w:bookmarkStart w:id="30" w:name="_Toc25516"/>
      <w:bookmarkStart w:id="31" w:name="_Toc9027"/>
      <w:bookmarkStart w:id="32" w:name="_Toc13969"/>
      <w:r>
        <w:rPr>
          <w:rFonts w:hint="eastAsia" w:ascii="宋体" w:hAnsi="宋体" w:cs="宋体"/>
          <w:b w:val="0"/>
          <w:sz w:val="24"/>
          <w:szCs w:val="24"/>
        </w:rPr>
        <w:t>按合同签订执行</w:t>
      </w:r>
    </w:p>
    <w:p>
      <w:pPr>
        <w:pStyle w:val="4"/>
        <w:spacing w:before="0" w:after="0" w:line="360" w:lineRule="auto"/>
        <w:rPr>
          <w:rFonts w:ascii="宋体" w:hAnsi="宋体" w:cs="宋体"/>
          <w:sz w:val="24"/>
          <w:szCs w:val="24"/>
        </w:rPr>
      </w:pPr>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spacing w:line="360" w:lineRule="auto"/>
        <w:rPr>
          <w:rFonts w:hint="eastAsia" w:ascii="宋体" w:hAnsi="宋体" w:eastAsia="宋体" w:cs="宋体"/>
          <w:sz w:val="24"/>
          <w:szCs w:val="24"/>
          <w:lang w:val="en-US" w:eastAsia="zh-CN"/>
        </w:rPr>
      </w:pP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sz w:val="24"/>
          <w:szCs w:val="24"/>
        </w:rPr>
        <w:t xml:space="preserve"> 采购人：</w:t>
      </w:r>
      <w:r>
        <w:rPr>
          <w:rFonts w:hint="eastAsia" w:ascii="宋体" w:hAnsi="宋体" w:cs="宋体"/>
          <w:sz w:val="24"/>
          <w:szCs w:val="24"/>
          <w:lang w:eastAsia="zh-CN"/>
        </w:rPr>
        <w:t>昌都市康盛矿业发展集团有限公司</w:t>
      </w:r>
    </w:p>
    <w:p>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李先生</w:t>
      </w:r>
    </w:p>
    <w:p>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13438475040</w:t>
      </w:r>
    </w:p>
    <w:p>
      <w:pPr>
        <w:keepLines/>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昌都市卡若区</w:t>
      </w:r>
    </w:p>
    <w:p>
      <w:pPr>
        <w:pStyle w:val="4"/>
        <w:keepNext w:val="0"/>
        <w:spacing w:before="0" w:after="0" w:line="360"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60"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60"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60"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pStyle w:val="21"/>
        <w:spacing w:line="360" w:lineRule="auto"/>
        <w:ind w:firstLine="480" w:firstLineChars="200"/>
      </w:pPr>
      <w:r>
        <w:rPr>
          <w:rFonts w:hint="eastAsia" w:hAnsi="宋体"/>
        </w:rPr>
        <w:t>4、本次询比的有效期为</w:t>
      </w:r>
      <w:r>
        <w:rPr>
          <w:rFonts w:hint="eastAsia" w:hAnsi="宋体"/>
          <w:u w:val="single"/>
        </w:rPr>
        <w:t>60</w:t>
      </w:r>
      <w:r>
        <w:rPr>
          <w:rFonts w:hint="eastAsia" w:hAnsi="宋体"/>
        </w:rPr>
        <w:t>天。</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60"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60"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60" w:lineRule="auto"/>
        <w:ind w:firstLine="480" w:firstLineChars="200"/>
        <w:rPr>
          <w:rFonts w:ascii="宋体" w:hAnsi="宋体" w:cs="宋体"/>
          <w:sz w:val="24"/>
          <w:szCs w:val="24"/>
        </w:rPr>
      </w:pPr>
      <w:r>
        <w:rPr>
          <w:rFonts w:hint="eastAsia" w:ascii="宋体" w:hAnsi="宋体" w:cs="宋体"/>
          <w:sz w:val="24"/>
          <w:szCs w:val="24"/>
        </w:rPr>
        <w:t>如供应商得分相同，采取随机抽取的方式确定。</w:t>
      </w:r>
    </w:p>
    <w:p>
      <w:pPr>
        <w:spacing w:line="360" w:lineRule="auto"/>
        <w:rPr>
          <w:rFonts w:ascii="宋体" w:hAnsi="宋体" w:cs="宋体"/>
          <w:sz w:val="24"/>
        </w:rPr>
      </w:pPr>
      <w:r>
        <w:rPr>
          <w:rFonts w:hint="eastAsia" w:ascii="宋体" w:hAnsi="宋体"/>
          <w:b/>
          <w:sz w:val="24"/>
        </w:rPr>
        <w:t>九、无效响应</w:t>
      </w:r>
    </w:p>
    <w:p>
      <w:pPr>
        <w:spacing w:line="360"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60"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60"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60"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60"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60"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60"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60"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60"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60"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360" w:lineRule="auto"/>
        <w:rPr>
          <w:rFonts w:ascii="宋体" w:hAnsi="宋体"/>
          <w:b/>
          <w:sz w:val="24"/>
        </w:rPr>
      </w:pPr>
      <w:r>
        <w:rPr>
          <w:rFonts w:hint="eastAsia" w:ascii="宋体" w:hAnsi="宋体"/>
          <w:b/>
          <w:sz w:val="24"/>
        </w:rPr>
        <w:t>十、其他</w:t>
      </w:r>
    </w:p>
    <w:p>
      <w:pPr>
        <w:spacing w:line="360"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60"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60" w:lineRule="auto"/>
        <w:rPr>
          <w:rFonts w:ascii="宋体" w:hAnsi="宋体" w:cs="宋体"/>
          <w:b/>
          <w:bCs/>
          <w:sz w:val="24"/>
          <w:szCs w:val="24"/>
        </w:rPr>
      </w:pPr>
      <w:r>
        <w:rPr>
          <w:rFonts w:hint="eastAsia" w:ascii="宋体" w:hAnsi="宋体" w:cs="宋体"/>
          <w:b/>
          <w:bCs/>
          <w:sz w:val="24"/>
          <w:szCs w:val="24"/>
        </w:rPr>
        <w:t>十一、供应商提交响应文件</w:t>
      </w:r>
    </w:p>
    <w:p>
      <w:pPr>
        <w:spacing w:line="360"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1、供应商线上报名、报价时需上传盖章后的电子版响应文件一份。供应商须准备纸质版响应文件</w:t>
      </w:r>
      <w:r>
        <w:rPr>
          <w:rFonts w:hint="eastAsia" w:ascii="宋体" w:hAnsi="宋体" w:cs="宋体"/>
          <w:sz w:val="24"/>
          <w:szCs w:val="24"/>
          <w:lang w:val="en-US" w:eastAsia="zh-CN"/>
        </w:rPr>
        <w:t>一</w:t>
      </w:r>
      <w:r>
        <w:rPr>
          <w:rFonts w:hint="eastAsia" w:ascii="宋体" w:hAnsi="宋体" w:cs="宋体"/>
          <w:sz w:val="24"/>
          <w:szCs w:val="24"/>
        </w:rPr>
        <w:t>份递交到</w:t>
      </w:r>
      <w:r>
        <w:rPr>
          <w:rFonts w:hint="eastAsia" w:ascii="宋体" w:hAnsi="宋体" w:cs="宋体"/>
          <w:sz w:val="24"/>
          <w:szCs w:val="24"/>
          <w:lang w:eastAsia="zh-CN"/>
        </w:rPr>
        <w:t>昌都市康盛矿业发展集团有限公司</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60" w:lineRule="auto"/>
        <w:ind w:firstLine="480" w:firstLineChars="200"/>
        <w:rPr>
          <w:rFonts w:ascii="宋体" w:hAnsi="宋体" w:cs="宋体"/>
          <w:b/>
          <w:bCs/>
          <w:szCs w:val="28"/>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bookmarkStart w:id="33" w:name="_Hlk27399823"/>
    </w:p>
    <w:bookmarkEnd w:id="33"/>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十二、</w:t>
      </w:r>
      <w:r>
        <w:rPr>
          <w:rFonts w:hint="eastAsia" w:ascii="宋体" w:hAnsi="宋体" w:cs="宋体"/>
          <w:b/>
          <w:bCs/>
          <w:sz w:val="24"/>
          <w:szCs w:val="24"/>
        </w:rPr>
        <w:t>评审标准</w:t>
      </w:r>
    </w:p>
    <w:p>
      <w:pPr>
        <w:pStyle w:val="3"/>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32"/>
          <w:szCs w:val="32"/>
        </w:rPr>
        <w:t>资格性审查表</w:t>
      </w:r>
    </w:p>
    <w:tbl>
      <w:tblPr>
        <w:tblStyle w:val="17"/>
        <w:tblW w:w="5068" w:type="pct"/>
        <w:tblInd w:w="0" w:type="dxa"/>
        <w:tblLayout w:type="autofit"/>
        <w:tblCellMar>
          <w:top w:w="0" w:type="dxa"/>
          <w:left w:w="108" w:type="dxa"/>
          <w:bottom w:w="0" w:type="dxa"/>
          <w:right w:w="108" w:type="dxa"/>
        </w:tblCellMar>
      </w:tblPr>
      <w:tblGrid>
        <w:gridCol w:w="879"/>
        <w:gridCol w:w="2643"/>
        <w:gridCol w:w="6467"/>
      </w:tblGrid>
      <w:tr>
        <w:tblPrEx>
          <w:tblCellMar>
            <w:top w:w="0" w:type="dxa"/>
            <w:left w:w="108" w:type="dxa"/>
            <w:bottom w:w="0" w:type="dxa"/>
            <w:right w:w="108" w:type="dxa"/>
          </w:tblCellMar>
        </w:tblPrEx>
        <w:trPr>
          <w:trHeight w:val="741"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序号</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评审内容</w:t>
            </w:r>
          </w:p>
        </w:tc>
        <w:tc>
          <w:tcPr>
            <w:tcW w:w="3237"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评审标准</w:t>
            </w:r>
          </w:p>
        </w:tc>
      </w:tr>
      <w:tr>
        <w:tblPrEx>
          <w:tblCellMar>
            <w:top w:w="0" w:type="dxa"/>
            <w:left w:w="108" w:type="dxa"/>
            <w:bottom w:w="0" w:type="dxa"/>
            <w:right w:w="108" w:type="dxa"/>
          </w:tblCellMar>
        </w:tblPrEx>
        <w:trPr>
          <w:trHeight w:val="586" w:hRule="atLeast"/>
        </w:trPr>
        <w:tc>
          <w:tcPr>
            <w:tcW w:w="440" w:type="pct"/>
            <w:tcBorders>
              <w:top w:val="single" w:color="auto" w:sz="4" w:space="0"/>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1</w:t>
            </w:r>
          </w:p>
        </w:tc>
        <w:tc>
          <w:tcPr>
            <w:tcW w:w="1323" w:type="pct"/>
            <w:tcBorders>
              <w:top w:val="single" w:color="auto" w:sz="4" w:space="0"/>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营业执照</w:t>
            </w:r>
          </w:p>
        </w:tc>
        <w:tc>
          <w:tcPr>
            <w:tcW w:w="3237" w:type="pct"/>
            <w:tcBorders>
              <w:top w:val="single" w:color="auto" w:sz="4" w:space="0"/>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具有独立承担民事责任的能力（有效的营业执照）</w:t>
            </w:r>
          </w:p>
        </w:tc>
      </w:tr>
      <w:tr>
        <w:tblPrEx>
          <w:tblCellMar>
            <w:top w:w="0" w:type="dxa"/>
            <w:left w:w="108" w:type="dxa"/>
            <w:bottom w:w="0" w:type="dxa"/>
            <w:right w:w="108" w:type="dxa"/>
          </w:tblCellMar>
        </w:tblPrEx>
        <w:trPr>
          <w:trHeight w:val="1268"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2</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ind w:left="-1" w:leftChars="-3" w:hanging="7" w:hangingChars="3"/>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具有良好的商业信誉和健全的财务会计制度</w:t>
            </w:r>
          </w:p>
        </w:tc>
        <w:tc>
          <w:tcPr>
            <w:tcW w:w="3237"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提供（20</w:t>
            </w:r>
            <w:r>
              <w:rPr>
                <w:rFonts w:hint="eastAsia" w:ascii="宋体" w:hAnsi="宋体" w:cs="宋体"/>
                <w:kern w:val="0"/>
                <w:sz w:val="24"/>
                <w:szCs w:val="24"/>
              </w:rPr>
              <w:t>21</w:t>
            </w:r>
            <w:r>
              <w:rPr>
                <w:rFonts w:hint="eastAsia" w:ascii="宋体" w:hAnsi="宋体" w:cs="宋体"/>
                <w:kern w:val="0"/>
                <w:sz w:val="24"/>
                <w:szCs w:val="24"/>
                <w:lang w:val="ru-RU"/>
              </w:rPr>
              <w:t>年至202</w:t>
            </w:r>
            <w:r>
              <w:rPr>
                <w:rFonts w:hint="eastAsia" w:ascii="宋体" w:hAnsi="宋体" w:cs="宋体"/>
                <w:kern w:val="0"/>
                <w:sz w:val="24"/>
                <w:szCs w:val="24"/>
              </w:rPr>
              <w:t>3</w:t>
            </w:r>
            <w:r>
              <w:rPr>
                <w:rFonts w:hint="eastAsia" w:ascii="宋体" w:hAnsi="宋体" w:cs="宋体"/>
                <w:kern w:val="0"/>
                <w:sz w:val="24"/>
                <w:szCs w:val="24"/>
                <w:lang w:val="ru-RU"/>
              </w:rPr>
              <w:t>年）任意一年经会计师事务所出具的审计报告（成立不足一年的公司提供成立以来本公司的财务报表）</w:t>
            </w:r>
          </w:p>
        </w:tc>
      </w:tr>
      <w:tr>
        <w:tblPrEx>
          <w:tblCellMar>
            <w:top w:w="0" w:type="dxa"/>
            <w:left w:w="108" w:type="dxa"/>
            <w:bottom w:w="0" w:type="dxa"/>
            <w:right w:w="108" w:type="dxa"/>
          </w:tblCellMar>
        </w:tblPrEx>
        <w:trPr>
          <w:trHeight w:val="1551"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3</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具有依法缴纳税收和社会保障资金的良好记录</w:t>
            </w:r>
          </w:p>
        </w:tc>
        <w:tc>
          <w:tcPr>
            <w:tcW w:w="3237"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1、供应商提供购买202</w:t>
            </w:r>
            <w:r>
              <w:rPr>
                <w:rFonts w:hint="eastAsia" w:ascii="宋体" w:hAnsi="宋体" w:cs="宋体"/>
                <w:kern w:val="0"/>
                <w:sz w:val="24"/>
                <w:szCs w:val="24"/>
              </w:rPr>
              <w:t>4</w:t>
            </w:r>
            <w:r>
              <w:rPr>
                <w:rFonts w:hint="eastAsia" w:ascii="宋体" w:hAnsi="宋体" w:cs="宋体"/>
                <w:kern w:val="0"/>
                <w:sz w:val="24"/>
                <w:szCs w:val="24"/>
                <w:lang w:val="ru-RU"/>
              </w:rPr>
              <w:t>年任意</w:t>
            </w:r>
            <w:r>
              <w:rPr>
                <w:rFonts w:hint="eastAsia" w:ascii="宋体" w:hAnsi="宋体" w:cs="宋体"/>
                <w:kern w:val="0"/>
                <w:sz w:val="24"/>
                <w:szCs w:val="24"/>
              </w:rPr>
              <w:t>1</w:t>
            </w:r>
            <w:r>
              <w:rPr>
                <w:rFonts w:hint="eastAsia" w:ascii="宋体" w:hAnsi="宋体" w:cs="宋体"/>
                <w:kern w:val="0"/>
                <w:sz w:val="24"/>
                <w:szCs w:val="24"/>
                <w:lang w:val="ru-RU"/>
              </w:rPr>
              <w:t>个月及以上社保缴纳证明（新成立公司提供成立以来的社保缴纳凭证）；2、供应商人提供202</w:t>
            </w:r>
            <w:r>
              <w:rPr>
                <w:rFonts w:hint="eastAsia" w:ascii="宋体" w:hAnsi="宋体" w:cs="宋体"/>
                <w:kern w:val="0"/>
                <w:sz w:val="24"/>
                <w:szCs w:val="24"/>
              </w:rPr>
              <w:t>4</w:t>
            </w:r>
            <w:r>
              <w:rPr>
                <w:rFonts w:hint="eastAsia" w:ascii="宋体" w:hAnsi="宋体" w:cs="宋体"/>
                <w:kern w:val="0"/>
                <w:sz w:val="24"/>
                <w:szCs w:val="24"/>
                <w:lang w:val="ru-RU"/>
              </w:rPr>
              <w:t>年任意</w:t>
            </w:r>
            <w:r>
              <w:rPr>
                <w:rFonts w:hint="eastAsia" w:ascii="宋体" w:hAnsi="宋体" w:cs="宋体"/>
                <w:kern w:val="0"/>
                <w:sz w:val="24"/>
                <w:szCs w:val="24"/>
              </w:rPr>
              <w:t>1</w:t>
            </w:r>
            <w:r>
              <w:rPr>
                <w:rFonts w:hint="eastAsia" w:ascii="宋体" w:hAnsi="宋体" w:cs="宋体"/>
                <w:kern w:val="0"/>
                <w:sz w:val="24"/>
                <w:szCs w:val="24"/>
                <w:lang w:val="ru-RU"/>
              </w:rPr>
              <w:t>个月有效的依法纳税证明，纳税证明凭证或零申报凭证</w:t>
            </w:r>
          </w:p>
        </w:tc>
      </w:tr>
      <w:tr>
        <w:tblPrEx>
          <w:tblCellMar>
            <w:top w:w="0" w:type="dxa"/>
            <w:left w:w="108" w:type="dxa"/>
            <w:bottom w:w="0" w:type="dxa"/>
            <w:right w:w="108" w:type="dxa"/>
          </w:tblCellMar>
        </w:tblPrEx>
        <w:trPr>
          <w:trHeight w:val="810"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4</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网站截图</w:t>
            </w:r>
          </w:p>
        </w:tc>
        <w:tc>
          <w:tcPr>
            <w:tcW w:w="3237"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提供“国家企业信用信息公示系统”、“信用中国”、“</w:t>
            </w:r>
            <w:r>
              <w:rPr>
                <w:rFonts w:hint="eastAsia" w:ascii="宋体" w:hAnsi="宋体" w:cs="宋体"/>
                <w:kern w:val="0"/>
                <w:sz w:val="24"/>
                <w:szCs w:val="24"/>
              </w:rPr>
              <w:t>中国政府采购网</w:t>
            </w:r>
            <w:r>
              <w:rPr>
                <w:rFonts w:hint="eastAsia" w:ascii="宋体" w:hAnsi="宋体" w:cs="宋体"/>
                <w:kern w:val="0"/>
                <w:sz w:val="24"/>
                <w:szCs w:val="24"/>
                <w:lang w:val="ru-RU"/>
              </w:rPr>
              <w:t>”</w:t>
            </w:r>
            <w:r>
              <w:rPr>
                <w:rFonts w:hint="eastAsia" w:ascii="宋体" w:hAnsi="宋体" w:cs="宋体"/>
                <w:kern w:val="0"/>
                <w:sz w:val="24"/>
                <w:szCs w:val="24"/>
              </w:rPr>
              <w:t>等</w:t>
            </w:r>
            <w:r>
              <w:rPr>
                <w:rFonts w:hint="eastAsia" w:ascii="宋体" w:hAnsi="宋体" w:cs="宋体"/>
                <w:kern w:val="0"/>
                <w:sz w:val="24"/>
                <w:szCs w:val="24"/>
                <w:lang w:val="ru-RU"/>
              </w:rPr>
              <w:t>网站查询截图并加盖供应商单位公章</w:t>
            </w:r>
          </w:p>
        </w:tc>
      </w:tr>
      <w:tr>
        <w:tblPrEx>
          <w:tblCellMar>
            <w:top w:w="0" w:type="dxa"/>
            <w:left w:w="108" w:type="dxa"/>
            <w:bottom w:w="0" w:type="dxa"/>
            <w:right w:w="108" w:type="dxa"/>
          </w:tblCellMar>
        </w:tblPrEx>
        <w:trPr>
          <w:trHeight w:val="578"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5</w:t>
            </w:r>
          </w:p>
        </w:tc>
        <w:tc>
          <w:tcPr>
            <w:tcW w:w="1323" w:type="pct"/>
            <w:tcBorders>
              <w:top w:val="nil"/>
              <w:left w:val="single" w:color="auto" w:sz="4" w:space="0"/>
              <w:bottom w:val="single" w:color="auto" w:sz="8" w:space="0"/>
              <w:right w:val="single" w:color="auto" w:sz="4" w:space="0"/>
            </w:tcBorders>
            <w:noWrap w:val="0"/>
            <w:vAlign w:val="top"/>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rPr>
              <w:t>响应</w:t>
            </w:r>
            <w:r>
              <w:rPr>
                <w:rFonts w:hint="eastAsia" w:ascii="宋体" w:hAnsi="宋体" w:cs="宋体"/>
                <w:kern w:val="0"/>
                <w:sz w:val="24"/>
                <w:szCs w:val="24"/>
                <w:lang w:val="ru-RU"/>
              </w:rPr>
              <w:t>文件递交</w:t>
            </w:r>
          </w:p>
        </w:tc>
        <w:tc>
          <w:tcPr>
            <w:tcW w:w="3237" w:type="pct"/>
            <w:tcBorders>
              <w:top w:val="nil"/>
              <w:left w:val="single" w:color="auto" w:sz="4" w:space="0"/>
              <w:bottom w:val="single" w:color="auto" w:sz="8" w:space="0"/>
              <w:right w:val="single" w:color="auto" w:sz="8" w:space="0"/>
            </w:tcBorders>
            <w:noWrap w:val="0"/>
            <w:vAlign w:val="top"/>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是否在符合要求的时间前递交</w:t>
            </w:r>
          </w:p>
        </w:tc>
      </w:tr>
      <w:tr>
        <w:tblPrEx>
          <w:tblCellMar>
            <w:top w:w="0" w:type="dxa"/>
            <w:left w:w="108" w:type="dxa"/>
            <w:bottom w:w="0" w:type="dxa"/>
            <w:right w:w="108" w:type="dxa"/>
          </w:tblCellMar>
        </w:tblPrEx>
        <w:trPr>
          <w:trHeight w:val="578"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rPr>
              <w:t>6</w:t>
            </w:r>
          </w:p>
        </w:tc>
        <w:tc>
          <w:tcPr>
            <w:tcW w:w="1323" w:type="pct"/>
            <w:tcBorders>
              <w:top w:val="nil"/>
              <w:left w:val="single" w:color="auto" w:sz="4" w:space="0"/>
              <w:bottom w:val="single" w:color="auto" w:sz="8" w:space="0"/>
              <w:right w:val="single" w:color="auto" w:sz="4" w:space="0"/>
            </w:tcBorders>
            <w:noWrap w:val="0"/>
            <w:vAlign w:val="top"/>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rPr>
              <w:t>响应</w:t>
            </w:r>
            <w:r>
              <w:rPr>
                <w:rFonts w:hint="eastAsia" w:ascii="宋体" w:hAnsi="宋体" w:cs="宋体"/>
                <w:kern w:val="0"/>
                <w:sz w:val="24"/>
                <w:szCs w:val="24"/>
                <w:lang w:val="ru-RU"/>
              </w:rPr>
              <w:t>文件签字和加盖供应商公司鲜章</w:t>
            </w:r>
          </w:p>
        </w:tc>
        <w:tc>
          <w:tcPr>
            <w:tcW w:w="3237" w:type="pct"/>
            <w:tcBorders>
              <w:top w:val="nil"/>
              <w:left w:val="single" w:color="auto" w:sz="4" w:space="0"/>
              <w:bottom w:val="single" w:color="auto" w:sz="8" w:space="0"/>
              <w:right w:val="single" w:color="auto" w:sz="8" w:space="0"/>
            </w:tcBorders>
            <w:noWrap w:val="0"/>
            <w:vAlign w:val="top"/>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是否按</w:t>
            </w:r>
            <w:r>
              <w:rPr>
                <w:rFonts w:hint="eastAsia" w:ascii="宋体" w:hAnsi="宋体" w:cs="宋体"/>
                <w:kern w:val="0"/>
                <w:sz w:val="24"/>
                <w:szCs w:val="24"/>
                <w:lang w:val="en-US" w:eastAsia="zh-CN"/>
              </w:rPr>
              <w:t>询比</w:t>
            </w:r>
            <w:r>
              <w:rPr>
                <w:rFonts w:hint="eastAsia" w:ascii="宋体" w:hAnsi="宋体" w:cs="宋体"/>
                <w:kern w:val="0"/>
                <w:sz w:val="24"/>
                <w:szCs w:val="24"/>
                <w:lang w:val="ru-RU"/>
              </w:rPr>
              <w:t>文件要求签字和加盖供应商公司鲜章</w:t>
            </w:r>
          </w:p>
        </w:tc>
      </w:tr>
      <w:tr>
        <w:tblPrEx>
          <w:tblCellMar>
            <w:top w:w="0" w:type="dxa"/>
            <w:left w:w="108" w:type="dxa"/>
            <w:bottom w:w="0" w:type="dxa"/>
            <w:right w:w="108" w:type="dxa"/>
          </w:tblCellMar>
        </w:tblPrEx>
        <w:trPr>
          <w:trHeight w:val="578"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c>
          <w:tcPr>
            <w:tcW w:w="2286" w:type="dxa"/>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rPr>
            </w:pPr>
            <w:r>
              <w:rPr>
                <w:rFonts w:hint="eastAsia" w:ascii="宋体" w:hAnsi="宋体" w:cs="宋体"/>
                <w:kern w:val="0"/>
                <w:sz w:val="24"/>
                <w:szCs w:val="24"/>
              </w:rPr>
              <w:t>响应</w:t>
            </w:r>
            <w:r>
              <w:rPr>
                <w:rFonts w:hint="eastAsia" w:ascii="宋体" w:hAnsi="宋体" w:cs="宋体"/>
                <w:kern w:val="0"/>
                <w:sz w:val="24"/>
                <w:szCs w:val="24"/>
                <w:lang w:val="ru-RU"/>
              </w:rPr>
              <w:t>文件内容</w:t>
            </w:r>
          </w:p>
        </w:tc>
        <w:tc>
          <w:tcPr>
            <w:tcW w:w="5592" w:type="dxa"/>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rPr>
              <w:t>响应</w:t>
            </w:r>
            <w:r>
              <w:rPr>
                <w:rFonts w:hint="eastAsia" w:ascii="宋体" w:hAnsi="宋体" w:cs="宋体"/>
                <w:kern w:val="0"/>
                <w:sz w:val="24"/>
                <w:szCs w:val="24"/>
                <w:lang w:val="ru-RU"/>
              </w:rPr>
              <w:t>文件内容是否完整响应询比采购文件</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2.有一项内容不合格，综合评定为不合格。</w:t>
            </w:r>
          </w:p>
        </w:tc>
      </w:tr>
    </w:tbl>
    <w:p>
      <w:pPr>
        <w:pStyle w:val="7"/>
        <w:spacing w:beforeAutospacing="0" w:line="360" w:lineRule="auto"/>
        <w:ind w:left="0" w:firstLine="0" w:firstLineChars="0"/>
        <w:rPr>
          <w:rFonts w:ascii="宋体" w:hAnsi="宋体" w:cs="宋体"/>
          <w:b/>
          <w:bCs/>
          <w:sz w:val="24"/>
          <w:szCs w:val="24"/>
        </w:rPr>
      </w:pPr>
      <w:r>
        <w:rPr>
          <w:rFonts w:hint="eastAsia" w:ascii="宋体" w:hAnsi="宋体" w:cs="宋体"/>
          <w:b/>
          <w:bCs/>
          <w:sz w:val="24"/>
          <w:szCs w:val="24"/>
        </w:rPr>
        <w:t>详细评审（综合评分法）:</w:t>
      </w:r>
    </w:p>
    <w:tbl>
      <w:tblPr>
        <w:tblStyle w:val="1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766"/>
        <w:gridCol w:w="82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b/>
                <w:bCs/>
                <w:color w:val="000000"/>
                <w:sz w:val="21"/>
                <w:szCs w:val="21"/>
              </w:rPr>
            </w:pPr>
            <w:r>
              <w:rPr>
                <w:rFonts w:hint="eastAsia" w:ascii="宋体"/>
                <w:b/>
                <w:bCs/>
                <w:color w:val="000000"/>
                <w:sz w:val="21"/>
                <w:szCs w:val="21"/>
              </w:rPr>
              <w:t>序号</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b/>
                <w:bCs/>
                <w:color w:val="000000"/>
                <w:sz w:val="21"/>
                <w:szCs w:val="21"/>
              </w:rPr>
            </w:pPr>
            <w:r>
              <w:rPr>
                <w:rFonts w:hint="eastAsia" w:ascii="宋体"/>
                <w:b/>
                <w:bCs/>
                <w:color w:val="000000"/>
                <w:sz w:val="21"/>
                <w:szCs w:val="21"/>
              </w:rPr>
              <w:t>评分因素</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b/>
                <w:bCs/>
                <w:color w:val="000000"/>
                <w:sz w:val="21"/>
                <w:szCs w:val="21"/>
              </w:rPr>
            </w:pPr>
            <w:r>
              <w:rPr>
                <w:rFonts w:hint="eastAsia" w:ascii="宋体"/>
                <w:b/>
                <w:bCs/>
                <w:color w:val="000000"/>
                <w:sz w:val="21"/>
                <w:szCs w:val="21"/>
              </w:rPr>
              <w:t>分值</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b/>
                <w:bCs/>
                <w:color w:val="000000"/>
                <w:sz w:val="21"/>
                <w:szCs w:val="21"/>
              </w:rPr>
            </w:pPr>
            <w:r>
              <w:rPr>
                <w:rFonts w:hint="eastAsia" w:ascii="宋体"/>
                <w:b/>
                <w:bCs/>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1</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价格部分</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 xml:space="preserve">30 </w:t>
            </w:r>
          </w:p>
        </w:tc>
        <w:tc>
          <w:tcPr>
            <w:tcW w:w="3310" w:type="pct"/>
            <w:tcBorders>
              <w:top w:val="single" w:color="auto" w:sz="4" w:space="0"/>
              <w:left w:val="nil"/>
              <w:bottom w:val="single" w:color="auto" w:sz="4" w:space="0"/>
              <w:right w:val="single" w:color="auto" w:sz="4" w:space="0"/>
            </w:tcBorders>
            <w:vAlign w:val="center"/>
          </w:tcPr>
          <w:p>
            <w:pPr>
              <w:pStyle w:val="15"/>
              <w:snapToGrid w:val="0"/>
              <w:spacing w:before="0" w:beforeAutospacing="0" w:after="0" w:afterAutospacing="0" w:line="360" w:lineRule="auto"/>
              <w:rPr>
                <w:rFonts w:hAnsi="宋体"/>
                <w:color w:val="000000"/>
                <w:sz w:val="21"/>
                <w:szCs w:val="21"/>
              </w:rPr>
            </w:pPr>
            <w:r>
              <w:rPr>
                <w:rFonts w:hint="eastAsia"/>
                <w:color w:val="000000"/>
                <w:sz w:val="21"/>
                <w:szCs w:val="21"/>
              </w:rPr>
              <w:t>采用低价优先法计算，即满足招标文件要求且投标价格最低的投标报价为评标基准价，其价格分为满分。其他投标人的价格分统一按照下列公式计算：投标报价得分=(评标基准价／投标报价)×0.30×100评标过程中，不得去掉报价中的最高报价和最低报价。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b/>
                <w:bCs/>
                <w:color w:val="000000"/>
                <w:sz w:val="21"/>
                <w:szCs w:val="21"/>
              </w:rPr>
            </w:pPr>
            <w:r>
              <w:rPr>
                <w:rFonts w:hint="eastAsia" w:ascii="宋体" w:hAnsi="宋体"/>
                <w:b/>
                <w:bCs/>
                <w:color w:val="000000"/>
                <w:sz w:val="21"/>
                <w:szCs w:val="21"/>
              </w:rPr>
              <w:t>2</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b/>
                <w:bCs/>
                <w:color w:val="000000"/>
                <w:sz w:val="21"/>
                <w:szCs w:val="21"/>
              </w:rPr>
            </w:pPr>
            <w:r>
              <w:rPr>
                <w:rFonts w:hint="eastAsia" w:ascii="宋体" w:hAnsi="宋体"/>
                <w:b/>
                <w:bCs/>
                <w:color w:val="000000"/>
                <w:sz w:val="21"/>
                <w:szCs w:val="21"/>
              </w:rPr>
              <w:t>技术部分</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b/>
                <w:bCs/>
                <w:color w:val="000000"/>
                <w:sz w:val="21"/>
                <w:szCs w:val="21"/>
              </w:rPr>
            </w:pPr>
            <w:r>
              <w:rPr>
                <w:rFonts w:hint="eastAsia" w:ascii="宋体" w:hAnsi="宋体"/>
                <w:b/>
                <w:bCs/>
                <w:color w:val="000000"/>
                <w:sz w:val="21"/>
                <w:szCs w:val="21"/>
              </w:rPr>
              <w:t>60</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1"/>
                <w:szCs w:val="21"/>
              </w:rPr>
            </w:pPr>
            <w:r>
              <w:rPr>
                <w:rFonts w:hint="eastAsia" w:ascii="宋体" w:hAnsi="宋体"/>
                <w:color w:val="000000"/>
                <w:sz w:val="21"/>
                <w:szCs w:val="21"/>
              </w:rPr>
              <w:t>2.1</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产品参数</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24</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olor w:val="000000"/>
                <w:sz w:val="21"/>
                <w:szCs w:val="21"/>
              </w:rPr>
            </w:pPr>
            <w:r>
              <w:rPr>
                <w:rFonts w:hint="eastAsia" w:ascii="宋体" w:hAnsi="宋体"/>
                <w:color w:val="000000"/>
                <w:sz w:val="21"/>
                <w:szCs w:val="21"/>
              </w:rPr>
              <w:t>依据各投标人投标产品的主要参数、性能等情况，完全满足招标文件参数的得</w:t>
            </w:r>
            <w:r>
              <w:rPr>
                <w:rFonts w:hint="eastAsia" w:ascii="宋体" w:hAnsi="宋体"/>
                <w:color w:val="000000"/>
                <w:sz w:val="21"/>
                <w:szCs w:val="21"/>
                <w:lang w:val="en-US" w:eastAsia="zh-CN"/>
              </w:rPr>
              <w:t>24</w:t>
            </w:r>
            <w:r>
              <w:rPr>
                <w:rFonts w:hint="eastAsia" w:ascii="宋体" w:hAnsi="宋体"/>
                <w:color w:val="000000"/>
                <w:sz w:val="21"/>
                <w:szCs w:val="21"/>
              </w:rPr>
              <w:t>分；</w:t>
            </w:r>
            <w:r>
              <w:rPr>
                <w:rFonts w:hint="eastAsia" w:ascii="宋体" w:hAnsi="宋体"/>
                <w:color w:val="000000"/>
                <w:sz w:val="21"/>
                <w:szCs w:val="21"/>
                <w:lang w:val="en-US" w:eastAsia="zh-CN"/>
              </w:rPr>
              <w:t>不满足招标文件参数一项扣2分；</w:t>
            </w:r>
            <w:r>
              <w:rPr>
                <w:rFonts w:hint="eastAsia" w:ascii="宋体" w:hAnsi="宋体"/>
                <w:color w:val="000000"/>
                <w:sz w:val="21"/>
                <w:szCs w:val="21"/>
              </w:rPr>
              <w:t>不提供“产品参数表”者本项不得分</w:t>
            </w:r>
            <w:r>
              <w:rPr>
                <w:rFonts w:hint="eastAsia" w:ascii="宋体" w:hAnsi="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jc w:val="center"/>
        </w:trPr>
        <w:tc>
          <w:tcPr>
            <w:tcW w:w="372" w:type="pct"/>
            <w:tcBorders>
              <w:top w:val="nil"/>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2.2</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项目实施方案</w:t>
            </w:r>
          </w:p>
        </w:tc>
        <w:tc>
          <w:tcPr>
            <w:tcW w:w="420" w:type="pct"/>
            <w:tcBorders>
              <w:top w:val="nil"/>
              <w:left w:val="nil"/>
              <w:bottom w:val="single" w:color="auto" w:sz="4" w:space="0"/>
              <w:right w:val="single" w:color="auto" w:sz="4" w:space="0"/>
            </w:tcBorders>
            <w:vAlign w:val="center"/>
          </w:tcPr>
          <w:p>
            <w:pPr>
              <w:snapToGrid w:val="0"/>
              <w:spacing w:line="360" w:lineRule="auto"/>
              <w:ind w:firstLine="28"/>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16</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rPr>
                <w:rFonts w:ascii="宋体" w:hAnsi="宋体"/>
                <w:color w:val="000000"/>
                <w:sz w:val="21"/>
                <w:szCs w:val="21"/>
              </w:rPr>
            </w:pPr>
            <w:r>
              <w:rPr>
                <w:rFonts w:hint="eastAsia" w:ascii="宋体" w:hAnsi="宋体"/>
                <w:color w:val="000000"/>
                <w:sz w:val="21"/>
                <w:szCs w:val="21"/>
              </w:rPr>
              <w:t>1、投标人应对本项目的实施计划、维保计划、验收计划进行充分了解和分析，评标小组根据投标人的了解程度，分析的完善性、合理性进行评审：优6-</w:t>
            </w:r>
            <w:r>
              <w:rPr>
                <w:rFonts w:hint="eastAsia" w:ascii="宋体" w:hAnsi="宋体"/>
                <w:color w:val="000000"/>
                <w:sz w:val="21"/>
                <w:szCs w:val="21"/>
                <w:lang w:val="en-US" w:eastAsia="zh-CN"/>
              </w:rPr>
              <w:t>8</w:t>
            </w:r>
            <w:r>
              <w:rPr>
                <w:rFonts w:hint="eastAsia" w:ascii="宋体" w:hAnsi="宋体"/>
                <w:color w:val="000000"/>
                <w:sz w:val="21"/>
                <w:szCs w:val="21"/>
              </w:rPr>
              <w:t>分；一般3-5分；差</w:t>
            </w:r>
            <w:r>
              <w:rPr>
                <w:rFonts w:ascii="宋体" w:hAnsi="宋体"/>
                <w:color w:val="000000"/>
                <w:sz w:val="21"/>
                <w:szCs w:val="21"/>
              </w:rPr>
              <w:t>1</w:t>
            </w:r>
            <w:r>
              <w:rPr>
                <w:rFonts w:hint="eastAsia" w:ascii="宋体" w:hAnsi="宋体"/>
                <w:color w:val="000000"/>
                <w:sz w:val="21"/>
                <w:szCs w:val="21"/>
              </w:rPr>
              <w:t>-2分；不提供不得分。</w:t>
            </w:r>
          </w:p>
          <w:p>
            <w:pPr>
              <w:snapToGrid w:val="0"/>
              <w:spacing w:line="360" w:lineRule="auto"/>
              <w:ind w:firstLine="28"/>
              <w:rPr>
                <w:rFonts w:ascii="宋体" w:hAnsi="宋体"/>
                <w:color w:val="000000"/>
                <w:sz w:val="21"/>
                <w:szCs w:val="21"/>
              </w:rPr>
            </w:pPr>
            <w:r>
              <w:rPr>
                <w:rFonts w:hint="eastAsia" w:ascii="宋体" w:hAnsi="宋体"/>
                <w:color w:val="000000"/>
                <w:sz w:val="21"/>
                <w:szCs w:val="21"/>
              </w:rPr>
              <w:t>2、投标人供货方案，评标小组根据方案的针对性、合理性、全面性等进行评审：优6-</w:t>
            </w:r>
            <w:r>
              <w:rPr>
                <w:rFonts w:hint="eastAsia" w:ascii="宋体" w:hAnsi="宋体"/>
                <w:color w:val="000000"/>
                <w:sz w:val="21"/>
                <w:szCs w:val="21"/>
                <w:lang w:val="en-US" w:eastAsia="zh-CN"/>
              </w:rPr>
              <w:t>8</w:t>
            </w:r>
            <w:r>
              <w:rPr>
                <w:rFonts w:hint="eastAsia" w:ascii="宋体" w:hAnsi="宋体"/>
                <w:color w:val="000000"/>
                <w:sz w:val="21"/>
                <w:szCs w:val="21"/>
              </w:rPr>
              <w:t>分；一般3-5分；差</w:t>
            </w:r>
            <w:r>
              <w:rPr>
                <w:rFonts w:ascii="宋体" w:hAnsi="宋体"/>
                <w:color w:val="000000"/>
                <w:sz w:val="21"/>
                <w:szCs w:val="21"/>
              </w:rPr>
              <w:t>1</w:t>
            </w:r>
            <w:r>
              <w:rPr>
                <w:rFonts w:hint="eastAsia" w:ascii="宋体" w:hAnsi="宋体"/>
                <w:color w:val="000000"/>
                <w:sz w:val="21"/>
                <w:szCs w:val="21"/>
              </w:rPr>
              <w:t>-2分；不提供不得分。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1"/>
                <w:szCs w:val="21"/>
              </w:rPr>
            </w:pPr>
            <w:r>
              <w:rPr>
                <w:rFonts w:hint="eastAsia" w:ascii="宋体" w:hAnsi="宋体"/>
                <w:color w:val="000000"/>
                <w:sz w:val="21"/>
                <w:szCs w:val="21"/>
              </w:rPr>
              <w:t>2.3</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售后服务承诺</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ascii="宋体" w:hAnsi="宋体"/>
                <w:color w:val="000000"/>
                <w:sz w:val="21"/>
                <w:szCs w:val="21"/>
              </w:rPr>
              <w:t>10</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olor w:val="000000"/>
                <w:sz w:val="21"/>
                <w:szCs w:val="21"/>
              </w:rPr>
            </w:pPr>
            <w:r>
              <w:rPr>
                <w:rFonts w:hint="eastAsia" w:ascii="宋体" w:hAnsi="宋体"/>
                <w:color w:val="000000"/>
                <w:sz w:val="21"/>
                <w:szCs w:val="21"/>
              </w:rPr>
              <w:t>投标单位售后服务承诺完善，明确承诺投标产品的保修时间、保修期内的保修内容与范围、维修响应时间等情况综合考评。优7</w:t>
            </w:r>
            <w:r>
              <w:rPr>
                <w:rFonts w:ascii="宋体" w:hAnsi="宋体"/>
                <w:color w:val="000000"/>
                <w:sz w:val="21"/>
                <w:szCs w:val="21"/>
              </w:rPr>
              <w:t>-10</w:t>
            </w:r>
            <w:r>
              <w:rPr>
                <w:rFonts w:hint="eastAsia" w:ascii="宋体" w:hAnsi="宋体"/>
                <w:color w:val="000000"/>
                <w:sz w:val="21"/>
                <w:szCs w:val="21"/>
              </w:rPr>
              <w:t>分；一般4</w:t>
            </w:r>
            <w:r>
              <w:rPr>
                <w:rFonts w:ascii="宋体" w:hAnsi="宋体"/>
                <w:color w:val="000000"/>
                <w:sz w:val="21"/>
                <w:szCs w:val="21"/>
              </w:rPr>
              <w:t>-</w:t>
            </w:r>
            <w:r>
              <w:rPr>
                <w:rFonts w:hint="eastAsia" w:ascii="宋体" w:hAnsi="宋体"/>
                <w:color w:val="000000"/>
                <w:sz w:val="21"/>
                <w:szCs w:val="21"/>
              </w:rPr>
              <w:t>6分；差</w:t>
            </w:r>
            <w:r>
              <w:rPr>
                <w:rFonts w:ascii="宋体" w:hAnsi="宋体"/>
                <w:color w:val="000000"/>
                <w:sz w:val="21"/>
                <w:szCs w:val="21"/>
              </w:rPr>
              <w:t>1</w:t>
            </w:r>
            <w:r>
              <w:rPr>
                <w:rFonts w:hint="eastAsia" w:ascii="宋体" w:hAnsi="宋体"/>
                <w:color w:val="000000"/>
                <w:sz w:val="21"/>
                <w:szCs w:val="21"/>
              </w:rPr>
              <w:t>-3分；不提供不得分。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2.4</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质量及保证措施</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10</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left"/>
              <w:rPr>
                <w:rFonts w:ascii="宋体" w:hAnsi="宋体"/>
                <w:color w:val="000000"/>
                <w:sz w:val="21"/>
                <w:szCs w:val="21"/>
              </w:rPr>
            </w:pPr>
            <w:r>
              <w:rPr>
                <w:rFonts w:hint="eastAsia" w:ascii="宋体" w:hAnsi="宋体"/>
                <w:color w:val="000000"/>
                <w:sz w:val="21"/>
                <w:szCs w:val="21"/>
              </w:rPr>
              <w:t>需提供详细的措施，所述内容响应招标文件要求的，优7</w:t>
            </w:r>
            <w:r>
              <w:rPr>
                <w:rFonts w:ascii="宋体" w:hAnsi="宋体"/>
                <w:color w:val="000000"/>
                <w:sz w:val="21"/>
                <w:szCs w:val="21"/>
              </w:rPr>
              <w:t>-10</w:t>
            </w:r>
            <w:r>
              <w:rPr>
                <w:rFonts w:hint="eastAsia" w:ascii="宋体" w:hAnsi="宋体"/>
                <w:color w:val="000000"/>
                <w:sz w:val="21"/>
                <w:szCs w:val="21"/>
              </w:rPr>
              <w:t>分；一般4</w:t>
            </w:r>
            <w:r>
              <w:rPr>
                <w:rFonts w:ascii="宋体" w:hAnsi="宋体"/>
                <w:color w:val="000000"/>
                <w:sz w:val="21"/>
                <w:szCs w:val="21"/>
              </w:rPr>
              <w:t>-</w:t>
            </w:r>
            <w:r>
              <w:rPr>
                <w:rFonts w:hint="eastAsia" w:ascii="宋体" w:hAnsi="宋体"/>
                <w:color w:val="000000"/>
                <w:sz w:val="21"/>
                <w:szCs w:val="21"/>
              </w:rPr>
              <w:t>6分；差</w:t>
            </w:r>
            <w:r>
              <w:rPr>
                <w:rFonts w:ascii="宋体" w:hAnsi="宋体"/>
                <w:color w:val="000000"/>
                <w:sz w:val="21"/>
                <w:szCs w:val="21"/>
              </w:rPr>
              <w:t>1</w:t>
            </w:r>
            <w:r>
              <w:rPr>
                <w:rFonts w:hint="eastAsia" w:ascii="宋体" w:hAnsi="宋体"/>
                <w:color w:val="000000"/>
                <w:sz w:val="21"/>
                <w:szCs w:val="21"/>
              </w:rPr>
              <w:t>-3分；不提供不得分。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b/>
                <w:bCs/>
                <w:color w:val="000000"/>
                <w:sz w:val="21"/>
                <w:szCs w:val="21"/>
              </w:rPr>
            </w:pPr>
            <w:r>
              <w:rPr>
                <w:rFonts w:hint="eastAsia" w:ascii="宋体" w:hAnsi="宋体"/>
                <w:b/>
                <w:bCs/>
                <w:color w:val="000000"/>
                <w:sz w:val="21"/>
                <w:szCs w:val="21"/>
              </w:rPr>
              <w:t>3</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b/>
                <w:bCs/>
                <w:color w:val="000000"/>
                <w:sz w:val="21"/>
                <w:szCs w:val="21"/>
              </w:rPr>
            </w:pPr>
            <w:r>
              <w:rPr>
                <w:rFonts w:hint="eastAsia" w:ascii="宋体" w:hAnsi="宋体"/>
                <w:b/>
                <w:bCs/>
                <w:color w:val="000000"/>
                <w:sz w:val="21"/>
                <w:szCs w:val="21"/>
              </w:rPr>
              <w:t>商务部分</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b/>
                <w:bCs/>
                <w:color w:val="000000"/>
                <w:sz w:val="21"/>
                <w:szCs w:val="21"/>
              </w:rPr>
            </w:pPr>
            <w:r>
              <w:rPr>
                <w:rFonts w:hint="eastAsia" w:ascii="宋体" w:hAnsi="宋体"/>
                <w:b/>
                <w:bCs/>
                <w:color w:val="000000"/>
                <w:sz w:val="21"/>
                <w:szCs w:val="21"/>
              </w:rPr>
              <w:t>10</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3.1</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olor w:val="000000"/>
                <w:sz w:val="21"/>
                <w:szCs w:val="21"/>
              </w:rPr>
            </w:pPr>
            <w:r>
              <w:rPr>
                <w:rFonts w:hint="eastAsia" w:ascii="宋体" w:hAnsi="宋体" w:cs="宋体"/>
                <w:bCs/>
                <w:sz w:val="21"/>
                <w:szCs w:val="21"/>
              </w:rPr>
              <w:t>项目经验</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8</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rPr>
                <w:rFonts w:ascii="宋体" w:hAnsi="宋体"/>
                <w:color w:val="000000"/>
                <w:sz w:val="21"/>
                <w:szCs w:val="21"/>
              </w:rPr>
            </w:pPr>
            <w:r>
              <w:rPr>
                <w:rFonts w:hint="eastAsia" w:ascii="宋体" w:hAnsi="宋体"/>
                <w:color w:val="000000"/>
                <w:sz w:val="21"/>
                <w:szCs w:val="21"/>
              </w:rPr>
              <w:t>提供（202</w:t>
            </w:r>
            <w:r>
              <w:rPr>
                <w:rFonts w:hint="eastAsia" w:ascii="宋体" w:hAnsi="宋体"/>
                <w:color w:val="000000"/>
                <w:sz w:val="21"/>
                <w:szCs w:val="21"/>
                <w:lang w:val="en-US" w:eastAsia="zh-CN"/>
              </w:rPr>
              <w:t>1</w:t>
            </w:r>
            <w:r>
              <w:rPr>
                <w:rFonts w:hint="eastAsia" w:ascii="宋体" w:hAnsi="宋体"/>
                <w:color w:val="000000"/>
                <w:sz w:val="21"/>
                <w:szCs w:val="21"/>
              </w:rPr>
              <w:t>年至今）项目业绩证明材料,每提供1项得2分,最多得8分；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3.2</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投标文件的规范性</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2</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left"/>
              <w:rPr>
                <w:rFonts w:ascii="宋体" w:hAnsi="宋体"/>
                <w:color w:val="000000"/>
                <w:sz w:val="21"/>
                <w:szCs w:val="21"/>
              </w:rPr>
            </w:pPr>
            <w:r>
              <w:rPr>
                <w:rFonts w:hint="eastAsia" w:ascii="宋体" w:hAnsi="宋体"/>
                <w:color w:val="000000"/>
                <w:sz w:val="21"/>
                <w:szCs w:val="21"/>
              </w:rPr>
              <w:t xml:space="preserve">所提供的投标文件制作规范，优2分；一般1分；差0分； </w:t>
            </w:r>
          </w:p>
        </w:tc>
      </w:tr>
    </w:tbl>
    <w:p>
      <w:pPr>
        <w:widowControl/>
        <w:spacing w:line="360" w:lineRule="auto"/>
        <w:jc w:val="left"/>
        <w:rPr>
          <w:rFonts w:ascii="宋体" w:hAnsi="宋体" w:cs="宋体"/>
          <w:color w:val="FF0000"/>
          <w:sz w:val="24"/>
          <w:szCs w:val="24"/>
        </w:rPr>
      </w:pPr>
      <w:r>
        <w:rPr>
          <w:rFonts w:ascii="宋体" w:hAnsi="宋体" w:cs="宋体"/>
          <w:color w:val="FF0000"/>
          <w:sz w:val="24"/>
          <w:szCs w:val="24"/>
        </w:rPr>
        <w:br w:type="page"/>
      </w:r>
    </w:p>
    <w:p>
      <w:pPr>
        <w:rPr>
          <w:rFonts w:ascii="宋体" w:hAnsi="宋体" w:cs="宋体"/>
          <w:color w:val="FF0000"/>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0"/>
        </w:numPr>
        <w:spacing w:line="312" w:lineRule="auto"/>
        <w:rPr>
          <w:rFonts w:ascii="宋体" w:hAnsi="宋体" w:cs="宋体"/>
          <w:b/>
          <w:sz w:val="24"/>
          <w:szCs w:val="24"/>
        </w:rPr>
      </w:pPr>
      <w:r>
        <w:rPr>
          <w:rFonts w:hint="eastAsia" w:ascii="宋体" w:hAnsi="宋体" w:eastAsia="宋体" w:cs="宋体"/>
          <w:b/>
          <w:kern w:val="2"/>
          <w:sz w:val="24"/>
          <w:szCs w:val="24"/>
          <w:lang w:val="en-US" w:eastAsia="zh-CN" w:bidi="ar-SA"/>
        </w:rPr>
        <w:t>一、</w:t>
      </w: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2、我方现提交的响应文件为：响应文件电子文档壹份，纸质版文档壹份。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w:t>
      </w:r>
      <w:r>
        <w:rPr>
          <w:rFonts w:hint="eastAsia" w:ascii="宋体" w:hAnsi="宋体" w:cs="宋体"/>
          <w:sz w:val="24"/>
          <w:szCs w:val="24"/>
          <w:u w:val="single"/>
        </w:rPr>
        <w:t>60</w:t>
      </w:r>
      <w:r>
        <w:rPr>
          <w:rFonts w:hint="eastAsia" w:ascii="宋体" w:hAnsi="宋体" w:cs="宋体"/>
          <w:sz w:val="24"/>
          <w:szCs w:val="24"/>
        </w:rPr>
        <w:t>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34" w:bottom="1134" w:left="113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1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13"/>
        <w:spacing w:line="312" w:lineRule="auto"/>
        <w:ind w:firstLine="480"/>
        <w:rPr>
          <w:rFonts w:ascii="宋体" w:hAnsi="宋体" w:cs="宋体"/>
          <w:sz w:val="24"/>
          <w:szCs w:val="24"/>
        </w:rPr>
      </w:pPr>
    </w:p>
    <w:p>
      <w:pPr>
        <w:pStyle w:val="13"/>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（三）投标产品参数表</w:t>
      </w:r>
    </w:p>
    <w:p>
      <w:pPr>
        <w:tabs>
          <w:tab w:val="left" w:pos="2895"/>
        </w:tabs>
        <w:spacing w:line="312" w:lineRule="auto"/>
        <w:ind w:firstLine="643" w:firstLineChars="200"/>
        <w:jc w:val="center"/>
        <w:rPr>
          <w:rFonts w:ascii="宋体" w:hAnsi="宋体" w:cs="宋体"/>
          <w:sz w:val="24"/>
          <w:szCs w:val="24"/>
        </w:rPr>
      </w:pPr>
      <w:r>
        <w:rPr>
          <w:rFonts w:hint="eastAsia" w:ascii="宋体" w:hAnsi="宋体" w:cs="宋体"/>
          <w:b/>
          <w:bCs/>
          <w:sz w:val="32"/>
          <w:szCs w:val="32"/>
        </w:rPr>
        <w:t>投标产品参数表</w:t>
      </w:r>
    </w:p>
    <w:p>
      <w:pPr>
        <w:tabs>
          <w:tab w:val="left" w:pos="2895"/>
        </w:tabs>
        <w:spacing w:line="312" w:lineRule="auto"/>
        <w:rPr>
          <w:rFonts w:ascii="宋体" w:hAnsi="宋体" w:cs="宋体"/>
          <w:sz w:val="24"/>
          <w:szCs w:val="24"/>
        </w:rPr>
      </w:pPr>
      <w:r>
        <w:rPr>
          <w:rFonts w:hint="eastAsia" w:ascii="宋体" w:hAnsi="宋体" w:cs="宋体"/>
          <w:sz w:val="24"/>
          <w:szCs w:val="24"/>
        </w:rPr>
        <w:t xml:space="preserve">项目编号：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749"/>
        <w:gridCol w:w="4033"/>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序号</w:t>
            </w:r>
          </w:p>
        </w:tc>
        <w:tc>
          <w:tcPr>
            <w:tcW w:w="2749"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询比文件要求</w:t>
            </w:r>
          </w:p>
        </w:tc>
        <w:tc>
          <w:tcPr>
            <w:tcW w:w="4033" w:type="dxa"/>
            <w:vAlign w:val="center"/>
          </w:tcPr>
          <w:p>
            <w:pPr>
              <w:tabs>
                <w:tab w:val="left" w:pos="2895"/>
              </w:tabs>
              <w:spacing w:line="312"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产品参数</w:t>
            </w:r>
          </w:p>
        </w:tc>
        <w:tc>
          <w:tcPr>
            <w:tcW w:w="1460" w:type="dxa"/>
            <w:vAlign w:val="center"/>
          </w:tcPr>
          <w:p>
            <w:pPr>
              <w:tabs>
                <w:tab w:val="left" w:pos="2895"/>
              </w:tabs>
              <w:spacing w:line="312" w:lineRule="auto"/>
              <w:rPr>
                <w:rFonts w:ascii="宋体" w:hAnsi="宋体" w:cs="宋体"/>
                <w:sz w:val="24"/>
                <w:szCs w:val="24"/>
              </w:rPr>
            </w:pPr>
            <w:r>
              <w:rPr>
                <w:rFonts w:hint="eastAsia" w:ascii="宋体" w:hAnsi="宋体" w:cs="宋体"/>
                <w:sz w:val="24"/>
                <w:szCs w:val="24"/>
              </w:rPr>
              <w:t>响应/偏离及说明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1</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2</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3</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4</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5</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bl>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注：说明：投标申请人应仔细阅读“采购内容”部分，项目技术、服务、政府采购合同内容条款及其他商务要求的相关内容明确作出“无偏离”的响应，按其他方式响应视为“负偏离”。</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供应商名称：     （单位盖章）。</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 xml:space="preserve">法定代表人或授权代表（签字或加盖个人名章）：     </w:t>
      </w:r>
    </w:p>
    <w:p>
      <w:pPr>
        <w:tabs>
          <w:tab w:val="left" w:pos="2895"/>
        </w:tabs>
        <w:spacing w:line="312" w:lineRule="auto"/>
        <w:ind w:firstLine="480" w:firstLineChars="200"/>
        <w:rPr>
          <w:rFonts w:ascii="宋体" w:hAnsi="宋体" w:cs="宋体"/>
          <w:sz w:val="24"/>
          <w:szCs w:val="24"/>
        </w:rPr>
      </w:pPr>
    </w:p>
    <w:p>
      <w:pPr>
        <w:tabs>
          <w:tab w:val="left" w:pos="2895"/>
        </w:tabs>
        <w:spacing w:line="312" w:lineRule="auto"/>
        <w:ind w:firstLine="480" w:firstLineChars="200"/>
        <w:rPr>
          <w:rFonts w:ascii="宋体" w:hAnsi="宋体" w:cs="宋体"/>
          <w:sz w:val="24"/>
          <w:szCs w:val="24"/>
        </w:rPr>
      </w:pPr>
    </w:p>
    <w:p>
      <w:pPr>
        <w:tabs>
          <w:tab w:val="left" w:pos="2895"/>
        </w:tabs>
        <w:spacing w:line="312" w:lineRule="auto"/>
        <w:ind w:firstLine="480" w:firstLineChars="200"/>
        <w:rPr>
          <w:rFonts w:ascii="宋体" w:hAnsi="宋体" w:cs="宋体"/>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numPr>
          <w:ilvl w:val="0"/>
          <w:numId w:val="0"/>
        </w:numPr>
        <w:spacing w:line="312" w:lineRule="auto"/>
        <w:rPr>
          <w:rFonts w:ascii="宋体" w:hAnsi="宋体" w:cs="宋体"/>
          <w:b/>
          <w:sz w:val="24"/>
          <w:szCs w:val="24"/>
        </w:rPr>
      </w:pPr>
      <w:r>
        <w:rPr>
          <w:rFonts w:hint="eastAsia" w:ascii="宋体" w:hAnsi="宋体" w:eastAsia="宋体" w:cs="宋体"/>
          <w:b/>
          <w:kern w:val="2"/>
          <w:sz w:val="24"/>
          <w:szCs w:val="24"/>
          <w:lang w:val="en-US" w:eastAsia="zh-CN" w:bidi="ar-SA"/>
        </w:rPr>
        <w:t>二、</w:t>
      </w: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4"/>
        <w:numPr>
          <w:ilvl w:val="0"/>
          <w:numId w:val="0"/>
        </w:numPr>
        <w:spacing w:before="0" w:after="0" w:line="360" w:lineRule="auto"/>
        <w:jc w:val="left"/>
        <w:rPr>
          <w:rFonts w:hint="eastAsia" w:ascii="宋体" w:hAnsi="宋体" w:eastAsia="宋体" w:cs="宋体"/>
          <w:b/>
          <w:kern w:val="2"/>
          <w:sz w:val="24"/>
          <w:szCs w:val="24"/>
          <w:lang w:val="en-US" w:eastAsia="zh-CN" w:bidi="ar-SA"/>
        </w:rPr>
      </w:pPr>
    </w:p>
    <w:p>
      <w:pPr>
        <w:rPr>
          <w:rFonts w:hint="eastAsia"/>
          <w:lang w:val="en-US" w:eastAsia="zh-CN"/>
        </w:rPr>
      </w:pPr>
    </w:p>
    <w:p>
      <w:pPr>
        <w:pStyle w:val="4"/>
        <w:numPr>
          <w:ilvl w:val="0"/>
          <w:numId w:val="0"/>
        </w:numPr>
        <w:spacing w:before="0" w:after="0" w:line="360" w:lineRule="auto"/>
        <w:jc w:val="left"/>
        <w:rPr>
          <w:rFonts w:ascii="宋体" w:hAnsi="宋体" w:cs="宋体"/>
          <w:sz w:val="24"/>
          <w:szCs w:val="24"/>
        </w:rPr>
      </w:pPr>
      <w:r>
        <w:rPr>
          <w:rFonts w:hint="eastAsia" w:ascii="宋体" w:hAnsi="宋体" w:eastAsia="宋体" w:cs="宋体"/>
          <w:b/>
          <w:kern w:val="2"/>
          <w:sz w:val="24"/>
          <w:szCs w:val="24"/>
          <w:lang w:val="en-US" w:eastAsia="zh-CN" w:bidi="ar-SA"/>
        </w:rPr>
        <w:t>三、</w:t>
      </w: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4" w:name="_Hlk45893074"/>
      <w:r>
        <w:rPr>
          <w:rFonts w:hint="eastAsia" w:ascii="宋体" w:hAnsi="宋体"/>
          <w:b/>
          <w:bCs/>
          <w:sz w:val="24"/>
          <w:szCs w:val="24"/>
        </w:rPr>
        <w:t>诚信声明（格式）</w:t>
      </w:r>
    </w:p>
    <w:bookmarkEnd w:id="34"/>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pStyle w:val="4"/>
        <w:spacing w:before="0" w:after="0" w:line="312" w:lineRule="auto"/>
        <w:rPr>
          <w:rFonts w:ascii="宋体" w:hAnsi="宋体" w:cs="宋体"/>
          <w:sz w:val="24"/>
          <w:szCs w:val="24"/>
        </w:rPr>
      </w:pPr>
    </w:p>
    <w:p>
      <w:pPr>
        <w:rPr>
          <w:rFonts w:ascii="宋体" w:hAnsi="宋体" w:cs="宋体"/>
          <w:sz w:val="24"/>
          <w:szCs w:val="24"/>
        </w:rPr>
      </w:pPr>
    </w:p>
    <w:p>
      <w:pPr>
        <w:pStyle w:val="21"/>
        <w:rPr>
          <w:rFonts w:hAnsi="宋体"/>
        </w:rPr>
      </w:pPr>
    </w:p>
    <w:p>
      <w:pPr>
        <w:rPr>
          <w:rFonts w:ascii="宋体" w:hAnsi="宋体" w:cs="宋体"/>
          <w:sz w:val="24"/>
          <w:szCs w:val="24"/>
        </w:rPr>
      </w:pPr>
    </w:p>
    <w:p>
      <w:pPr>
        <w:pStyle w:val="21"/>
        <w:rPr>
          <w:rFonts w:hAnsi="宋体"/>
        </w:rPr>
      </w:pPr>
    </w:p>
    <w:p>
      <w:pPr>
        <w:rPr>
          <w:rFonts w:ascii="宋体" w:hAnsi="宋体" w:cs="宋体"/>
          <w:sz w:val="24"/>
          <w:szCs w:val="24"/>
        </w:rPr>
      </w:pPr>
    </w:p>
    <w:p>
      <w:pPr>
        <w:pStyle w:val="5"/>
        <w:rPr>
          <w:rFonts w:ascii="宋体" w:hAnsi="宋体" w:cs="宋体"/>
          <w:sz w:val="24"/>
          <w:szCs w:val="24"/>
        </w:rPr>
      </w:pPr>
    </w:p>
    <w:p/>
    <w:p>
      <w:pPr>
        <w:pStyle w:val="21"/>
        <w:rPr>
          <w:rFonts w:hAnsi="宋体"/>
        </w:rPr>
      </w:pPr>
    </w:p>
    <w:p>
      <w:pPr>
        <w:rPr>
          <w:rFonts w:ascii="宋体" w:hAnsi="宋体" w:cs="宋体"/>
          <w:sz w:val="24"/>
          <w:szCs w:val="24"/>
        </w:rPr>
      </w:pPr>
    </w:p>
    <w:p>
      <w:pPr>
        <w:pStyle w:val="21"/>
      </w:pPr>
    </w:p>
    <w:p>
      <w:pPr>
        <w:pStyle w:val="4"/>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5"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pStyle w:val="5"/>
        <w:rPr>
          <w:rFonts w:ascii="宋体" w:hAnsi="宋体" w:cs="宋体"/>
          <w:sz w:val="24"/>
          <w:szCs w:val="24"/>
        </w:rPr>
      </w:pPr>
    </w:p>
    <w:p>
      <w:pPr>
        <w:spacing w:line="240" w:lineRule="auto"/>
        <w:jc w:val="both"/>
        <w:rPr>
          <w:rFonts w:hint="eastAsia" w:ascii="宋体" w:hAnsi="宋体" w:cs="宋体"/>
          <w:sz w:val="28"/>
          <w:szCs w:val="28"/>
          <w:lang w:val="en-US" w:eastAsia="zh-CN"/>
        </w:rPr>
      </w:pPr>
    </w:p>
    <w:p>
      <w:pPr>
        <w:spacing w:line="240" w:lineRule="auto"/>
        <w:jc w:val="both"/>
        <w:rPr>
          <w:rFonts w:hint="eastAsia" w:ascii="宋体" w:hAnsi="宋体" w:cs="宋体"/>
          <w:sz w:val="28"/>
          <w:szCs w:val="28"/>
          <w:lang w:val="en-US" w:eastAsia="zh-CN"/>
        </w:rPr>
      </w:pPr>
    </w:p>
    <w:p>
      <w:pPr>
        <w:spacing w:line="240" w:lineRule="auto"/>
        <w:jc w:val="both"/>
        <w:rPr>
          <w:rFonts w:hint="eastAsia" w:ascii="宋体" w:hAnsi="宋体" w:cs="宋体"/>
          <w:sz w:val="28"/>
          <w:szCs w:val="28"/>
          <w:lang w:val="en-US" w:eastAsia="zh-CN"/>
        </w:rPr>
      </w:pPr>
    </w:p>
    <w:bookmarkEnd w:id="35"/>
    <w:p>
      <w:pPr>
        <w:tabs>
          <w:tab w:val="left" w:pos="6300"/>
        </w:tabs>
        <w:snapToGrid w:val="0"/>
        <w:spacing w:line="312" w:lineRule="auto"/>
        <w:ind w:right="480"/>
        <w:jc w:val="both"/>
      </w:pPr>
      <w:bookmarkStart w:id="36" w:name="_GoBack"/>
      <w:bookmarkEnd w:id="36"/>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p>
  <w:p>
    <w:pPr>
      <w:pStyle w:val="11"/>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0F88A"/>
    <w:multiLevelType w:val="singleLevel"/>
    <w:tmpl w:val="B8A0F88A"/>
    <w:lvl w:ilvl="0" w:tentative="0">
      <w:start w:val="2"/>
      <w:numFmt w:val="chineseCounting"/>
      <w:suff w:val="nothing"/>
      <w:lvlText w:val="（%1）"/>
      <w:lvlJc w:val="left"/>
      <w:rPr>
        <w:rFonts w:hint="eastAsia"/>
      </w:rPr>
    </w:lvl>
  </w:abstractNum>
  <w:abstractNum w:abstractNumId="1">
    <w:nsid w:val="36E1116A"/>
    <w:multiLevelType w:val="multilevel"/>
    <w:tmpl w:val="36E1116A"/>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WZjOWU4OWViMWJkZjFhMzkyYzljZGYxYmZjMjIifQ=="/>
    <w:docVar w:name="KSO_WPS_MARK_KEY" w:val="85fa1ef7-54c8-4414-93dc-fc2f1d4f2e8d"/>
  </w:docVars>
  <w:rsids>
    <w:rsidRoot w:val="693D54F0"/>
    <w:rsid w:val="00072C34"/>
    <w:rsid w:val="000C1FF9"/>
    <w:rsid w:val="00135E92"/>
    <w:rsid w:val="001D0DF8"/>
    <w:rsid w:val="0033796D"/>
    <w:rsid w:val="00641E35"/>
    <w:rsid w:val="008321D3"/>
    <w:rsid w:val="00886124"/>
    <w:rsid w:val="00951FEE"/>
    <w:rsid w:val="00A87F74"/>
    <w:rsid w:val="00BD126E"/>
    <w:rsid w:val="00BE0FC3"/>
    <w:rsid w:val="00F35BBD"/>
    <w:rsid w:val="00FD038F"/>
    <w:rsid w:val="011949CD"/>
    <w:rsid w:val="017D31AE"/>
    <w:rsid w:val="01987FE8"/>
    <w:rsid w:val="01BD7A4F"/>
    <w:rsid w:val="01CA3F1A"/>
    <w:rsid w:val="020236B3"/>
    <w:rsid w:val="02C44E0D"/>
    <w:rsid w:val="02CB1CF7"/>
    <w:rsid w:val="02E132C9"/>
    <w:rsid w:val="034877EC"/>
    <w:rsid w:val="03546191"/>
    <w:rsid w:val="039667A9"/>
    <w:rsid w:val="03DD7F34"/>
    <w:rsid w:val="03E017D2"/>
    <w:rsid w:val="03F84D6E"/>
    <w:rsid w:val="04221DEB"/>
    <w:rsid w:val="04974587"/>
    <w:rsid w:val="04A46CA4"/>
    <w:rsid w:val="04B62533"/>
    <w:rsid w:val="04C42EA2"/>
    <w:rsid w:val="04CC1D57"/>
    <w:rsid w:val="04CF602F"/>
    <w:rsid w:val="05137986"/>
    <w:rsid w:val="052D0A47"/>
    <w:rsid w:val="05452235"/>
    <w:rsid w:val="057B7A05"/>
    <w:rsid w:val="057F6DC9"/>
    <w:rsid w:val="05A607FA"/>
    <w:rsid w:val="061E4834"/>
    <w:rsid w:val="06587D46"/>
    <w:rsid w:val="068333ED"/>
    <w:rsid w:val="068C3E93"/>
    <w:rsid w:val="06F37A6F"/>
    <w:rsid w:val="0708176C"/>
    <w:rsid w:val="07122132"/>
    <w:rsid w:val="075F5104"/>
    <w:rsid w:val="07707311"/>
    <w:rsid w:val="077A1F3E"/>
    <w:rsid w:val="07B62F76"/>
    <w:rsid w:val="07F615C4"/>
    <w:rsid w:val="080B2B96"/>
    <w:rsid w:val="082500FC"/>
    <w:rsid w:val="08346591"/>
    <w:rsid w:val="0858402D"/>
    <w:rsid w:val="086F1377"/>
    <w:rsid w:val="08F55D20"/>
    <w:rsid w:val="092E1232"/>
    <w:rsid w:val="0935436E"/>
    <w:rsid w:val="094E0A7E"/>
    <w:rsid w:val="09616F12"/>
    <w:rsid w:val="0983157E"/>
    <w:rsid w:val="09E638BB"/>
    <w:rsid w:val="0A2763AD"/>
    <w:rsid w:val="0ABD0ABF"/>
    <w:rsid w:val="0AC260D6"/>
    <w:rsid w:val="0AED7D6C"/>
    <w:rsid w:val="0B2621C1"/>
    <w:rsid w:val="0B2B77D7"/>
    <w:rsid w:val="0B2E5519"/>
    <w:rsid w:val="0B325009"/>
    <w:rsid w:val="0B756CA4"/>
    <w:rsid w:val="0B9335CE"/>
    <w:rsid w:val="0BA852CC"/>
    <w:rsid w:val="0BB772BD"/>
    <w:rsid w:val="0C3E79DE"/>
    <w:rsid w:val="0C6771C2"/>
    <w:rsid w:val="0C6D3E1F"/>
    <w:rsid w:val="0CC55A09"/>
    <w:rsid w:val="0CCC6D98"/>
    <w:rsid w:val="0CE00A95"/>
    <w:rsid w:val="0D132C19"/>
    <w:rsid w:val="0D2B61B4"/>
    <w:rsid w:val="0D562B05"/>
    <w:rsid w:val="0D64429F"/>
    <w:rsid w:val="0D6B65B1"/>
    <w:rsid w:val="0D7F3E0A"/>
    <w:rsid w:val="0D821B4C"/>
    <w:rsid w:val="0DCE6B40"/>
    <w:rsid w:val="0E6574A4"/>
    <w:rsid w:val="0E7318EB"/>
    <w:rsid w:val="0E813BB2"/>
    <w:rsid w:val="0EC6316E"/>
    <w:rsid w:val="0F0942D3"/>
    <w:rsid w:val="0F264E85"/>
    <w:rsid w:val="0F916077"/>
    <w:rsid w:val="0FA83AEC"/>
    <w:rsid w:val="0FBA381F"/>
    <w:rsid w:val="0FCD5301"/>
    <w:rsid w:val="10152804"/>
    <w:rsid w:val="103A226A"/>
    <w:rsid w:val="10507CE0"/>
    <w:rsid w:val="10CD7582"/>
    <w:rsid w:val="11403117"/>
    <w:rsid w:val="118440E5"/>
    <w:rsid w:val="11987B90"/>
    <w:rsid w:val="11A958FA"/>
    <w:rsid w:val="11AE4CBE"/>
    <w:rsid w:val="11CE35B2"/>
    <w:rsid w:val="11F4503E"/>
    <w:rsid w:val="11F8418B"/>
    <w:rsid w:val="12323B41"/>
    <w:rsid w:val="12672CFD"/>
    <w:rsid w:val="12781557"/>
    <w:rsid w:val="12863E8D"/>
    <w:rsid w:val="12891287"/>
    <w:rsid w:val="12DE78DE"/>
    <w:rsid w:val="12FE1C75"/>
    <w:rsid w:val="130D3C66"/>
    <w:rsid w:val="13516249"/>
    <w:rsid w:val="13D11138"/>
    <w:rsid w:val="13DF5C79"/>
    <w:rsid w:val="13F13588"/>
    <w:rsid w:val="14103A0E"/>
    <w:rsid w:val="14157276"/>
    <w:rsid w:val="14643D5A"/>
    <w:rsid w:val="14B22D17"/>
    <w:rsid w:val="14C03686"/>
    <w:rsid w:val="14CB3DD9"/>
    <w:rsid w:val="14E1184E"/>
    <w:rsid w:val="14E86739"/>
    <w:rsid w:val="15155054"/>
    <w:rsid w:val="157707EC"/>
    <w:rsid w:val="15AC3C0A"/>
    <w:rsid w:val="15D078F9"/>
    <w:rsid w:val="15EE4223"/>
    <w:rsid w:val="165A4821"/>
    <w:rsid w:val="165C118C"/>
    <w:rsid w:val="16AD79D2"/>
    <w:rsid w:val="16C15493"/>
    <w:rsid w:val="171C4DC0"/>
    <w:rsid w:val="17FB6783"/>
    <w:rsid w:val="184E2D57"/>
    <w:rsid w:val="1881312C"/>
    <w:rsid w:val="18B52DD6"/>
    <w:rsid w:val="19031D93"/>
    <w:rsid w:val="19033B41"/>
    <w:rsid w:val="193E2DCB"/>
    <w:rsid w:val="19516FA3"/>
    <w:rsid w:val="19921369"/>
    <w:rsid w:val="19B4308D"/>
    <w:rsid w:val="19E5593D"/>
    <w:rsid w:val="19F3005A"/>
    <w:rsid w:val="19FE255B"/>
    <w:rsid w:val="1A0A53A3"/>
    <w:rsid w:val="1A345F7C"/>
    <w:rsid w:val="1A3F329F"/>
    <w:rsid w:val="1AD339E7"/>
    <w:rsid w:val="1B0E67CD"/>
    <w:rsid w:val="1B155DAE"/>
    <w:rsid w:val="1B642891"/>
    <w:rsid w:val="1B6C2FCA"/>
    <w:rsid w:val="1BA3785E"/>
    <w:rsid w:val="1BAD248A"/>
    <w:rsid w:val="1BE04D9B"/>
    <w:rsid w:val="1BF9747E"/>
    <w:rsid w:val="1C1B5EFF"/>
    <w:rsid w:val="1C393D1E"/>
    <w:rsid w:val="1C4C2E08"/>
    <w:rsid w:val="1C7B4336"/>
    <w:rsid w:val="1CBD494F"/>
    <w:rsid w:val="1D01483C"/>
    <w:rsid w:val="1D0B56BA"/>
    <w:rsid w:val="1D291FE4"/>
    <w:rsid w:val="1D556936"/>
    <w:rsid w:val="1D7C0366"/>
    <w:rsid w:val="1D823D48"/>
    <w:rsid w:val="1E004AF3"/>
    <w:rsid w:val="1E195BB5"/>
    <w:rsid w:val="1E562BBF"/>
    <w:rsid w:val="1E5713B6"/>
    <w:rsid w:val="1E763007"/>
    <w:rsid w:val="1E7E1EBC"/>
    <w:rsid w:val="1F470500"/>
    <w:rsid w:val="20012DA5"/>
    <w:rsid w:val="20604435"/>
    <w:rsid w:val="206F5F60"/>
    <w:rsid w:val="20A35C0A"/>
    <w:rsid w:val="20AA18FC"/>
    <w:rsid w:val="20C53DD2"/>
    <w:rsid w:val="20F3093F"/>
    <w:rsid w:val="21091A4D"/>
    <w:rsid w:val="210D5B5F"/>
    <w:rsid w:val="2116462E"/>
    <w:rsid w:val="211F34E2"/>
    <w:rsid w:val="212610F0"/>
    <w:rsid w:val="21283700"/>
    <w:rsid w:val="213B4094"/>
    <w:rsid w:val="214967B1"/>
    <w:rsid w:val="21771570"/>
    <w:rsid w:val="21B87493"/>
    <w:rsid w:val="21EA7F94"/>
    <w:rsid w:val="22252D7A"/>
    <w:rsid w:val="2237485C"/>
    <w:rsid w:val="2245341D"/>
    <w:rsid w:val="22F8223D"/>
    <w:rsid w:val="2346744C"/>
    <w:rsid w:val="235C0A1E"/>
    <w:rsid w:val="235F050E"/>
    <w:rsid w:val="239D2DE4"/>
    <w:rsid w:val="23E66539"/>
    <w:rsid w:val="241A2687"/>
    <w:rsid w:val="2455546D"/>
    <w:rsid w:val="246F1C4F"/>
    <w:rsid w:val="24C06D8A"/>
    <w:rsid w:val="24DE1906"/>
    <w:rsid w:val="24E862E1"/>
    <w:rsid w:val="253432D4"/>
    <w:rsid w:val="25381017"/>
    <w:rsid w:val="25383B28"/>
    <w:rsid w:val="253F23A5"/>
    <w:rsid w:val="25480954"/>
    <w:rsid w:val="25553977"/>
    <w:rsid w:val="258C3110"/>
    <w:rsid w:val="25D845A8"/>
    <w:rsid w:val="25EB42DB"/>
    <w:rsid w:val="26105AEF"/>
    <w:rsid w:val="26153106"/>
    <w:rsid w:val="26210D6B"/>
    <w:rsid w:val="26213859"/>
    <w:rsid w:val="262D66A1"/>
    <w:rsid w:val="266F6CBA"/>
    <w:rsid w:val="26867B60"/>
    <w:rsid w:val="26A821CC"/>
    <w:rsid w:val="274E4B21"/>
    <w:rsid w:val="27653582"/>
    <w:rsid w:val="27802801"/>
    <w:rsid w:val="28017DE6"/>
    <w:rsid w:val="28400275"/>
    <w:rsid w:val="288527C5"/>
    <w:rsid w:val="2886653D"/>
    <w:rsid w:val="2895052E"/>
    <w:rsid w:val="28C54DF3"/>
    <w:rsid w:val="29192F0D"/>
    <w:rsid w:val="299D769A"/>
    <w:rsid w:val="29D06DA5"/>
    <w:rsid w:val="29D11A3A"/>
    <w:rsid w:val="2A3C79DE"/>
    <w:rsid w:val="2A4E308A"/>
    <w:rsid w:val="2A7946C6"/>
    <w:rsid w:val="2AD27817"/>
    <w:rsid w:val="2AD63BCE"/>
    <w:rsid w:val="2B595843"/>
    <w:rsid w:val="2B634913"/>
    <w:rsid w:val="2B7B7EAF"/>
    <w:rsid w:val="2BAD4588"/>
    <w:rsid w:val="2BDB2782"/>
    <w:rsid w:val="2BF67536"/>
    <w:rsid w:val="2C212804"/>
    <w:rsid w:val="2C302A48"/>
    <w:rsid w:val="2C6E3570"/>
    <w:rsid w:val="2C7C300F"/>
    <w:rsid w:val="2C9254B0"/>
    <w:rsid w:val="2CDC497D"/>
    <w:rsid w:val="2CF47F19"/>
    <w:rsid w:val="2D187181"/>
    <w:rsid w:val="2D5E1836"/>
    <w:rsid w:val="2D713318"/>
    <w:rsid w:val="2D9B0395"/>
    <w:rsid w:val="2DCC054E"/>
    <w:rsid w:val="2DD6761F"/>
    <w:rsid w:val="2E1B7727"/>
    <w:rsid w:val="2E2E745B"/>
    <w:rsid w:val="2E516CA5"/>
    <w:rsid w:val="2E786F75"/>
    <w:rsid w:val="2E8E1CA7"/>
    <w:rsid w:val="2ED022C0"/>
    <w:rsid w:val="2F4D344F"/>
    <w:rsid w:val="2FEC137B"/>
    <w:rsid w:val="300F6E18"/>
    <w:rsid w:val="30151217"/>
    <w:rsid w:val="30354AD0"/>
    <w:rsid w:val="308B2942"/>
    <w:rsid w:val="313E5C07"/>
    <w:rsid w:val="31A33CBC"/>
    <w:rsid w:val="31AD4B3A"/>
    <w:rsid w:val="31C37EBA"/>
    <w:rsid w:val="31EF6F01"/>
    <w:rsid w:val="32650F71"/>
    <w:rsid w:val="327613D0"/>
    <w:rsid w:val="32A0644D"/>
    <w:rsid w:val="32D560F7"/>
    <w:rsid w:val="32E4633A"/>
    <w:rsid w:val="32F01183"/>
    <w:rsid w:val="334262CB"/>
    <w:rsid w:val="33525999"/>
    <w:rsid w:val="33576B0C"/>
    <w:rsid w:val="335A65FC"/>
    <w:rsid w:val="33720132"/>
    <w:rsid w:val="33B71CA0"/>
    <w:rsid w:val="33C85C5B"/>
    <w:rsid w:val="33D60378"/>
    <w:rsid w:val="33DA14EB"/>
    <w:rsid w:val="33DF6B01"/>
    <w:rsid w:val="33E5680D"/>
    <w:rsid w:val="346911EC"/>
    <w:rsid w:val="34A915E9"/>
    <w:rsid w:val="34AA710F"/>
    <w:rsid w:val="34B45FC0"/>
    <w:rsid w:val="35380BBF"/>
    <w:rsid w:val="35637634"/>
    <w:rsid w:val="359009FB"/>
    <w:rsid w:val="3592207D"/>
    <w:rsid w:val="35B9585C"/>
    <w:rsid w:val="35CB558F"/>
    <w:rsid w:val="366F6862"/>
    <w:rsid w:val="36820344"/>
    <w:rsid w:val="369260AD"/>
    <w:rsid w:val="36B966AC"/>
    <w:rsid w:val="36BE6EA2"/>
    <w:rsid w:val="36E44B5A"/>
    <w:rsid w:val="375810A4"/>
    <w:rsid w:val="37736187"/>
    <w:rsid w:val="378473D8"/>
    <w:rsid w:val="37B564F7"/>
    <w:rsid w:val="38341B11"/>
    <w:rsid w:val="38402264"/>
    <w:rsid w:val="387E0FDF"/>
    <w:rsid w:val="388A34DF"/>
    <w:rsid w:val="38C84008"/>
    <w:rsid w:val="38E01351"/>
    <w:rsid w:val="38F512A1"/>
    <w:rsid w:val="38FC3975"/>
    <w:rsid w:val="39237490"/>
    <w:rsid w:val="39736669"/>
    <w:rsid w:val="398B39B3"/>
    <w:rsid w:val="39A131D7"/>
    <w:rsid w:val="39AE76A2"/>
    <w:rsid w:val="3A015A23"/>
    <w:rsid w:val="3A0379ED"/>
    <w:rsid w:val="3A8723CC"/>
    <w:rsid w:val="3B0A4DAB"/>
    <w:rsid w:val="3B5B73B5"/>
    <w:rsid w:val="3B871F58"/>
    <w:rsid w:val="3B912DD7"/>
    <w:rsid w:val="3BA66882"/>
    <w:rsid w:val="3BC66F24"/>
    <w:rsid w:val="3C2D0D52"/>
    <w:rsid w:val="3C6A3D54"/>
    <w:rsid w:val="3C9C5ED7"/>
    <w:rsid w:val="3D1E4B3E"/>
    <w:rsid w:val="3D4C16AB"/>
    <w:rsid w:val="3D4F6AA6"/>
    <w:rsid w:val="3D7D1865"/>
    <w:rsid w:val="3DE43692"/>
    <w:rsid w:val="3E1877DF"/>
    <w:rsid w:val="3E29379B"/>
    <w:rsid w:val="3E8D3D29"/>
    <w:rsid w:val="3F035D9A"/>
    <w:rsid w:val="3F0A3760"/>
    <w:rsid w:val="3F20694C"/>
    <w:rsid w:val="3F2D2E17"/>
    <w:rsid w:val="3F84512C"/>
    <w:rsid w:val="3FA05CDE"/>
    <w:rsid w:val="3FC1012F"/>
    <w:rsid w:val="3FF73B50"/>
    <w:rsid w:val="403C77B5"/>
    <w:rsid w:val="40DC4AF4"/>
    <w:rsid w:val="40E57E4D"/>
    <w:rsid w:val="41067DC3"/>
    <w:rsid w:val="41184CDA"/>
    <w:rsid w:val="413B7A6D"/>
    <w:rsid w:val="415B7A29"/>
    <w:rsid w:val="416F3BBA"/>
    <w:rsid w:val="41793DAD"/>
    <w:rsid w:val="417C1E33"/>
    <w:rsid w:val="4182744A"/>
    <w:rsid w:val="418F1B67"/>
    <w:rsid w:val="4191768D"/>
    <w:rsid w:val="419929E5"/>
    <w:rsid w:val="41AE6491"/>
    <w:rsid w:val="41F30347"/>
    <w:rsid w:val="42446DF5"/>
    <w:rsid w:val="4269060A"/>
    <w:rsid w:val="42976F25"/>
    <w:rsid w:val="42CB6BCE"/>
    <w:rsid w:val="432B3B11"/>
    <w:rsid w:val="43637F46"/>
    <w:rsid w:val="43713C1A"/>
    <w:rsid w:val="43A713E9"/>
    <w:rsid w:val="43AE05D4"/>
    <w:rsid w:val="43F32881"/>
    <w:rsid w:val="44472BCC"/>
    <w:rsid w:val="44A41DCD"/>
    <w:rsid w:val="44EE4DF6"/>
    <w:rsid w:val="45036AF3"/>
    <w:rsid w:val="4554734F"/>
    <w:rsid w:val="457B58EB"/>
    <w:rsid w:val="459040FF"/>
    <w:rsid w:val="45ED3300"/>
    <w:rsid w:val="46252A99"/>
    <w:rsid w:val="463A4797"/>
    <w:rsid w:val="465F5FAB"/>
    <w:rsid w:val="467F664E"/>
    <w:rsid w:val="46CE3131"/>
    <w:rsid w:val="46D00C57"/>
    <w:rsid w:val="46D544C0"/>
    <w:rsid w:val="471054F8"/>
    <w:rsid w:val="47282841"/>
    <w:rsid w:val="473E2065"/>
    <w:rsid w:val="47C307BC"/>
    <w:rsid w:val="47CD163B"/>
    <w:rsid w:val="48515DC8"/>
    <w:rsid w:val="4860600B"/>
    <w:rsid w:val="486A6E89"/>
    <w:rsid w:val="48FB5D34"/>
    <w:rsid w:val="491C63D6"/>
    <w:rsid w:val="493C0826"/>
    <w:rsid w:val="497A75A0"/>
    <w:rsid w:val="49902920"/>
    <w:rsid w:val="499248EA"/>
    <w:rsid w:val="49E113CD"/>
    <w:rsid w:val="4A084BAC"/>
    <w:rsid w:val="4A8A736F"/>
    <w:rsid w:val="4AAF5028"/>
    <w:rsid w:val="4B1A6945"/>
    <w:rsid w:val="4B2B2900"/>
    <w:rsid w:val="4B4B1EC7"/>
    <w:rsid w:val="4BD50ABE"/>
    <w:rsid w:val="4BD5286C"/>
    <w:rsid w:val="4BE34F89"/>
    <w:rsid w:val="4C2A0E0A"/>
    <w:rsid w:val="4C910E89"/>
    <w:rsid w:val="4CD60F91"/>
    <w:rsid w:val="4CFB6302"/>
    <w:rsid w:val="4D106251"/>
    <w:rsid w:val="4D357A66"/>
    <w:rsid w:val="4DC1754C"/>
    <w:rsid w:val="4DC62DB4"/>
    <w:rsid w:val="4DDC25D7"/>
    <w:rsid w:val="4DE80F7C"/>
    <w:rsid w:val="4E197388"/>
    <w:rsid w:val="4E5B79A0"/>
    <w:rsid w:val="4E6A373F"/>
    <w:rsid w:val="4EB26E94"/>
    <w:rsid w:val="4ED80FF1"/>
    <w:rsid w:val="4F0040A4"/>
    <w:rsid w:val="4F3A75B6"/>
    <w:rsid w:val="4F3B1580"/>
    <w:rsid w:val="4F4246BC"/>
    <w:rsid w:val="4F732AC8"/>
    <w:rsid w:val="4F9071D6"/>
    <w:rsid w:val="4FBF5D0D"/>
    <w:rsid w:val="4FBF7ABB"/>
    <w:rsid w:val="4FC357FD"/>
    <w:rsid w:val="4FE537E9"/>
    <w:rsid w:val="504306EC"/>
    <w:rsid w:val="50615016"/>
    <w:rsid w:val="508B13F1"/>
    <w:rsid w:val="512F6EC2"/>
    <w:rsid w:val="5144471C"/>
    <w:rsid w:val="516528E4"/>
    <w:rsid w:val="51BF1FF4"/>
    <w:rsid w:val="52081BED"/>
    <w:rsid w:val="52524C16"/>
    <w:rsid w:val="525A1D1D"/>
    <w:rsid w:val="52884ADC"/>
    <w:rsid w:val="52AB2578"/>
    <w:rsid w:val="531874D5"/>
    <w:rsid w:val="53FA5565"/>
    <w:rsid w:val="5402057C"/>
    <w:rsid w:val="54077C82"/>
    <w:rsid w:val="54161C73"/>
    <w:rsid w:val="54212E7B"/>
    <w:rsid w:val="543A0058"/>
    <w:rsid w:val="54A379AB"/>
    <w:rsid w:val="54C55B73"/>
    <w:rsid w:val="54D47B64"/>
    <w:rsid w:val="54EB1352"/>
    <w:rsid w:val="553920BD"/>
    <w:rsid w:val="55441147"/>
    <w:rsid w:val="554C1DF1"/>
    <w:rsid w:val="558F7F2F"/>
    <w:rsid w:val="55B31E70"/>
    <w:rsid w:val="55F66AF6"/>
    <w:rsid w:val="561647A5"/>
    <w:rsid w:val="566B2D86"/>
    <w:rsid w:val="56AF6ADB"/>
    <w:rsid w:val="56CB143B"/>
    <w:rsid w:val="56E66275"/>
    <w:rsid w:val="56F664B8"/>
    <w:rsid w:val="577B69BD"/>
    <w:rsid w:val="579B705F"/>
    <w:rsid w:val="57C40364"/>
    <w:rsid w:val="57E427B4"/>
    <w:rsid w:val="57FB365A"/>
    <w:rsid w:val="58466FCB"/>
    <w:rsid w:val="584C035A"/>
    <w:rsid w:val="58580AAD"/>
    <w:rsid w:val="586E02D0"/>
    <w:rsid w:val="58761D2A"/>
    <w:rsid w:val="588673C8"/>
    <w:rsid w:val="5895585D"/>
    <w:rsid w:val="58A81A34"/>
    <w:rsid w:val="58D565A1"/>
    <w:rsid w:val="58D75E75"/>
    <w:rsid w:val="5915699E"/>
    <w:rsid w:val="596A0A97"/>
    <w:rsid w:val="597827FF"/>
    <w:rsid w:val="59D800F7"/>
    <w:rsid w:val="5A0C1B4F"/>
    <w:rsid w:val="5A9009D2"/>
    <w:rsid w:val="5A9A35FE"/>
    <w:rsid w:val="5AAE0E58"/>
    <w:rsid w:val="5B2335F4"/>
    <w:rsid w:val="5B57329D"/>
    <w:rsid w:val="5BF62AB6"/>
    <w:rsid w:val="5C0351D3"/>
    <w:rsid w:val="5C313AEE"/>
    <w:rsid w:val="5C321615"/>
    <w:rsid w:val="5C620E7C"/>
    <w:rsid w:val="5CB63FF4"/>
    <w:rsid w:val="5CBB785C"/>
    <w:rsid w:val="5D301FF8"/>
    <w:rsid w:val="5D355860"/>
    <w:rsid w:val="5D3A69D3"/>
    <w:rsid w:val="5D3C0FBC"/>
    <w:rsid w:val="5D5B4018"/>
    <w:rsid w:val="5D79399F"/>
    <w:rsid w:val="5DA402F0"/>
    <w:rsid w:val="5DE132F2"/>
    <w:rsid w:val="5DE52DE2"/>
    <w:rsid w:val="5E1B2CA8"/>
    <w:rsid w:val="5E8A5738"/>
    <w:rsid w:val="5EB50A07"/>
    <w:rsid w:val="5ECC1563"/>
    <w:rsid w:val="5ECE1AC8"/>
    <w:rsid w:val="5F0B4ACB"/>
    <w:rsid w:val="5F2B1033"/>
    <w:rsid w:val="5F2D2C93"/>
    <w:rsid w:val="5F3B6A32"/>
    <w:rsid w:val="5F3E6C4E"/>
    <w:rsid w:val="5F3F29C6"/>
    <w:rsid w:val="5F6D12E1"/>
    <w:rsid w:val="5F70492E"/>
    <w:rsid w:val="5FE62E42"/>
    <w:rsid w:val="601B2AEB"/>
    <w:rsid w:val="60AF592A"/>
    <w:rsid w:val="60D34B20"/>
    <w:rsid w:val="60E6759D"/>
    <w:rsid w:val="60FB0B6F"/>
    <w:rsid w:val="61483DB4"/>
    <w:rsid w:val="614B11AE"/>
    <w:rsid w:val="6158615C"/>
    <w:rsid w:val="61B256D1"/>
    <w:rsid w:val="61B74A96"/>
    <w:rsid w:val="622A34BA"/>
    <w:rsid w:val="623B2220"/>
    <w:rsid w:val="623B7475"/>
    <w:rsid w:val="624D71A8"/>
    <w:rsid w:val="628F156F"/>
    <w:rsid w:val="629E7A04"/>
    <w:rsid w:val="62C03E1E"/>
    <w:rsid w:val="62FE04A2"/>
    <w:rsid w:val="63220635"/>
    <w:rsid w:val="635C3B47"/>
    <w:rsid w:val="638766EA"/>
    <w:rsid w:val="63A23524"/>
    <w:rsid w:val="63E31B72"/>
    <w:rsid w:val="63F32E80"/>
    <w:rsid w:val="641066DF"/>
    <w:rsid w:val="64B82FFF"/>
    <w:rsid w:val="64DB6CED"/>
    <w:rsid w:val="64EF09EB"/>
    <w:rsid w:val="64F1206D"/>
    <w:rsid w:val="651144BD"/>
    <w:rsid w:val="654F7E2F"/>
    <w:rsid w:val="65C34B93"/>
    <w:rsid w:val="65E70F67"/>
    <w:rsid w:val="661324B7"/>
    <w:rsid w:val="6623094C"/>
    <w:rsid w:val="662B7800"/>
    <w:rsid w:val="662F72F1"/>
    <w:rsid w:val="6659436D"/>
    <w:rsid w:val="665B220B"/>
    <w:rsid w:val="66770C98"/>
    <w:rsid w:val="66A001EE"/>
    <w:rsid w:val="67C944C8"/>
    <w:rsid w:val="67EE0AE5"/>
    <w:rsid w:val="68142C42"/>
    <w:rsid w:val="681D13CB"/>
    <w:rsid w:val="683926A8"/>
    <w:rsid w:val="68437083"/>
    <w:rsid w:val="6873052F"/>
    <w:rsid w:val="688B039E"/>
    <w:rsid w:val="68BB30BE"/>
    <w:rsid w:val="68D4417F"/>
    <w:rsid w:val="693D54F0"/>
    <w:rsid w:val="6942558D"/>
    <w:rsid w:val="694E2184"/>
    <w:rsid w:val="699F478D"/>
    <w:rsid w:val="69E50DE9"/>
    <w:rsid w:val="6A4610AD"/>
    <w:rsid w:val="6A8A71EB"/>
    <w:rsid w:val="6AA45DD3"/>
    <w:rsid w:val="6AB778B5"/>
    <w:rsid w:val="6B120F8F"/>
    <w:rsid w:val="6B2C02A3"/>
    <w:rsid w:val="6B347157"/>
    <w:rsid w:val="6B76151E"/>
    <w:rsid w:val="6B7D28AC"/>
    <w:rsid w:val="6BC24763"/>
    <w:rsid w:val="6BEE7306"/>
    <w:rsid w:val="6C8163CC"/>
    <w:rsid w:val="6CD52274"/>
    <w:rsid w:val="6CF03552"/>
    <w:rsid w:val="6D365409"/>
    <w:rsid w:val="6D3E606B"/>
    <w:rsid w:val="6DC5298B"/>
    <w:rsid w:val="6DD15131"/>
    <w:rsid w:val="6E160D96"/>
    <w:rsid w:val="6E2711F5"/>
    <w:rsid w:val="6E6164B5"/>
    <w:rsid w:val="6EF65B1A"/>
    <w:rsid w:val="6F13477C"/>
    <w:rsid w:val="6F3C2A7E"/>
    <w:rsid w:val="6F7B456A"/>
    <w:rsid w:val="6F80296B"/>
    <w:rsid w:val="6F857F81"/>
    <w:rsid w:val="6FAB550E"/>
    <w:rsid w:val="6FBE7937"/>
    <w:rsid w:val="6FC860C0"/>
    <w:rsid w:val="6FD42CB7"/>
    <w:rsid w:val="6FE32EFA"/>
    <w:rsid w:val="6FEA072C"/>
    <w:rsid w:val="705838E8"/>
    <w:rsid w:val="7073427E"/>
    <w:rsid w:val="70787AE6"/>
    <w:rsid w:val="70AB7EBB"/>
    <w:rsid w:val="70DE2439"/>
    <w:rsid w:val="70F84783"/>
    <w:rsid w:val="711517D9"/>
    <w:rsid w:val="71BC7EA6"/>
    <w:rsid w:val="71DD7A24"/>
    <w:rsid w:val="72113D4E"/>
    <w:rsid w:val="72225F5B"/>
    <w:rsid w:val="72473C14"/>
    <w:rsid w:val="727147ED"/>
    <w:rsid w:val="7275252F"/>
    <w:rsid w:val="72807126"/>
    <w:rsid w:val="72D37256"/>
    <w:rsid w:val="72E834A0"/>
    <w:rsid w:val="72FF44EF"/>
    <w:rsid w:val="73094386"/>
    <w:rsid w:val="731C0BFD"/>
    <w:rsid w:val="73530396"/>
    <w:rsid w:val="73571C35"/>
    <w:rsid w:val="7375655F"/>
    <w:rsid w:val="74077BF4"/>
    <w:rsid w:val="741915E0"/>
    <w:rsid w:val="74485A21"/>
    <w:rsid w:val="744F4027"/>
    <w:rsid w:val="74604B19"/>
    <w:rsid w:val="74675EA7"/>
    <w:rsid w:val="74680C00"/>
    <w:rsid w:val="746C1710"/>
    <w:rsid w:val="74732A9E"/>
    <w:rsid w:val="748527D2"/>
    <w:rsid w:val="74B60BDD"/>
    <w:rsid w:val="74BA691F"/>
    <w:rsid w:val="74D13E3E"/>
    <w:rsid w:val="74F51705"/>
    <w:rsid w:val="758B64A5"/>
    <w:rsid w:val="7601232C"/>
    <w:rsid w:val="76A038F3"/>
    <w:rsid w:val="76D37824"/>
    <w:rsid w:val="76D90BB3"/>
    <w:rsid w:val="77183DD1"/>
    <w:rsid w:val="7726029C"/>
    <w:rsid w:val="776E1C43"/>
    <w:rsid w:val="7770053A"/>
    <w:rsid w:val="777C3480"/>
    <w:rsid w:val="77974CF6"/>
    <w:rsid w:val="77B61176"/>
    <w:rsid w:val="77DE2925"/>
    <w:rsid w:val="7836450F"/>
    <w:rsid w:val="78681F15"/>
    <w:rsid w:val="78713799"/>
    <w:rsid w:val="788A03B6"/>
    <w:rsid w:val="78E57CE3"/>
    <w:rsid w:val="78FB3062"/>
    <w:rsid w:val="79382508"/>
    <w:rsid w:val="794C1B10"/>
    <w:rsid w:val="79EA1A55"/>
    <w:rsid w:val="7A454EDD"/>
    <w:rsid w:val="7A4D1FE3"/>
    <w:rsid w:val="7A8D23E0"/>
    <w:rsid w:val="7AE53FCA"/>
    <w:rsid w:val="7AE77D42"/>
    <w:rsid w:val="7AF366E7"/>
    <w:rsid w:val="7B1D5512"/>
    <w:rsid w:val="7B6969A9"/>
    <w:rsid w:val="7B7470FC"/>
    <w:rsid w:val="7B931C78"/>
    <w:rsid w:val="7B9C6D7F"/>
    <w:rsid w:val="7BA479E1"/>
    <w:rsid w:val="7BB57E40"/>
    <w:rsid w:val="7C635AEE"/>
    <w:rsid w:val="7C6B49A3"/>
    <w:rsid w:val="7CB400F8"/>
    <w:rsid w:val="7D2F59D0"/>
    <w:rsid w:val="7D3B4375"/>
    <w:rsid w:val="7D8F021D"/>
    <w:rsid w:val="7DE62533"/>
    <w:rsid w:val="7E4E1E86"/>
    <w:rsid w:val="7E9E696A"/>
    <w:rsid w:val="7EC32874"/>
    <w:rsid w:val="7EC42148"/>
    <w:rsid w:val="7ED56104"/>
    <w:rsid w:val="7F0013D2"/>
    <w:rsid w:val="7F1B445E"/>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9"/>
    <w:pPr>
      <w:keepNext/>
      <w:numPr>
        <w:ilvl w:val="0"/>
        <w:numId w:val="1"/>
      </w:numPr>
      <w:spacing w:before="240" w:after="60"/>
      <w:ind w:left="0" w:leftChars="0" w:firstLine="0" w:firstLineChars="0"/>
      <w:jc w:val="left"/>
    </w:pPr>
    <w:rPr>
      <w:iCs/>
      <w:kern w:val="32"/>
      <w:sz w:val="2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Body Text Indent"/>
    <w:basedOn w:val="1"/>
    <w:next w:val="7"/>
    <w:autoRedefine/>
    <w:qFormat/>
    <w:uiPriority w:val="0"/>
    <w:pPr>
      <w:spacing w:line="700" w:lineRule="exact"/>
      <w:ind w:left="960"/>
    </w:pPr>
    <w:rPr>
      <w:sz w:val="44"/>
    </w:rPr>
  </w:style>
  <w:style w:type="paragraph" w:styleId="7">
    <w:name w:val="Body Text First Indent 2"/>
    <w:basedOn w:val="6"/>
    <w:next w:val="8"/>
    <w:autoRedefine/>
    <w:qFormat/>
    <w:uiPriority w:val="0"/>
    <w:pPr>
      <w:spacing w:before="100" w:beforeAutospacing="1"/>
      <w:ind w:firstLine="420" w:firstLineChars="200"/>
    </w:pPr>
  </w:style>
  <w:style w:type="paragraph" w:styleId="8">
    <w:name w:val="List"/>
    <w:basedOn w:val="1"/>
    <w:autoRedefine/>
    <w:qFormat/>
    <w:uiPriority w:val="0"/>
    <w:pPr>
      <w:ind w:left="200" w:hanging="200" w:hangingChars="200"/>
    </w:pPr>
    <w:rPr>
      <w:szCs w:val="24"/>
    </w:rPr>
  </w:style>
  <w:style w:type="paragraph" w:styleId="9">
    <w:name w:val="List 2"/>
    <w:basedOn w:val="1"/>
    <w:autoRedefine/>
    <w:qFormat/>
    <w:uiPriority w:val="0"/>
    <w:pPr>
      <w:ind w:left="100" w:leftChars="200" w:hanging="200" w:hangingChars="200"/>
      <w:contextualSpacing/>
    </w:pPr>
  </w:style>
  <w:style w:type="paragraph" w:styleId="10">
    <w:name w:val="toc 3"/>
    <w:basedOn w:val="1"/>
    <w:next w:val="1"/>
    <w:autoRedefine/>
    <w:qFormat/>
    <w:uiPriority w:val="39"/>
    <w:pPr>
      <w:ind w:left="840" w:leftChars="40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0"/>
    <w:pPr>
      <w:spacing w:line="180" w:lineRule="auto"/>
      <w:jc w:val="center"/>
    </w:pPr>
    <w:rPr>
      <w:sz w:val="30"/>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99"/>
    <w:pPr>
      <w:widowControl/>
      <w:spacing w:before="100" w:beforeAutospacing="1" w:after="100" w:afterAutospacing="1"/>
      <w:jc w:val="left"/>
    </w:pPr>
    <w:rPr>
      <w:rFonts w:ascii="宋体"/>
      <w:kern w:val="0"/>
      <w:sz w:val="18"/>
      <w:szCs w:val="18"/>
    </w:rPr>
  </w:style>
  <w:style w:type="paragraph" w:styleId="16">
    <w:name w:val="Title"/>
    <w:basedOn w:val="9"/>
    <w:next w:val="1"/>
    <w:autoRedefine/>
    <w:qFormat/>
    <w:uiPriority w:val="10"/>
    <w:pPr>
      <w:jc w:val="center"/>
      <w:outlineLvl w:val="0"/>
    </w:pPr>
    <w:rPr>
      <w:rFonts w:ascii="Cambria" w:hAnsi="Cambria"/>
      <w:b/>
      <w:bCs/>
      <w:kern w:val="28"/>
      <w:sz w:val="21"/>
      <w:szCs w:val="32"/>
    </w:rPr>
  </w:style>
  <w:style w:type="character" w:styleId="19">
    <w:name w:val="page number"/>
    <w:basedOn w:val="18"/>
    <w:autoRedefine/>
    <w:qFormat/>
    <w:uiPriority w:val="0"/>
  </w:style>
  <w:style w:type="character" w:styleId="20">
    <w:name w:val="Hyperlink"/>
    <w:autoRedefine/>
    <w:qFormat/>
    <w:uiPriority w:val="99"/>
    <w:rPr>
      <w:color w:val="0000FF"/>
      <w:u w:val="single"/>
    </w:rPr>
  </w:style>
  <w:style w:type="paragraph" w:customStyle="1" w:styleId="21">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图例"/>
    <w:basedOn w:val="1"/>
    <w:autoRedefine/>
    <w:qFormat/>
    <w:uiPriority w:val="0"/>
    <w:pPr>
      <w:spacing w:before="120" w:after="120" w:line="360" w:lineRule="auto"/>
      <w:jc w:val="center"/>
    </w:pPr>
    <w:rPr>
      <w:rFonts w:eastAsia="仿宋_GB2312"/>
      <w:b/>
      <w:sz w:val="24"/>
    </w:rPr>
  </w:style>
  <w:style w:type="paragraph" w:customStyle="1" w:styleId="23">
    <w:name w:val="正文首行缩进两字符"/>
    <w:basedOn w:val="1"/>
    <w:autoRedefine/>
    <w:qFormat/>
    <w:uiPriority w:val="0"/>
    <w:pPr>
      <w:spacing w:line="360" w:lineRule="auto"/>
      <w:ind w:firstLine="200" w:firstLineChars="200"/>
    </w:pPr>
  </w:style>
  <w:style w:type="paragraph" w:customStyle="1" w:styleId="2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首行缩进"/>
    <w:basedOn w:val="1"/>
    <w:autoRedefine/>
    <w:qFormat/>
    <w:uiPriority w:val="0"/>
    <w:pPr>
      <w:spacing w:line="360" w:lineRule="auto"/>
      <w:ind w:firstLine="200" w:firstLineChars="200"/>
    </w:pPr>
    <w:rPr>
      <w:rFonts w:ascii="Calibri" w:hAnsi="Calibri"/>
      <w:sz w:val="24"/>
    </w:rPr>
  </w:style>
  <w:style w:type="paragraph" w:customStyle="1" w:styleId="26">
    <w:name w:val="样式1"/>
    <w:basedOn w:val="3"/>
    <w:autoRedefine/>
    <w:qFormat/>
    <w:uiPriority w:val="0"/>
    <w:pPr>
      <w:spacing w:before="100" w:beforeAutospacing="1" w:after="100" w:afterAutospacing="1"/>
      <w:ind w:left="678" w:leftChars="100" w:right="100" w:rightChars="100" w:hanging="578"/>
    </w:pPr>
    <w:rPr>
      <w:b w:val="0"/>
      <w:sz w:val="21"/>
    </w:rPr>
  </w:style>
  <w:style w:type="paragraph" w:customStyle="1" w:styleId="27">
    <w:name w:val=" Char1"/>
    <w:basedOn w:val="1"/>
    <w:autoRedefine/>
    <w:qFormat/>
    <w:uiPriority w:val="0"/>
    <w:rPr>
      <w:sz w:val="21"/>
      <w:szCs w:val="24"/>
    </w:rPr>
  </w:style>
  <w:style w:type="paragraph" w:customStyle="1" w:styleId="28">
    <w:name w:val="_Style 5"/>
    <w:basedOn w:val="2"/>
    <w:next w:val="1"/>
    <w:autoRedefine/>
    <w:unhideWhenUsed/>
    <w:qFormat/>
    <w:uiPriority w:val="39"/>
    <w:pPr>
      <w:widowControl/>
      <w:numPr>
        <w:ilvl w:val="0"/>
        <w:numId w:val="0"/>
      </w:numPr>
      <w:spacing w:before="480" w:after="0" w:line="276" w:lineRule="auto"/>
      <w:jc w:val="left"/>
      <w:outlineLvl w:val="9"/>
    </w:pPr>
    <w:rPr>
      <w:rFonts w:ascii="Cambria" w:hAnsi="Cambria" w:eastAsia="宋体" w:cs="Times New Roman"/>
      <w:color w:val="365F91"/>
      <w:kern w:val="0"/>
      <w:sz w:val="28"/>
      <w:szCs w:val="28"/>
    </w:rPr>
  </w:style>
  <w:style w:type="paragraph" w:customStyle="1" w:styleId="29">
    <w:name w:val="首行缩进:  0.85 厘米"/>
    <w:basedOn w:val="1"/>
    <w:autoRedefine/>
    <w:qFormat/>
    <w:uiPriority w:val="0"/>
    <w:pPr>
      <w:widowControl/>
      <w:spacing w:after="100"/>
      <w:ind w:firstLine="482"/>
      <w:jc w:val="left"/>
    </w:pPr>
    <w:rPr>
      <w:rFonts w:cs="宋体"/>
      <w:kern w:val="0"/>
      <w:sz w:val="24"/>
      <w:szCs w:val="20"/>
      <w:lang w:eastAsia="en-US" w:bidi="en-US"/>
    </w:rPr>
  </w:style>
  <w:style w:type="paragraph" w:customStyle="1" w:styleId="30">
    <w:name w:val="列出段落1"/>
    <w:basedOn w:val="1"/>
    <w:autoRedefine/>
    <w:qFormat/>
    <w:uiPriority w:val="99"/>
    <w:pPr>
      <w:widowControl/>
      <w:adjustRightInd w:val="0"/>
      <w:spacing w:line="240" w:lineRule="auto"/>
      <w:ind w:left="57" w:leftChars="57" w:firstLine="420"/>
      <w:jc w:val="left"/>
      <w:textAlignment w:val="baseline"/>
    </w:pPr>
    <w:rPr>
      <w:rFonts w:ascii="宋体" w:hAnsi="宋体" w:cs="宋体"/>
      <w:kern w:val="0"/>
      <w:sz w:val="24"/>
      <w:szCs w:val="21"/>
    </w:rPr>
  </w:style>
  <w:style w:type="character" w:customStyle="1" w:styleId="31">
    <w:name w:val="block"/>
    <w:autoRedefine/>
    <w:qFormat/>
    <w:uiPriority w:val="0"/>
  </w:style>
  <w:style w:type="character" w:customStyle="1" w:styleId="32">
    <w:name w:val="font01"/>
    <w:basedOn w:val="1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4865</Words>
  <Characters>5405</Characters>
  <Lines>55</Lines>
  <Paragraphs>15</Paragraphs>
  <TotalTime>4</TotalTime>
  <ScaleCrop>false</ScaleCrop>
  <LinksUpToDate>false</LinksUpToDate>
  <CharactersWithSpaces>6320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WPS_1657190221</cp:lastModifiedBy>
  <dcterms:modified xsi:type="dcterms:W3CDTF">2024-05-13T01:44:12Z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601B0AB1E4094C3992A12EE6A3A898C4_13</vt:lpwstr>
  </property>
</Properties>
</file>