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宋体" w:hAnsi="宋体"/>
          <w:color w:val="000000"/>
          <w:sz w:val="36"/>
        </w:rPr>
      </w:pPr>
      <w:r>
        <w:rPr>
          <w:rFonts w:hint="eastAsia" w:ascii="宋体" w:hAnsi="宋体"/>
          <w:b/>
          <w:bCs/>
          <w:w w:val="90"/>
          <w:kern w:val="0"/>
          <w:sz w:val="36"/>
          <w:szCs w:val="36"/>
        </w:rPr>
        <w:t>VCCGDLCS-2024066</w:t>
      </w:r>
      <w:r>
        <w:rPr>
          <w:rFonts w:ascii="宋体" w:hAnsi="宋体"/>
          <w:b/>
          <w:bCs/>
          <w:color w:val="000000"/>
          <w:sz w:val="36"/>
        </w:rPr>
        <w:t>号</w:t>
      </w:r>
    </w:p>
    <w:p>
      <w:pPr>
        <w:pStyle w:val="95"/>
        <w:ind w:firstLine="0"/>
        <w:jc w:val="center"/>
        <w:rPr>
          <w:rFonts w:ascii="宋体" w:hAnsi="宋体"/>
          <w:bCs/>
          <w:sz w:val="36"/>
          <w:szCs w:val="36"/>
        </w:rPr>
      </w:pPr>
    </w:p>
    <w:p>
      <w:pPr>
        <w:pStyle w:val="95"/>
        <w:ind w:firstLine="0"/>
        <w:jc w:val="center"/>
        <w:rPr>
          <w:rFonts w:ascii="宋体" w:hAnsi="宋体"/>
          <w:b/>
          <w:bCs/>
          <w:sz w:val="36"/>
          <w:szCs w:val="36"/>
        </w:rPr>
      </w:pPr>
      <w:r>
        <w:rPr>
          <w:rFonts w:hint="eastAsia" w:ascii="宋体" w:hAnsi="宋体"/>
          <w:b/>
          <w:bCs/>
          <w:sz w:val="36"/>
          <w:szCs w:val="36"/>
        </w:rPr>
        <w:t>2024年度室内外装饰装潢、土建工程零星维修施工单位遴选项目谈判采购文件</w:t>
      </w:r>
      <w:r>
        <w:rPr>
          <w:rFonts w:hint="eastAsia" w:ascii="宋体" w:hAnsi="宋体"/>
          <w:b/>
          <w:bCs/>
          <w:sz w:val="36"/>
        </w:rPr>
        <w:t>（综合评分法）</w:t>
      </w:r>
    </w:p>
    <w:p>
      <w:pPr>
        <w:pStyle w:val="95"/>
        <w:spacing w:before="0" w:after="0"/>
        <w:ind w:left="630" w:firstLine="0"/>
        <w:jc w:val="center"/>
        <w:rPr>
          <w:rFonts w:ascii="宋体" w:hAnsi="宋体"/>
        </w:rPr>
      </w:pPr>
      <w:r>
        <w:rPr>
          <w:rFonts w:ascii="宋体" w:hAnsi="宋体"/>
          <w:sz w:val="36"/>
        </w:rPr>
        <w:drawing>
          <wp:inline distT="0" distB="0" distL="114300" distR="114300">
            <wp:extent cx="5028565" cy="3314065"/>
            <wp:effectExtent l="0" t="0" r="12065" b="1206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20" cstate="print"/>
                    <a:stretch>
                      <a:fillRect/>
                    </a:stretch>
                  </pic:blipFill>
                  <pic:spPr>
                    <a:xfrm>
                      <a:off x="0" y="0"/>
                      <a:ext cx="5028565" cy="3314065"/>
                    </a:xfrm>
                    <a:prstGeom prst="rect">
                      <a:avLst/>
                    </a:prstGeom>
                    <a:noFill/>
                    <a:ln>
                      <a:noFill/>
                    </a:ln>
                  </pic:spPr>
                </pic:pic>
              </a:graphicData>
            </a:graphic>
          </wp:inline>
        </w:drawing>
      </w:r>
    </w:p>
    <w:p>
      <w:pPr>
        <w:pStyle w:val="95"/>
        <w:spacing w:before="0" w:after="0"/>
        <w:ind w:firstLine="0"/>
        <w:rPr>
          <w:rFonts w:ascii="宋体" w:hAnsi="宋体"/>
        </w:rPr>
      </w:pPr>
    </w:p>
    <w:p>
      <w:pPr>
        <w:pStyle w:val="95"/>
        <w:spacing w:before="0" w:after="0"/>
        <w:ind w:firstLine="0"/>
        <w:rPr>
          <w:rFonts w:ascii="宋体" w:hAnsi="宋体"/>
        </w:rPr>
      </w:pPr>
    </w:p>
    <w:p>
      <w:pPr>
        <w:ind w:firstLine="1432" w:firstLineChars="495"/>
        <w:rPr>
          <w:rFonts w:ascii="宋体" w:hAnsi="宋体"/>
          <w:b/>
          <w:bCs/>
          <w:w w:val="90"/>
          <w:kern w:val="0"/>
          <w:sz w:val="32"/>
          <w:szCs w:val="32"/>
        </w:rPr>
      </w:pPr>
      <w:r>
        <w:rPr>
          <w:rFonts w:hint="eastAsia" w:ascii="宋体" w:hAnsi="宋体"/>
          <w:b/>
          <w:bCs/>
          <w:w w:val="90"/>
          <w:kern w:val="0"/>
          <w:sz w:val="32"/>
          <w:szCs w:val="32"/>
        </w:rPr>
        <w:t>采购 人：</w:t>
      </w:r>
      <w:bookmarkStart w:id="0" w:name="OLE_LINK1"/>
      <w:r>
        <w:rPr>
          <w:rFonts w:hint="eastAsia" w:ascii="宋体" w:hAnsi="宋体"/>
          <w:b/>
          <w:bCs/>
          <w:w w:val="90"/>
          <w:kern w:val="0"/>
          <w:sz w:val="32"/>
          <w:szCs w:val="32"/>
        </w:rPr>
        <w:t>扬州市职业大学</w:t>
      </w:r>
    </w:p>
    <w:bookmarkEnd w:id="0"/>
    <w:p>
      <w:pPr>
        <w:ind w:firstLine="1157" w:firstLineChars="400"/>
        <w:rPr>
          <w:rFonts w:ascii="宋体" w:hAnsi="宋体"/>
          <w:b/>
          <w:bCs/>
          <w:w w:val="90"/>
          <w:kern w:val="0"/>
          <w:sz w:val="32"/>
          <w:szCs w:val="32"/>
        </w:rPr>
      </w:pPr>
      <w:r>
        <w:rPr>
          <w:rFonts w:hint="eastAsia" w:ascii="宋体" w:hAnsi="宋体"/>
          <w:b/>
          <w:bCs/>
          <w:w w:val="90"/>
          <w:kern w:val="0"/>
          <w:sz w:val="32"/>
          <w:szCs w:val="32"/>
        </w:rPr>
        <w:t xml:space="preserve">  采购代理机构</w:t>
      </w:r>
      <w:r>
        <w:rPr>
          <w:rFonts w:ascii="宋体" w:hAnsi="宋体"/>
          <w:b/>
          <w:bCs/>
          <w:w w:val="90"/>
          <w:kern w:val="0"/>
          <w:sz w:val="32"/>
          <w:szCs w:val="32"/>
        </w:rPr>
        <w:t>(</w:t>
      </w:r>
      <w:r>
        <w:rPr>
          <w:rFonts w:hint="eastAsia" w:ascii="宋体" w:hAnsi="宋体"/>
          <w:b/>
          <w:bCs/>
          <w:w w:val="90"/>
          <w:kern w:val="0"/>
          <w:sz w:val="32"/>
          <w:szCs w:val="32"/>
        </w:rPr>
        <w:t>章</w:t>
      </w:r>
      <w:r>
        <w:rPr>
          <w:rFonts w:ascii="宋体" w:hAnsi="宋体"/>
          <w:b/>
          <w:bCs/>
          <w:w w:val="90"/>
          <w:kern w:val="0"/>
          <w:sz w:val="32"/>
          <w:szCs w:val="32"/>
        </w:rPr>
        <w:t>)</w:t>
      </w:r>
      <w:r>
        <w:rPr>
          <w:rFonts w:hint="eastAsia" w:ascii="宋体" w:hAnsi="宋体"/>
          <w:b/>
          <w:bCs/>
          <w:w w:val="90"/>
          <w:kern w:val="0"/>
          <w:sz w:val="32"/>
          <w:szCs w:val="32"/>
        </w:rPr>
        <w:t>：江苏唯诚建设咨询有限公司</w:t>
      </w:r>
    </w:p>
    <w:p>
      <w:pPr>
        <w:ind w:firstLine="1432" w:firstLineChars="495"/>
        <w:rPr>
          <w:rFonts w:ascii="宋体" w:hAnsi="宋体"/>
          <w:b/>
          <w:bCs/>
          <w:w w:val="90"/>
          <w:kern w:val="0"/>
          <w:sz w:val="32"/>
          <w:szCs w:val="32"/>
        </w:rPr>
      </w:pPr>
      <w:r>
        <w:rPr>
          <w:rFonts w:hint="eastAsia" w:ascii="宋体" w:hAnsi="宋体"/>
          <w:b/>
          <w:bCs/>
          <w:w w:val="90"/>
          <w:kern w:val="0"/>
          <w:sz w:val="32"/>
          <w:szCs w:val="32"/>
        </w:rPr>
        <w:t>发放日期：</w:t>
      </w:r>
      <w:bookmarkStart w:id="1" w:name="EB59c3faf64f2a4bd092a206fb1d0c3c03"/>
      <w:bookmarkEnd w:id="1"/>
      <w:r>
        <w:rPr>
          <w:rFonts w:hint="eastAsia" w:ascii="宋体" w:hAnsi="宋体"/>
          <w:b/>
          <w:bCs/>
          <w:w w:val="90"/>
          <w:kern w:val="0"/>
          <w:sz w:val="32"/>
          <w:szCs w:val="32"/>
        </w:rPr>
        <w:t>2024年</w:t>
      </w:r>
      <w:r>
        <w:rPr>
          <w:rFonts w:hint="eastAsia" w:ascii="宋体" w:hAnsi="宋体"/>
          <w:b/>
          <w:bCs/>
          <w:color w:val="000000"/>
          <w:w w:val="90"/>
          <w:kern w:val="0"/>
          <w:sz w:val="32"/>
          <w:szCs w:val="32"/>
        </w:rPr>
        <w:t xml:space="preserve">4月30日 </w:t>
      </w:r>
    </w:p>
    <w:p>
      <w:pPr>
        <w:pStyle w:val="95"/>
        <w:ind w:firstLine="0"/>
        <w:rPr>
          <w:rFonts w:ascii="宋体" w:hAnsi="宋体"/>
          <w:b/>
          <w:sz w:val="52"/>
          <w:szCs w:val="52"/>
        </w:rPr>
      </w:pPr>
    </w:p>
    <w:p>
      <w:pPr>
        <w:spacing w:line="480" w:lineRule="auto"/>
        <w:jc w:val="center"/>
        <w:outlineLvl w:val="0"/>
        <w:rPr>
          <w:rFonts w:ascii="宋体" w:hAnsi="宋体"/>
          <w:b/>
          <w:sz w:val="32"/>
          <w:szCs w:val="32"/>
        </w:rPr>
      </w:pPr>
      <w:r>
        <w:rPr>
          <w:rFonts w:hint="eastAsia" w:ascii="宋体" w:hAnsi="宋体"/>
          <w:b/>
          <w:sz w:val="32"/>
          <w:szCs w:val="32"/>
        </w:rPr>
        <w:br w:type="page"/>
      </w:r>
      <w:r>
        <w:rPr>
          <w:rFonts w:hint="eastAsia" w:ascii="宋体" w:hAnsi="宋体"/>
          <w:b/>
          <w:sz w:val="32"/>
          <w:szCs w:val="32"/>
        </w:rPr>
        <w:t>总 目 录</w:t>
      </w:r>
    </w:p>
    <w:p>
      <w:pPr>
        <w:spacing w:line="480" w:lineRule="auto"/>
        <w:jc w:val="center"/>
        <w:outlineLvl w:val="0"/>
        <w:rPr>
          <w:rFonts w:ascii="宋体" w:hAnsi="宋体"/>
          <w:b/>
          <w:sz w:val="32"/>
          <w:szCs w:val="32"/>
        </w:rPr>
      </w:pPr>
    </w:p>
    <w:p>
      <w:pPr>
        <w:spacing w:line="560" w:lineRule="exact"/>
        <w:ind w:firstLine="420" w:firstLineChars="200"/>
        <w:outlineLvl w:val="0"/>
        <w:rPr>
          <w:rFonts w:ascii="宋体" w:hAnsi="宋体"/>
          <w:szCs w:val="21"/>
        </w:rPr>
      </w:pPr>
      <w:r>
        <w:rPr>
          <w:rFonts w:hint="eastAsia" w:ascii="宋体" w:hAnsi="宋体"/>
          <w:szCs w:val="21"/>
        </w:rPr>
        <w:t xml:space="preserve">第一章    </w:t>
      </w:r>
      <w:r>
        <w:rPr>
          <w:rFonts w:hint="eastAsia" w:ascii="宋体" w:hAnsi="宋体" w:cs="宋体"/>
        </w:rPr>
        <w:t>谈判采购邀请书</w:t>
      </w:r>
      <w:r>
        <w:rPr>
          <w:rFonts w:hint="eastAsia"/>
        </w:rPr>
        <w:t>………………………………………………………………3</w:t>
      </w:r>
    </w:p>
    <w:p>
      <w:pPr>
        <w:spacing w:line="560" w:lineRule="exact"/>
        <w:ind w:firstLine="420" w:firstLineChars="200"/>
        <w:outlineLvl w:val="0"/>
        <w:rPr>
          <w:rFonts w:ascii="宋体" w:hAnsi="宋体"/>
          <w:szCs w:val="21"/>
        </w:rPr>
      </w:pPr>
      <w:r>
        <w:rPr>
          <w:rFonts w:hint="eastAsia" w:ascii="宋体" w:hAnsi="宋体"/>
          <w:szCs w:val="21"/>
        </w:rPr>
        <w:t>第二章    谈判须知</w:t>
      </w:r>
      <w:r>
        <w:rPr>
          <w:rFonts w:ascii="宋体" w:hAnsi="宋体"/>
          <w:szCs w:val="21"/>
        </w:rPr>
        <w:t>…………………………</w:t>
      </w:r>
      <w:r>
        <w:rPr>
          <w:rFonts w:hint="eastAsia" w:ascii="宋体" w:hAnsi="宋体"/>
          <w:szCs w:val="21"/>
        </w:rPr>
        <w:t>……………………………………………7</w:t>
      </w:r>
    </w:p>
    <w:p>
      <w:pPr>
        <w:spacing w:line="560" w:lineRule="exact"/>
        <w:ind w:firstLine="420" w:firstLineChars="200"/>
        <w:outlineLvl w:val="0"/>
        <w:rPr>
          <w:rFonts w:ascii="宋体" w:hAnsi="宋体"/>
          <w:szCs w:val="21"/>
        </w:rPr>
      </w:pPr>
      <w:r>
        <w:rPr>
          <w:rFonts w:hint="eastAsia" w:ascii="宋体" w:hAnsi="宋体"/>
          <w:szCs w:val="21"/>
        </w:rPr>
        <w:t>第三章    合同条款及格式</w:t>
      </w:r>
      <w:r>
        <w:rPr>
          <w:rFonts w:ascii="宋体" w:hAnsi="宋体"/>
          <w:szCs w:val="21"/>
        </w:rPr>
        <w:t>…………………</w:t>
      </w:r>
      <w:r>
        <w:rPr>
          <w:rFonts w:hint="eastAsia" w:ascii="宋体" w:hAnsi="宋体"/>
          <w:szCs w:val="21"/>
        </w:rPr>
        <w:t>……………………………………………15</w:t>
      </w:r>
    </w:p>
    <w:p>
      <w:pPr>
        <w:spacing w:line="560" w:lineRule="exact"/>
        <w:ind w:firstLine="420" w:firstLineChars="200"/>
        <w:outlineLvl w:val="0"/>
        <w:rPr>
          <w:rFonts w:ascii="宋体" w:hAnsi="宋体"/>
          <w:szCs w:val="21"/>
        </w:rPr>
      </w:pPr>
      <w:r>
        <w:rPr>
          <w:rFonts w:hint="eastAsia" w:ascii="宋体" w:hAnsi="宋体"/>
          <w:szCs w:val="21"/>
        </w:rPr>
        <w:t>第四章    项目需求</w:t>
      </w:r>
      <w:r>
        <w:rPr>
          <w:rFonts w:ascii="宋体" w:hAnsi="宋体"/>
          <w:szCs w:val="21"/>
        </w:rPr>
        <w:t>…………………………</w:t>
      </w:r>
      <w:r>
        <w:rPr>
          <w:rFonts w:hint="eastAsia" w:ascii="宋体" w:hAnsi="宋体"/>
          <w:szCs w:val="21"/>
        </w:rPr>
        <w:t>……………………………………………22</w:t>
      </w:r>
    </w:p>
    <w:p>
      <w:pPr>
        <w:spacing w:line="560" w:lineRule="exact"/>
        <w:ind w:firstLine="420" w:firstLineChars="200"/>
        <w:outlineLvl w:val="0"/>
        <w:rPr>
          <w:rFonts w:ascii="宋体" w:hAnsi="宋体"/>
          <w:szCs w:val="21"/>
        </w:rPr>
      </w:pPr>
      <w:r>
        <w:rPr>
          <w:rFonts w:hint="eastAsia" w:ascii="宋体" w:hAnsi="宋体"/>
          <w:szCs w:val="21"/>
        </w:rPr>
        <w:t>第五章    评审方法和评审标准</w:t>
      </w:r>
      <w:r>
        <w:rPr>
          <w:rFonts w:ascii="宋体" w:hAnsi="宋体"/>
          <w:szCs w:val="21"/>
        </w:rPr>
        <w:t>……………</w:t>
      </w:r>
      <w:r>
        <w:rPr>
          <w:rFonts w:hint="eastAsia" w:ascii="宋体" w:hAnsi="宋体"/>
          <w:szCs w:val="21"/>
        </w:rPr>
        <w:t>……………………………………………25</w:t>
      </w:r>
    </w:p>
    <w:p>
      <w:pPr>
        <w:spacing w:line="560" w:lineRule="exact"/>
        <w:ind w:firstLine="420" w:firstLineChars="200"/>
        <w:outlineLvl w:val="0"/>
        <w:rPr>
          <w:rFonts w:ascii="宋体" w:hAnsi="宋体"/>
          <w:szCs w:val="21"/>
        </w:rPr>
      </w:pPr>
      <w:r>
        <w:rPr>
          <w:rFonts w:hint="eastAsia" w:ascii="宋体" w:hAnsi="宋体"/>
          <w:szCs w:val="21"/>
        </w:rPr>
        <w:t>第六章    竞争性谈判响应文件格式</w:t>
      </w:r>
      <w:r>
        <w:rPr>
          <w:rFonts w:ascii="宋体" w:hAnsi="宋体"/>
          <w:szCs w:val="21"/>
        </w:rPr>
        <w:t>………</w:t>
      </w:r>
      <w:r>
        <w:rPr>
          <w:rFonts w:hint="eastAsia" w:ascii="宋体" w:hAnsi="宋体"/>
          <w:szCs w:val="21"/>
        </w:rPr>
        <w:t>……………………………………………26</w:t>
      </w:r>
    </w:p>
    <w:p>
      <w:pPr>
        <w:tabs>
          <w:tab w:val="left" w:leader="dot" w:pos="8420"/>
        </w:tabs>
        <w:spacing w:line="303" w:lineRule="exact"/>
        <w:ind w:left="360"/>
        <w:rPr>
          <w:rFonts w:ascii="宋体" w:hAnsi="宋体" w:cs="宋体"/>
          <w:szCs w:val="21"/>
        </w:rPr>
      </w:pPr>
    </w:p>
    <w:p>
      <w:pPr>
        <w:spacing w:line="560" w:lineRule="exact"/>
        <w:ind w:firstLine="420" w:firstLineChars="200"/>
        <w:outlineLvl w:val="0"/>
        <w:rPr>
          <w:rFonts w:ascii="宋体" w:hAnsi="宋体"/>
          <w:szCs w:val="21"/>
        </w:rPr>
      </w:pPr>
    </w:p>
    <w:p>
      <w:pPr>
        <w:rPr>
          <w:rFonts w:ascii="宋体" w:hAnsi="宋体"/>
        </w:rPr>
        <w:sectPr>
          <w:headerReference r:id="rId3" w:type="default"/>
          <w:footerReference r:id="rId4" w:type="default"/>
          <w:pgSz w:w="11906" w:h="16838"/>
          <w:pgMar w:top="1440" w:right="1800" w:bottom="1440" w:left="1800" w:header="851" w:footer="992" w:gutter="0"/>
          <w:pgNumType w:start="1"/>
          <w:cols w:space="720" w:num="1"/>
          <w:docGrid w:type="lines" w:linePitch="312" w:charSpace="0"/>
        </w:sectPr>
      </w:pPr>
    </w:p>
    <w:p>
      <w:pPr>
        <w:rPr>
          <w:rFonts w:ascii="宋体" w:hAnsi="宋体"/>
        </w:rPr>
      </w:pPr>
    </w:p>
    <w:p>
      <w:pPr>
        <w:pStyle w:val="4"/>
        <w:spacing w:after="312" w:afterLines="100"/>
        <w:jc w:val="center"/>
        <w:rPr>
          <w:rFonts w:ascii="宋体" w:hAnsi="宋体" w:eastAsia="宋体"/>
          <w:b/>
          <w:sz w:val="36"/>
          <w:szCs w:val="36"/>
        </w:rPr>
      </w:pPr>
      <w:r>
        <w:rPr>
          <w:rFonts w:hint="eastAsia" w:ascii="宋体" w:hAnsi="宋体" w:eastAsia="宋体"/>
          <w:b/>
          <w:sz w:val="36"/>
          <w:szCs w:val="36"/>
        </w:rPr>
        <w:t>第一章 谈判采购邀请</w:t>
      </w:r>
    </w:p>
    <w:p>
      <w:pPr>
        <w:pStyle w:val="5"/>
        <w:spacing w:before="0" w:after="0" w:line="360" w:lineRule="auto"/>
        <w:ind w:firstLine="420" w:firstLineChars="200"/>
        <w:jc w:val="both"/>
        <w:rPr>
          <w:rFonts w:ascii="宋体" w:hAnsi="宋体" w:eastAsia="宋体" w:cs="宋体"/>
          <w:b w:val="0"/>
          <w:sz w:val="21"/>
          <w:szCs w:val="21"/>
        </w:rPr>
      </w:pPr>
      <w:bookmarkStart w:id="2" w:name="_Hlt26954824"/>
      <w:bookmarkEnd w:id="2"/>
      <w:bookmarkStart w:id="3" w:name="_Hlt26954907"/>
      <w:bookmarkEnd w:id="3"/>
      <w:bookmarkStart w:id="4" w:name="_Hlt26670330"/>
      <w:bookmarkEnd w:id="4"/>
      <w:bookmarkStart w:id="5" w:name="_Hlt26668836"/>
      <w:bookmarkEnd w:id="5"/>
      <w:bookmarkStart w:id="6" w:name="_Hlt26954810"/>
      <w:bookmarkEnd w:id="6"/>
      <w:bookmarkStart w:id="7" w:name="_Toc28359089"/>
      <w:bookmarkStart w:id="8" w:name="_Toc35393798"/>
      <w:bookmarkStart w:id="9" w:name="_Toc35393629"/>
      <w:bookmarkStart w:id="10" w:name="_Toc28359012"/>
      <w:bookmarkStart w:id="11" w:name="OLE_LINK4"/>
      <w:bookmarkStart w:id="12" w:name="OLE_LINK3"/>
      <w:bookmarkStart w:id="13" w:name="_Toc61149549"/>
      <w:bookmarkStart w:id="14" w:name="_Toc14577347"/>
      <w:bookmarkStart w:id="15" w:name="_Toc513029209"/>
      <w:r>
        <w:rPr>
          <w:rFonts w:hint="eastAsia" w:ascii="宋体" w:hAnsi="宋体" w:eastAsia="宋体" w:cs="宋体"/>
          <w:b w:val="0"/>
          <w:sz w:val="21"/>
          <w:szCs w:val="21"/>
        </w:rPr>
        <w:t>一、项目基本情况</w:t>
      </w:r>
      <w:bookmarkEnd w:id="7"/>
      <w:bookmarkEnd w:id="8"/>
      <w:bookmarkEnd w:id="9"/>
      <w:bookmarkEnd w:id="10"/>
    </w:p>
    <w:p>
      <w:pPr>
        <w:spacing w:line="360" w:lineRule="auto"/>
        <w:ind w:firstLine="420" w:firstLineChars="200"/>
        <w:rPr>
          <w:rFonts w:ascii="宋体" w:hAnsi="宋体" w:cs="宋体"/>
          <w:szCs w:val="21"/>
        </w:rPr>
      </w:pPr>
      <w:r>
        <w:rPr>
          <w:rFonts w:hint="eastAsia" w:ascii="宋体" w:hAnsi="宋体" w:cs="宋体"/>
          <w:szCs w:val="21"/>
        </w:rPr>
        <w:t>项目编号：</w:t>
      </w:r>
      <w:r>
        <w:rPr>
          <w:rFonts w:hint="eastAsia" w:ascii="宋体" w:hAnsi="宋体"/>
          <w:szCs w:val="21"/>
        </w:rPr>
        <w:t>VCCGDLCS-2024066号</w:t>
      </w:r>
    </w:p>
    <w:p>
      <w:pPr>
        <w:spacing w:line="360" w:lineRule="auto"/>
        <w:ind w:firstLine="420" w:firstLineChars="200"/>
        <w:rPr>
          <w:rFonts w:ascii="宋体" w:hAnsi="宋体"/>
          <w:szCs w:val="21"/>
        </w:rPr>
      </w:pPr>
      <w:r>
        <w:rPr>
          <w:rFonts w:hint="eastAsia" w:ascii="宋体" w:hAnsi="宋体" w:cs="宋体"/>
          <w:szCs w:val="21"/>
        </w:rPr>
        <w:t>项目名称：</w:t>
      </w:r>
      <w:r>
        <w:rPr>
          <w:rFonts w:hint="eastAsia" w:ascii="宋体" w:hAnsi="宋体"/>
          <w:szCs w:val="21"/>
        </w:rPr>
        <w:t>2024年度室内外装饰装潢、土建工程零星维修施工单位遴选项目</w:t>
      </w:r>
    </w:p>
    <w:p>
      <w:pPr>
        <w:spacing w:line="360" w:lineRule="auto"/>
        <w:ind w:firstLine="420" w:firstLineChars="200"/>
        <w:rPr>
          <w:rFonts w:ascii="宋体" w:hAnsi="宋体" w:cs="宋体"/>
          <w:szCs w:val="21"/>
        </w:rPr>
      </w:pPr>
      <w:r>
        <w:rPr>
          <w:rFonts w:hint="eastAsia" w:ascii="宋体" w:hAnsi="宋体" w:cs="宋体"/>
          <w:szCs w:val="21"/>
        </w:rPr>
        <w:t>采购方式：谈判采购</w:t>
      </w:r>
    </w:p>
    <w:p>
      <w:pPr>
        <w:spacing w:line="360" w:lineRule="auto"/>
        <w:ind w:firstLine="420" w:firstLineChars="200"/>
        <w:rPr>
          <w:rFonts w:hint="eastAsia" w:ascii="宋体" w:hAnsi="宋体"/>
          <w:szCs w:val="21"/>
          <w:highlight w:val="yellow"/>
        </w:rPr>
      </w:pPr>
      <w:r>
        <w:rPr>
          <w:rFonts w:hint="eastAsia" w:ascii="宋体" w:hAnsi="宋体" w:cs="宋体"/>
          <w:szCs w:val="21"/>
        </w:rPr>
        <w:t>预算金额：</w:t>
      </w:r>
      <w:r>
        <w:rPr>
          <w:rFonts w:hint="eastAsia" w:ascii="宋体" w:hAnsi="宋体" w:cs="宋体"/>
          <w:szCs w:val="21"/>
          <w:highlight w:val="none"/>
        </w:rPr>
        <w:t>总预算约20</w:t>
      </w:r>
      <w:r>
        <w:rPr>
          <w:rFonts w:hint="eastAsia" w:ascii="宋体" w:hAnsi="宋体"/>
          <w:szCs w:val="21"/>
          <w:highlight w:val="none"/>
        </w:rPr>
        <w:t>万元（分两个专业土建+室内装饰单独招标），采购内容分两个包（包一：专业土建、包二：室内装饰）</w:t>
      </w:r>
    </w:p>
    <w:p>
      <w:pPr>
        <w:spacing w:line="360" w:lineRule="auto"/>
        <w:ind w:firstLine="420" w:firstLineChars="200"/>
        <w:rPr>
          <w:rFonts w:hint="default" w:ascii="宋体" w:hAnsi="宋体" w:eastAsia="宋体"/>
          <w:szCs w:val="21"/>
          <w:lang w:val="en-US" w:eastAsia="zh-CN"/>
        </w:rPr>
      </w:pPr>
      <w:r>
        <w:rPr>
          <w:rFonts w:hint="eastAsia" w:ascii="宋体" w:hAnsi="宋体" w:cs="宋体"/>
          <w:szCs w:val="21"/>
        </w:rPr>
        <w:t>最高限价：</w:t>
      </w:r>
      <w:r>
        <w:rPr>
          <w:rFonts w:hint="eastAsia" w:ascii="宋体" w:hAnsi="宋体" w:cs="宋体"/>
          <w:szCs w:val="21"/>
          <w:lang w:val="en-US" w:eastAsia="zh-CN"/>
        </w:rPr>
        <w:t>100%，按单个工程结算审定价让利幅度报价。</w:t>
      </w:r>
    </w:p>
    <w:p>
      <w:pPr>
        <w:spacing w:line="360" w:lineRule="auto"/>
        <w:ind w:firstLine="420" w:firstLineChars="200"/>
        <w:rPr>
          <w:rFonts w:ascii="宋体" w:hAnsi="宋体" w:cs="宋体"/>
          <w:szCs w:val="21"/>
          <w:u w:val="single"/>
        </w:rPr>
      </w:pPr>
      <w:r>
        <w:rPr>
          <w:rFonts w:hint="eastAsia" w:ascii="宋体" w:hAnsi="宋体" w:cs="宋体"/>
          <w:szCs w:val="21"/>
        </w:rPr>
        <w:t>采购需求：详谈判文件</w:t>
      </w:r>
      <w:bookmarkStart w:id="68" w:name="_GoBack"/>
      <w:bookmarkEnd w:id="68"/>
    </w:p>
    <w:p>
      <w:pPr>
        <w:spacing w:line="360" w:lineRule="auto"/>
        <w:ind w:firstLine="420" w:firstLineChars="200"/>
        <w:rPr>
          <w:rFonts w:ascii="宋体" w:hAnsi="宋体" w:cs="宋体"/>
          <w:szCs w:val="21"/>
        </w:rPr>
      </w:pPr>
      <w:r>
        <w:rPr>
          <w:rFonts w:hint="eastAsia" w:ascii="宋体" w:hAnsi="宋体" w:cs="宋体"/>
          <w:szCs w:val="21"/>
        </w:rPr>
        <w:t>合同履行期限：</w:t>
      </w:r>
      <w:r>
        <w:rPr>
          <w:rFonts w:hint="eastAsia" w:ascii="宋体" w:hAnsi="宋体" w:cs="宋体"/>
          <w:szCs w:val="21"/>
          <w:lang w:eastAsia="zh-CN"/>
        </w:rPr>
        <w:t>2024年11月30日</w:t>
      </w:r>
      <w:r>
        <w:rPr>
          <w:rFonts w:hint="eastAsia" w:ascii="宋体" w:hAnsi="宋体" w:cs="宋体"/>
          <w:szCs w:val="21"/>
        </w:rPr>
        <w:t>止（自合同签订之日起）。</w:t>
      </w:r>
    </w:p>
    <w:p>
      <w:pPr>
        <w:spacing w:line="360" w:lineRule="auto"/>
        <w:ind w:firstLine="420" w:firstLineChars="200"/>
        <w:rPr>
          <w:rFonts w:ascii="宋体" w:hAnsi="宋体" w:cs="宋体"/>
          <w:szCs w:val="21"/>
          <w:highlight w:val="yellow"/>
        </w:rPr>
      </w:pPr>
      <w:r>
        <w:rPr>
          <w:rFonts w:hint="eastAsia" w:ascii="宋体" w:hAnsi="宋体" w:cs="宋体"/>
        </w:rPr>
        <w:t>注：可单独投一个包，也可以投多个包，开标顺序按照包一、包二的顺序，可兼投兼中，具体详见谈判文件第四章。</w:t>
      </w:r>
    </w:p>
    <w:p>
      <w:pPr>
        <w:spacing w:line="360" w:lineRule="auto"/>
        <w:ind w:firstLine="420" w:firstLineChars="200"/>
        <w:rPr>
          <w:rFonts w:ascii="宋体" w:hAnsi="宋体" w:cs="宋体"/>
          <w:szCs w:val="21"/>
        </w:rPr>
      </w:pPr>
      <w:r>
        <w:rPr>
          <w:rFonts w:hint="eastAsia" w:ascii="宋体" w:hAnsi="宋体" w:cs="宋体"/>
          <w:szCs w:val="21"/>
        </w:rPr>
        <w:t>本项目（否）接受联合体。</w:t>
      </w:r>
    </w:p>
    <w:p>
      <w:pPr>
        <w:pStyle w:val="5"/>
        <w:spacing w:before="0" w:after="0" w:line="360" w:lineRule="auto"/>
        <w:ind w:firstLine="420" w:firstLineChars="200"/>
        <w:jc w:val="both"/>
        <w:rPr>
          <w:rFonts w:ascii="宋体" w:hAnsi="宋体" w:eastAsia="宋体" w:cs="宋体"/>
          <w:b w:val="0"/>
          <w:sz w:val="21"/>
          <w:szCs w:val="21"/>
        </w:rPr>
      </w:pPr>
      <w:bookmarkStart w:id="16" w:name="_Toc28359013"/>
      <w:bookmarkStart w:id="17" w:name="_Toc35393799"/>
      <w:bookmarkStart w:id="18" w:name="_Toc28359090"/>
      <w:bookmarkStart w:id="19" w:name="_Toc35393630"/>
      <w:r>
        <w:rPr>
          <w:rFonts w:hint="eastAsia" w:ascii="宋体" w:hAnsi="宋体" w:eastAsia="宋体" w:cs="宋体"/>
          <w:b w:val="0"/>
          <w:sz w:val="21"/>
          <w:szCs w:val="21"/>
        </w:rPr>
        <w:t>二、申请人的资格要求：</w:t>
      </w:r>
      <w:bookmarkEnd w:id="16"/>
      <w:bookmarkEnd w:id="17"/>
      <w:bookmarkEnd w:id="18"/>
      <w:bookmarkEnd w:id="19"/>
    </w:p>
    <w:p>
      <w:pPr>
        <w:spacing w:line="360" w:lineRule="auto"/>
        <w:ind w:firstLine="420" w:firstLineChars="200"/>
        <w:rPr>
          <w:rFonts w:ascii="宋体" w:hAnsi="宋体" w:cs="宋体"/>
          <w:szCs w:val="21"/>
        </w:rPr>
      </w:pPr>
      <w:r>
        <w:rPr>
          <w:rFonts w:hint="eastAsia" w:ascii="宋体" w:hAnsi="宋体" w:cs="宋体"/>
          <w:szCs w:val="21"/>
        </w:rPr>
        <w:t>1.满足《中华人民共和国政府采购法》第二十二条规定</w:t>
      </w:r>
      <w:r>
        <w:rPr>
          <w:rFonts w:hint="eastAsia" w:ascii="宋体" w:hAnsi="宋体" w:cs="Arial"/>
          <w:color w:val="000000"/>
          <w:spacing w:val="-6"/>
          <w:szCs w:val="21"/>
        </w:rPr>
        <w:t>，并提供下列材料。</w:t>
      </w:r>
    </w:p>
    <w:p>
      <w:pPr>
        <w:widowControl/>
        <w:snapToGrid w:val="0"/>
        <w:spacing w:line="360" w:lineRule="auto"/>
        <w:ind w:firstLine="420" w:firstLineChars="200"/>
        <w:jc w:val="left"/>
        <w:rPr>
          <w:rFonts w:ascii="宋体" w:hAnsi="宋体"/>
          <w:i/>
          <w:iCs/>
          <w:szCs w:val="21"/>
          <w:u w:val="single"/>
        </w:rPr>
      </w:pPr>
      <w:r>
        <w:rPr>
          <w:rFonts w:hint="eastAsia" w:ascii="宋体" w:hAnsi="宋体"/>
          <w:i/>
          <w:iCs/>
          <w:szCs w:val="21"/>
          <w:u w:val="single"/>
        </w:rPr>
        <w:t>1） 谈判响应函(原件)；</w:t>
      </w:r>
    </w:p>
    <w:p>
      <w:pPr>
        <w:widowControl/>
        <w:snapToGrid w:val="0"/>
        <w:spacing w:line="360" w:lineRule="auto"/>
        <w:ind w:firstLine="420" w:firstLineChars="200"/>
        <w:jc w:val="left"/>
        <w:rPr>
          <w:rFonts w:ascii="宋体" w:hAnsi="宋体"/>
          <w:i/>
          <w:iCs/>
          <w:szCs w:val="21"/>
          <w:u w:val="single"/>
        </w:rPr>
      </w:pPr>
      <w:r>
        <w:rPr>
          <w:rFonts w:hint="eastAsia" w:ascii="宋体" w:hAnsi="宋体"/>
          <w:i/>
          <w:iCs/>
          <w:szCs w:val="21"/>
          <w:u w:val="single"/>
        </w:rPr>
        <w:t>2） 资格声明(原件)；</w:t>
      </w:r>
    </w:p>
    <w:p>
      <w:pPr>
        <w:widowControl/>
        <w:snapToGrid w:val="0"/>
        <w:spacing w:line="360" w:lineRule="auto"/>
        <w:ind w:firstLine="420" w:firstLineChars="200"/>
        <w:jc w:val="left"/>
        <w:rPr>
          <w:rFonts w:ascii="宋体" w:hAnsi="宋体"/>
          <w:i/>
          <w:iCs/>
          <w:szCs w:val="21"/>
          <w:u w:val="single"/>
        </w:rPr>
      </w:pPr>
      <w:r>
        <w:rPr>
          <w:rFonts w:hint="eastAsia" w:ascii="宋体" w:hAnsi="宋体"/>
          <w:i/>
          <w:iCs/>
          <w:szCs w:val="21"/>
          <w:u w:val="single"/>
        </w:rPr>
        <w:t>3） 若法定代表人参加谈判的，须提供本人身份证复印件(原件备查)；若授权代表参加谈判的，须提供</w:t>
      </w:r>
      <w:r>
        <w:rPr>
          <w:rFonts w:hint="eastAsia" w:ascii="宋体" w:hAnsi="宋体" w:cs="宋体"/>
          <w:i/>
          <w:iCs/>
          <w:color w:val="000000"/>
          <w:szCs w:val="21"/>
          <w:u w:val="single"/>
        </w:rPr>
        <w:t>《法人授权书》</w:t>
      </w:r>
      <w:r>
        <w:rPr>
          <w:rFonts w:hint="eastAsia" w:ascii="宋体" w:hAnsi="宋体"/>
          <w:i/>
          <w:iCs/>
          <w:szCs w:val="21"/>
          <w:u w:val="single"/>
        </w:rPr>
        <w:t xml:space="preserve">原件和授权代表身份证复印件(原件备查)； </w:t>
      </w:r>
    </w:p>
    <w:p>
      <w:pPr>
        <w:widowControl/>
        <w:snapToGrid w:val="0"/>
        <w:spacing w:line="360" w:lineRule="auto"/>
        <w:ind w:firstLine="420" w:firstLineChars="200"/>
        <w:jc w:val="left"/>
        <w:rPr>
          <w:rFonts w:ascii="宋体" w:hAnsi="宋体"/>
          <w:i/>
          <w:iCs/>
          <w:szCs w:val="21"/>
          <w:u w:val="single"/>
        </w:rPr>
      </w:pPr>
      <w:r>
        <w:rPr>
          <w:rFonts w:hint="eastAsia" w:ascii="宋体" w:hAnsi="宋体"/>
          <w:i/>
          <w:iCs/>
          <w:szCs w:val="21"/>
          <w:u w:val="single"/>
        </w:rPr>
        <w:t>4） 营业执照副本((,复印件加盖投标人公章)；</w:t>
      </w:r>
    </w:p>
    <w:p>
      <w:pPr>
        <w:widowControl/>
        <w:snapToGrid w:val="0"/>
        <w:spacing w:line="360" w:lineRule="auto"/>
        <w:ind w:firstLine="420" w:firstLineChars="200"/>
        <w:jc w:val="left"/>
        <w:rPr>
          <w:rFonts w:ascii="宋体" w:hAnsi="宋体"/>
          <w:i/>
          <w:iCs/>
          <w:szCs w:val="21"/>
          <w:u w:val="single"/>
        </w:rPr>
      </w:pPr>
      <w:r>
        <w:rPr>
          <w:rFonts w:hint="eastAsia" w:ascii="宋体" w:hAnsi="宋体"/>
          <w:i/>
          <w:iCs/>
          <w:szCs w:val="21"/>
          <w:u w:val="single"/>
        </w:rPr>
        <w:t>5） 依法缴纳职工社会保障资金的证明材料(复印件加盖供应商公章)(税务、银行或社会保险基金管理部门出具的2024年1月至2024年3月三个月内任意一份缴纳职工社会保障资金的缴款凭证或缴款证明)</w:t>
      </w:r>
    </w:p>
    <w:p>
      <w:pPr>
        <w:widowControl/>
        <w:snapToGrid w:val="0"/>
        <w:spacing w:line="360" w:lineRule="auto"/>
        <w:ind w:firstLine="420" w:firstLineChars="200"/>
        <w:jc w:val="left"/>
        <w:rPr>
          <w:rFonts w:ascii="宋体" w:hAnsi="宋体"/>
          <w:i/>
          <w:iCs/>
          <w:szCs w:val="21"/>
          <w:u w:val="single"/>
        </w:rPr>
      </w:pPr>
      <w:r>
        <w:rPr>
          <w:rFonts w:hint="eastAsia" w:ascii="宋体" w:hAnsi="宋体"/>
          <w:i/>
          <w:iCs/>
          <w:szCs w:val="21"/>
          <w:u w:val="single"/>
        </w:rPr>
        <w:t>6） 供应商2024年1月至2024年3月三个月内任意一份依法纳税的缴款凭证(复印件加盖供应商公章)</w:t>
      </w:r>
    </w:p>
    <w:p>
      <w:pPr>
        <w:widowControl/>
        <w:snapToGrid w:val="0"/>
        <w:spacing w:line="360" w:lineRule="auto"/>
        <w:ind w:firstLine="420" w:firstLineChars="200"/>
        <w:jc w:val="left"/>
        <w:rPr>
          <w:rFonts w:ascii="宋体" w:hAnsi="宋体"/>
          <w:i/>
          <w:iCs/>
          <w:szCs w:val="21"/>
          <w:u w:val="single"/>
        </w:rPr>
      </w:pPr>
      <w:r>
        <w:rPr>
          <w:rFonts w:hint="eastAsia" w:ascii="宋体" w:hAnsi="宋体"/>
          <w:i/>
          <w:iCs/>
          <w:szCs w:val="21"/>
          <w:u w:val="single"/>
        </w:rPr>
        <w:t>7）上一年度财务报告 (复印件加盖投标人公章）</w:t>
      </w:r>
    </w:p>
    <w:p>
      <w:pPr>
        <w:widowControl/>
        <w:snapToGrid w:val="0"/>
        <w:spacing w:line="360" w:lineRule="auto"/>
        <w:ind w:firstLine="420" w:firstLineChars="200"/>
        <w:jc w:val="left"/>
        <w:rPr>
          <w:rFonts w:ascii="宋体" w:hAnsi="宋体"/>
          <w:i/>
          <w:iCs/>
          <w:szCs w:val="21"/>
          <w:u w:val="single"/>
        </w:rPr>
      </w:pPr>
      <w:r>
        <w:rPr>
          <w:rFonts w:hint="eastAsia" w:ascii="宋体" w:hAnsi="宋体"/>
          <w:i/>
          <w:iCs/>
          <w:szCs w:val="21"/>
          <w:u w:val="single"/>
        </w:rPr>
        <w:t>8）供应商参加本次政府采购活动前3年内在经营活动中没有重大违法记录的书面声明（原件）</w:t>
      </w:r>
    </w:p>
    <w:p>
      <w:pPr>
        <w:widowControl/>
        <w:snapToGrid w:val="0"/>
        <w:spacing w:line="360" w:lineRule="auto"/>
        <w:ind w:firstLine="420" w:firstLineChars="200"/>
        <w:jc w:val="left"/>
        <w:rPr>
          <w:rFonts w:ascii="宋体" w:hAnsi="宋体"/>
          <w:i/>
          <w:iCs/>
          <w:szCs w:val="21"/>
          <w:u w:val="single"/>
        </w:rPr>
      </w:pPr>
      <w:r>
        <w:rPr>
          <w:rFonts w:hint="eastAsia" w:ascii="宋体" w:hAnsi="宋体"/>
          <w:i/>
          <w:iCs/>
          <w:szCs w:val="21"/>
          <w:u w:val="single"/>
        </w:rPr>
        <w:t>9)供应商信用承诺书(原件)</w:t>
      </w:r>
    </w:p>
    <w:p>
      <w:pPr>
        <w:widowControl/>
        <w:snapToGrid w:val="0"/>
        <w:spacing w:line="360" w:lineRule="auto"/>
        <w:ind w:firstLine="420" w:firstLineChars="200"/>
        <w:jc w:val="left"/>
        <w:rPr>
          <w:i/>
          <w:iCs/>
        </w:rPr>
      </w:pPr>
      <w:bookmarkStart w:id="20" w:name="_Toc38985265"/>
      <w:bookmarkStart w:id="21" w:name="_Toc28359004"/>
      <w:r>
        <w:rPr>
          <w:rFonts w:hint="eastAsia" w:ascii="宋体" w:hAnsi="宋体"/>
          <w:i/>
          <w:iCs/>
          <w:szCs w:val="21"/>
          <w:u w:val="single"/>
        </w:rPr>
        <w:t>10)未被“信用中国”网站（www.creditchina.gov.cn）、“中国政府采购网"(www.ccgp.gov.cn)列入失信被执行人、重大税收违法案件当事人名单、政府采购严重违法失信行为记录名单（提供网页截图加盖供应商公章）</w:t>
      </w:r>
      <w:bookmarkEnd w:id="20"/>
      <w:bookmarkEnd w:id="21"/>
    </w:p>
    <w:p>
      <w:pPr>
        <w:spacing w:line="360" w:lineRule="auto"/>
        <w:ind w:firstLine="422" w:firstLineChars="200"/>
        <w:rPr>
          <w:rFonts w:ascii="宋体" w:hAnsi="宋体" w:cs="宋体"/>
          <w:szCs w:val="21"/>
        </w:rPr>
      </w:pPr>
      <w:bookmarkStart w:id="22" w:name="_Toc28359014"/>
      <w:bookmarkStart w:id="23" w:name="_Toc28359091"/>
      <w:r>
        <w:rPr>
          <w:rFonts w:hint="eastAsia" w:ascii="宋体" w:hAnsi="宋体"/>
          <w:b/>
          <w:bCs/>
        </w:rPr>
        <w:t>注一：如参加本项目的供应商为新成立公司（成立时间距开标时间不到1年）、个体工商户、自然人或事业单位等非企业法人，则无需提供上述5、6、7三项，本文件中所需法定代表人相关材料、盖章及签字等可用供应商相关负责人的相应材料代替。</w:t>
      </w:r>
    </w:p>
    <w:p>
      <w:pPr>
        <w:spacing w:line="360" w:lineRule="auto"/>
        <w:ind w:firstLine="422" w:firstLineChars="200"/>
        <w:rPr>
          <w:rFonts w:ascii="宋体" w:hAnsi="宋体" w:cs="宋体"/>
          <w:szCs w:val="21"/>
        </w:rPr>
      </w:pPr>
      <w:r>
        <w:rPr>
          <w:rFonts w:hint="eastAsia" w:ascii="宋体" w:hAnsi="宋体"/>
          <w:b/>
          <w:bCs/>
        </w:rPr>
        <w:t>注二：供应商如有相关政策支持，延期缴纳或暂不缴纳职工社会保障资金、税收的，须提供相关证明材料。</w:t>
      </w:r>
    </w:p>
    <w:p>
      <w:pPr>
        <w:spacing w:line="360" w:lineRule="auto"/>
        <w:ind w:firstLine="420"/>
      </w:pPr>
      <w:r>
        <w:rPr>
          <w:rFonts w:hint="eastAsia" w:ascii="宋体" w:hAnsi="宋体"/>
          <w:szCs w:val="21"/>
        </w:rPr>
        <w:t>2.落实政府采购政策需</w:t>
      </w:r>
      <w:r>
        <w:rPr>
          <w:rFonts w:hint="eastAsia" w:ascii="宋体" w:hAnsi="宋体"/>
          <w:szCs w:val="21"/>
          <w:highlight w:val="none"/>
        </w:rPr>
        <w:t>满足的资格要求：</w:t>
      </w:r>
      <w:r>
        <w:rPr>
          <w:rFonts w:hint="eastAsia" w:ascii="宋体" w:hAnsi="宋体" w:cs="宋体"/>
          <w:i/>
          <w:iCs/>
          <w:szCs w:val="21"/>
          <w:highlight w:val="none"/>
          <w:u w:val="single"/>
        </w:rPr>
        <w:t>无</w:t>
      </w:r>
    </w:p>
    <w:p>
      <w:pPr>
        <w:pStyle w:val="5"/>
        <w:spacing w:before="0" w:after="0" w:line="360" w:lineRule="auto"/>
        <w:ind w:firstLine="420" w:firstLineChars="200"/>
        <w:jc w:val="both"/>
        <w:rPr>
          <w:rFonts w:ascii="宋体" w:hAnsi="宋体" w:eastAsia="宋体"/>
          <w:b w:val="0"/>
          <w:sz w:val="21"/>
          <w:szCs w:val="21"/>
        </w:rPr>
      </w:pPr>
      <w:r>
        <w:rPr>
          <w:rFonts w:hint="eastAsia" w:ascii="宋体" w:hAnsi="宋体" w:eastAsia="宋体"/>
          <w:b w:val="0"/>
          <w:sz w:val="21"/>
          <w:szCs w:val="21"/>
        </w:rPr>
        <w:t>3.本项目的特定资格要求：</w:t>
      </w:r>
    </w:p>
    <w:p>
      <w:pPr>
        <w:pStyle w:val="5"/>
        <w:spacing w:before="0" w:after="0" w:line="360" w:lineRule="auto"/>
        <w:ind w:firstLine="420" w:firstLineChars="200"/>
        <w:jc w:val="both"/>
        <w:rPr>
          <w:rFonts w:ascii="宋体" w:hAnsi="宋体" w:eastAsia="宋体"/>
          <w:b w:val="0"/>
          <w:i/>
          <w:iCs/>
          <w:sz w:val="21"/>
          <w:szCs w:val="21"/>
          <w:u w:val="single"/>
        </w:rPr>
      </w:pPr>
      <w:r>
        <w:rPr>
          <w:rFonts w:hint="eastAsia" w:ascii="宋体" w:hAnsi="宋体" w:eastAsia="宋体"/>
          <w:b w:val="0"/>
          <w:i/>
          <w:iCs/>
          <w:sz w:val="21"/>
          <w:szCs w:val="21"/>
          <w:u w:val="single"/>
        </w:rPr>
        <w:t>1）包</w:t>
      </w:r>
      <w:r>
        <w:rPr>
          <w:rFonts w:hint="eastAsia" w:ascii="宋体" w:hAnsi="宋体" w:eastAsia="宋体"/>
          <w:b w:val="0"/>
          <w:i/>
          <w:iCs/>
          <w:sz w:val="21"/>
          <w:szCs w:val="21"/>
          <w:u w:val="single"/>
          <w:lang w:val="en-US" w:eastAsia="zh-CN"/>
        </w:rPr>
        <w:t>一：</w:t>
      </w:r>
      <w:r>
        <w:rPr>
          <w:rFonts w:hint="eastAsia" w:ascii="宋体" w:hAnsi="宋体" w:eastAsia="宋体"/>
          <w:b w:val="0"/>
          <w:i/>
          <w:iCs/>
          <w:sz w:val="21"/>
          <w:szCs w:val="21"/>
          <w:u w:val="single"/>
        </w:rPr>
        <w:t>供应商具有建筑工程施工总承包三级及以上资质；包</w:t>
      </w:r>
      <w:r>
        <w:rPr>
          <w:rFonts w:hint="eastAsia" w:ascii="宋体" w:hAnsi="宋体" w:eastAsia="宋体"/>
          <w:b w:val="0"/>
          <w:i/>
          <w:iCs/>
          <w:sz w:val="21"/>
          <w:szCs w:val="21"/>
          <w:u w:val="single"/>
          <w:lang w:val="en-US" w:eastAsia="zh-CN"/>
        </w:rPr>
        <w:t>二：</w:t>
      </w:r>
      <w:r>
        <w:rPr>
          <w:rFonts w:hint="eastAsia" w:ascii="宋体" w:hAnsi="宋体" w:eastAsia="宋体"/>
          <w:b w:val="0"/>
          <w:i/>
          <w:iCs/>
          <w:sz w:val="21"/>
          <w:szCs w:val="21"/>
          <w:u w:val="single"/>
        </w:rPr>
        <w:t>供应商具有建筑装饰装修工程专业承包二级及以上资质</w:t>
      </w:r>
    </w:p>
    <w:p>
      <w:pPr>
        <w:pStyle w:val="5"/>
        <w:spacing w:before="0" w:after="0" w:line="360" w:lineRule="auto"/>
        <w:ind w:firstLine="420" w:firstLineChars="200"/>
        <w:jc w:val="both"/>
        <w:rPr>
          <w:rFonts w:ascii="宋体" w:hAnsi="宋体" w:eastAsia="宋体"/>
          <w:b w:val="0"/>
          <w:i/>
          <w:iCs/>
          <w:sz w:val="21"/>
          <w:szCs w:val="21"/>
          <w:u w:val="single"/>
        </w:rPr>
      </w:pPr>
      <w:r>
        <w:rPr>
          <w:rFonts w:hint="eastAsia" w:ascii="宋体" w:hAnsi="宋体" w:eastAsia="宋体"/>
          <w:b w:val="0"/>
          <w:i/>
          <w:iCs/>
          <w:sz w:val="21"/>
          <w:szCs w:val="21"/>
          <w:u w:val="single"/>
        </w:rPr>
        <w:t>2）供应商具备有效期内的安全生产许可证</w:t>
      </w:r>
    </w:p>
    <w:p>
      <w:pPr>
        <w:spacing w:line="360" w:lineRule="auto"/>
        <w:ind w:firstLine="420" w:firstLineChars="200"/>
        <w:rPr>
          <w:rFonts w:ascii="宋体" w:hAnsi="宋体"/>
          <w:szCs w:val="21"/>
        </w:rPr>
      </w:pPr>
      <w:r>
        <w:rPr>
          <w:rFonts w:hint="eastAsia" w:ascii="宋体" w:hAnsi="宋体"/>
          <w:i/>
          <w:iCs/>
          <w:szCs w:val="21"/>
          <w:u w:val="single"/>
        </w:rPr>
        <w:t>3）供应商拟派项目经理具备建筑工程二级及以上注册建造师执业资格，具备有效的B类安全生产考核合格证书</w:t>
      </w:r>
    </w:p>
    <w:p>
      <w:pPr>
        <w:pStyle w:val="5"/>
        <w:spacing w:before="0" w:after="0" w:line="360" w:lineRule="auto"/>
        <w:ind w:firstLine="420" w:firstLineChars="200"/>
        <w:jc w:val="both"/>
        <w:rPr>
          <w:rFonts w:ascii="宋体" w:hAnsi="宋体" w:eastAsia="宋体" w:cs="宋体"/>
          <w:b w:val="0"/>
          <w:sz w:val="21"/>
          <w:szCs w:val="21"/>
        </w:rPr>
      </w:pPr>
      <w:bookmarkStart w:id="24" w:name="_Toc35393631"/>
      <w:bookmarkStart w:id="25" w:name="_Toc35393800"/>
      <w:r>
        <w:rPr>
          <w:rFonts w:hint="eastAsia" w:ascii="宋体" w:hAnsi="宋体" w:eastAsia="宋体" w:cs="宋体"/>
          <w:b w:val="0"/>
          <w:sz w:val="21"/>
          <w:szCs w:val="21"/>
        </w:rPr>
        <w:t>三、获取采购文件</w:t>
      </w:r>
      <w:bookmarkEnd w:id="22"/>
      <w:bookmarkEnd w:id="23"/>
      <w:bookmarkEnd w:id="24"/>
      <w:bookmarkEnd w:id="25"/>
    </w:p>
    <w:p>
      <w:pPr>
        <w:spacing w:line="360" w:lineRule="auto"/>
        <w:ind w:firstLine="420" w:firstLineChars="200"/>
        <w:rPr>
          <w:rFonts w:ascii="宋体" w:hAnsi="宋体" w:cs="宋体"/>
          <w:szCs w:val="21"/>
        </w:rPr>
      </w:pPr>
      <w:r>
        <w:rPr>
          <w:rFonts w:hint="eastAsia" w:ascii="宋体" w:hAnsi="宋体" w:cs="宋体"/>
          <w:szCs w:val="21"/>
        </w:rPr>
        <w:t>时间：</w:t>
      </w:r>
      <w:r>
        <w:rPr>
          <w:rFonts w:hint="eastAsia" w:ascii="宋体" w:hAnsi="宋体" w:cs="宋体"/>
          <w:szCs w:val="21"/>
          <w:u w:val="single"/>
        </w:rPr>
        <w:t>2024年4月30日</w:t>
      </w:r>
      <w:r>
        <w:rPr>
          <w:rFonts w:hint="eastAsia" w:ascii="宋体" w:hAnsi="宋体" w:cs="宋体"/>
          <w:szCs w:val="21"/>
        </w:rPr>
        <w:t>至</w:t>
      </w:r>
      <w:r>
        <w:rPr>
          <w:rFonts w:hint="eastAsia" w:ascii="宋体" w:hAnsi="宋体" w:cs="宋体"/>
          <w:szCs w:val="21"/>
          <w:u w:val="single"/>
        </w:rPr>
        <w:t>2024年5月10日</w:t>
      </w:r>
      <w:r>
        <w:rPr>
          <w:rFonts w:hint="eastAsia" w:ascii="宋体" w:hAnsi="宋体" w:cs="宋体"/>
          <w:szCs w:val="21"/>
        </w:rPr>
        <w:t>，每天上午</w:t>
      </w:r>
      <w:r>
        <w:rPr>
          <w:rFonts w:hint="eastAsia" w:ascii="宋体" w:hAnsi="宋体" w:cs="宋体"/>
          <w:szCs w:val="21"/>
          <w:u w:val="single"/>
        </w:rPr>
        <w:t>9:00</w:t>
      </w:r>
      <w:r>
        <w:rPr>
          <w:rFonts w:hint="eastAsia" w:ascii="宋体" w:hAnsi="宋体" w:cs="宋体"/>
          <w:szCs w:val="21"/>
        </w:rPr>
        <w:t>至</w:t>
      </w:r>
      <w:r>
        <w:rPr>
          <w:rFonts w:hint="eastAsia" w:ascii="宋体" w:hAnsi="宋体" w:cs="宋体"/>
          <w:szCs w:val="21"/>
          <w:u w:val="single"/>
        </w:rPr>
        <w:t>11:30</w:t>
      </w:r>
      <w:r>
        <w:rPr>
          <w:rFonts w:hint="eastAsia" w:ascii="宋体" w:hAnsi="宋体" w:cs="宋体"/>
          <w:szCs w:val="21"/>
        </w:rPr>
        <w:t>，下午</w:t>
      </w:r>
      <w:r>
        <w:rPr>
          <w:rFonts w:hint="eastAsia" w:ascii="宋体" w:hAnsi="宋体" w:cs="宋体"/>
          <w:szCs w:val="21"/>
          <w:u w:val="single"/>
        </w:rPr>
        <w:t>14:30</w:t>
      </w:r>
      <w:r>
        <w:rPr>
          <w:rFonts w:hint="eastAsia" w:ascii="宋体" w:hAnsi="宋体" w:cs="宋体"/>
          <w:szCs w:val="21"/>
        </w:rPr>
        <w:t>至</w:t>
      </w:r>
      <w:r>
        <w:rPr>
          <w:rFonts w:hint="eastAsia" w:ascii="宋体" w:hAnsi="宋体" w:cs="宋体"/>
          <w:szCs w:val="21"/>
          <w:u w:val="single"/>
        </w:rPr>
        <w:t>17:30</w:t>
      </w:r>
      <w:r>
        <w:rPr>
          <w:rFonts w:hint="eastAsia" w:ascii="宋体" w:hAnsi="宋体" w:cs="宋体"/>
          <w:szCs w:val="21"/>
        </w:rPr>
        <w:t>（北京时间，法定节假日除外）</w:t>
      </w:r>
    </w:p>
    <w:p>
      <w:pPr>
        <w:spacing w:line="360" w:lineRule="auto"/>
        <w:ind w:firstLine="420" w:firstLineChars="200"/>
        <w:rPr>
          <w:rFonts w:ascii="宋体" w:hAnsi="宋体" w:cs="宋体"/>
          <w:szCs w:val="21"/>
          <w:u w:val="single"/>
        </w:rPr>
      </w:pPr>
      <w:r>
        <w:rPr>
          <w:rFonts w:hint="eastAsia" w:ascii="宋体" w:hAnsi="宋体"/>
          <w:szCs w:val="21"/>
        </w:rPr>
        <w:t>地点：扬州市政府采购服务商城、扬州市职业大学官网</w:t>
      </w:r>
    </w:p>
    <w:p>
      <w:pPr>
        <w:spacing w:line="360" w:lineRule="auto"/>
        <w:ind w:firstLine="420" w:firstLineChars="200"/>
        <w:rPr>
          <w:rFonts w:ascii="宋体" w:hAnsi="宋体" w:cs="宋体"/>
          <w:szCs w:val="21"/>
          <w:u w:val="single"/>
        </w:rPr>
      </w:pPr>
      <w:r>
        <w:rPr>
          <w:rFonts w:hint="eastAsia" w:ascii="宋体" w:hAnsi="宋体"/>
          <w:szCs w:val="21"/>
        </w:rPr>
        <w:t>方式：自行下载</w:t>
      </w:r>
    </w:p>
    <w:p>
      <w:pPr>
        <w:spacing w:line="360" w:lineRule="auto"/>
        <w:ind w:firstLine="420" w:firstLineChars="200"/>
        <w:rPr>
          <w:rFonts w:ascii="宋体" w:hAnsi="宋体" w:cs="宋体"/>
          <w:szCs w:val="21"/>
        </w:rPr>
      </w:pPr>
      <w:r>
        <w:rPr>
          <w:rFonts w:hint="eastAsia" w:ascii="宋体" w:hAnsi="宋体" w:cs="宋体"/>
          <w:szCs w:val="21"/>
        </w:rPr>
        <w:t>售价：</w:t>
      </w:r>
      <w:r>
        <w:rPr>
          <w:rFonts w:hint="eastAsia" w:ascii="宋体" w:hAnsi="宋体" w:cs="宋体"/>
          <w:szCs w:val="21"/>
          <w:u w:val="single"/>
        </w:rPr>
        <w:t>资料费300元，现场递交谈判文件时缴纳。</w:t>
      </w:r>
    </w:p>
    <w:p>
      <w:pPr>
        <w:pStyle w:val="5"/>
        <w:spacing w:before="0" w:after="0" w:line="360" w:lineRule="auto"/>
        <w:ind w:firstLine="420" w:firstLineChars="200"/>
        <w:jc w:val="both"/>
        <w:rPr>
          <w:rFonts w:ascii="宋体" w:hAnsi="宋体" w:eastAsia="宋体" w:cs="宋体"/>
          <w:b w:val="0"/>
          <w:sz w:val="21"/>
          <w:szCs w:val="21"/>
        </w:rPr>
      </w:pPr>
      <w:bookmarkStart w:id="26" w:name="_Toc28359015"/>
      <w:bookmarkStart w:id="27" w:name="_Toc28359092"/>
      <w:bookmarkStart w:id="28" w:name="_Toc35393632"/>
      <w:bookmarkStart w:id="29" w:name="_Toc35393801"/>
      <w:r>
        <w:rPr>
          <w:rFonts w:hint="eastAsia" w:ascii="宋体" w:hAnsi="宋体" w:eastAsia="宋体" w:cs="宋体"/>
          <w:b w:val="0"/>
          <w:sz w:val="21"/>
          <w:szCs w:val="21"/>
        </w:rPr>
        <w:t>四、响应文件提交</w:t>
      </w:r>
      <w:bookmarkEnd w:id="26"/>
      <w:bookmarkEnd w:id="27"/>
      <w:bookmarkEnd w:id="28"/>
      <w:bookmarkEnd w:id="29"/>
    </w:p>
    <w:p>
      <w:pPr>
        <w:spacing w:line="360" w:lineRule="auto"/>
        <w:ind w:firstLine="420" w:firstLineChars="200"/>
        <w:rPr>
          <w:rFonts w:ascii="宋体" w:hAnsi="宋体" w:cs="宋体"/>
          <w:bCs/>
          <w:szCs w:val="21"/>
          <w:u w:val="single"/>
        </w:rPr>
      </w:pPr>
      <w:r>
        <w:rPr>
          <w:rFonts w:hint="eastAsia" w:ascii="宋体" w:hAnsi="宋体" w:cs="宋体"/>
          <w:szCs w:val="21"/>
        </w:rPr>
        <w:t>截止时间：</w:t>
      </w:r>
      <w:r>
        <w:rPr>
          <w:rFonts w:hint="eastAsia" w:ascii="宋体" w:hAnsi="宋体" w:cs="宋体"/>
          <w:szCs w:val="21"/>
          <w:u w:val="single"/>
        </w:rPr>
        <w:t>2024</w:t>
      </w:r>
      <w:r>
        <w:rPr>
          <w:rFonts w:hint="eastAsia" w:ascii="宋体" w:hAnsi="宋体" w:cs="宋体"/>
          <w:bCs/>
          <w:szCs w:val="21"/>
          <w:u w:val="single"/>
        </w:rPr>
        <w:t>年5月14日9点30分</w:t>
      </w:r>
      <w:r>
        <w:rPr>
          <w:rFonts w:hint="eastAsia" w:ascii="宋体" w:hAnsi="宋体" w:cs="宋体"/>
          <w:bCs/>
          <w:szCs w:val="21"/>
        </w:rPr>
        <w:t>（北京时间）</w:t>
      </w:r>
    </w:p>
    <w:p>
      <w:pPr>
        <w:spacing w:line="360" w:lineRule="auto"/>
        <w:ind w:firstLine="420" w:firstLineChars="200"/>
        <w:rPr>
          <w:rFonts w:ascii="宋体" w:hAnsi="宋体" w:cs="宋体"/>
          <w:bCs/>
          <w:szCs w:val="21"/>
          <w:u w:val="single"/>
        </w:rPr>
      </w:pPr>
      <w:r>
        <w:rPr>
          <w:rFonts w:hint="eastAsia" w:ascii="宋体" w:hAnsi="宋体" w:cs="宋体"/>
          <w:szCs w:val="21"/>
        </w:rPr>
        <w:t>地点：</w:t>
      </w:r>
      <w:r>
        <w:rPr>
          <w:rFonts w:hint="eastAsia" w:ascii="宋体" w:hAnsi="宋体"/>
          <w:szCs w:val="21"/>
        </w:rPr>
        <w:t>江苏唯诚建设咨询有限公司1920开标室（扬州维扬路106-1号，扬州商城国际大厦19F）</w:t>
      </w:r>
    </w:p>
    <w:p>
      <w:pPr>
        <w:pStyle w:val="5"/>
        <w:spacing w:before="0" w:after="0" w:line="360" w:lineRule="auto"/>
        <w:ind w:firstLine="420" w:firstLineChars="200"/>
        <w:jc w:val="both"/>
        <w:rPr>
          <w:rFonts w:ascii="宋体" w:hAnsi="宋体" w:eastAsia="宋体" w:cs="宋体"/>
          <w:b w:val="0"/>
          <w:sz w:val="21"/>
          <w:szCs w:val="21"/>
        </w:rPr>
      </w:pPr>
      <w:bookmarkStart w:id="30" w:name="_Toc35393802"/>
      <w:bookmarkStart w:id="31" w:name="_Toc28359016"/>
      <w:bookmarkStart w:id="32" w:name="_Toc35393633"/>
      <w:bookmarkStart w:id="33" w:name="_Toc28359093"/>
      <w:r>
        <w:rPr>
          <w:rFonts w:hint="eastAsia" w:ascii="宋体" w:hAnsi="宋体" w:eastAsia="宋体" w:cs="宋体"/>
          <w:b w:val="0"/>
          <w:sz w:val="21"/>
          <w:szCs w:val="21"/>
        </w:rPr>
        <w:t>五、开启</w:t>
      </w:r>
      <w:bookmarkEnd w:id="30"/>
      <w:bookmarkEnd w:id="31"/>
      <w:bookmarkEnd w:id="32"/>
      <w:bookmarkEnd w:id="33"/>
    </w:p>
    <w:p>
      <w:pPr>
        <w:spacing w:line="360" w:lineRule="auto"/>
        <w:ind w:firstLine="420" w:firstLineChars="200"/>
        <w:rPr>
          <w:rFonts w:ascii="宋体" w:hAnsi="宋体" w:cs="宋体"/>
          <w:bCs/>
          <w:szCs w:val="21"/>
          <w:u w:val="single"/>
        </w:rPr>
      </w:pPr>
      <w:r>
        <w:rPr>
          <w:rFonts w:hint="eastAsia" w:ascii="宋体" w:hAnsi="宋体" w:cs="宋体"/>
          <w:szCs w:val="21"/>
        </w:rPr>
        <w:t>时间：</w:t>
      </w:r>
      <w:r>
        <w:rPr>
          <w:rFonts w:hint="eastAsia" w:ascii="宋体" w:hAnsi="宋体" w:cs="宋体"/>
          <w:szCs w:val="21"/>
          <w:u w:val="single"/>
        </w:rPr>
        <w:t>2024</w:t>
      </w:r>
      <w:r>
        <w:rPr>
          <w:rFonts w:hint="eastAsia" w:ascii="宋体" w:hAnsi="宋体" w:cs="宋体"/>
          <w:bCs/>
          <w:szCs w:val="21"/>
          <w:u w:val="single"/>
        </w:rPr>
        <w:t>年5月14日9点30分</w:t>
      </w:r>
      <w:r>
        <w:rPr>
          <w:rFonts w:hint="eastAsia" w:ascii="宋体" w:hAnsi="宋体" w:cs="宋体"/>
          <w:bCs/>
          <w:szCs w:val="21"/>
        </w:rPr>
        <w:t>（北京时间）</w:t>
      </w:r>
    </w:p>
    <w:p>
      <w:pPr>
        <w:spacing w:line="360" w:lineRule="auto"/>
        <w:ind w:firstLine="420" w:firstLineChars="200"/>
        <w:rPr>
          <w:rFonts w:ascii="宋体" w:hAnsi="宋体" w:cs="宋体"/>
          <w:bCs/>
          <w:szCs w:val="21"/>
          <w:u w:val="single"/>
        </w:rPr>
      </w:pPr>
      <w:r>
        <w:rPr>
          <w:rFonts w:hint="eastAsia" w:ascii="宋体" w:hAnsi="宋体" w:cs="宋体"/>
          <w:szCs w:val="21"/>
        </w:rPr>
        <w:t>地点：</w:t>
      </w:r>
      <w:r>
        <w:rPr>
          <w:rFonts w:hint="eastAsia" w:ascii="宋体" w:hAnsi="宋体"/>
          <w:szCs w:val="21"/>
        </w:rPr>
        <w:t>江苏唯诚建设咨询有限公司1920开标室（扬州维扬路106-1号，扬州商城国际大厦19F）</w:t>
      </w:r>
    </w:p>
    <w:p>
      <w:pPr>
        <w:pStyle w:val="5"/>
        <w:spacing w:before="0" w:after="0" w:line="360" w:lineRule="auto"/>
        <w:ind w:firstLine="420" w:firstLineChars="200"/>
        <w:jc w:val="both"/>
        <w:rPr>
          <w:rFonts w:ascii="宋体" w:hAnsi="宋体" w:eastAsia="宋体" w:cs="宋体"/>
          <w:b w:val="0"/>
          <w:sz w:val="21"/>
          <w:szCs w:val="21"/>
        </w:rPr>
      </w:pPr>
      <w:bookmarkStart w:id="34" w:name="_Toc28359017"/>
      <w:bookmarkStart w:id="35" w:name="_Toc35393803"/>
      <w:bookmarkStart w:id="36" w:name="_Toc28359094"/>
      <w:bookmarkStart w:id="37" w:name="_Toc35393634"/>
      <w:r>
        <w:rPr>
          <w:rFonts w:hint="eastAsia" w:ascii="宋体" w:hAnsi="宋体" w:eastAsia="宋体" w:cs="宋体"/>
          <w:b w:val="0"/>
          <w:sz w:val="21"/>
          <w:szCs w:val="21"/>
        </w:rPr>
        <w:t>六、公告期限</w:t>
      </w:r>
      <w:bookmarkEnd w:id="34"/>
      <w:bookmarkEnd w:id="35"/>
      <w:bookmarkEnd w:id="36"/>
      <w:bookmarkEnd w:id="37"/>
    </w:p>
    <w:p>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自本公告发布之日起2个工作日。</w:t>
      </w:r>
    </w:p>
    <w:p>
      <w:pPr>
        <w:pStyle w:val="5"/>
        <w:spacing w:before="0" w:after="0" w:line="360" w:lineRule="auto"/>
        <w:ind w:firstLine="420" w:firstLineChars="200"/>
        <w:jc w:val="both"/>
        <w:rPr>
          <w:rFonts w:ascii="宋体" w:hAnsi="宋体" w:eastAsia="宋体" w:cs="宋体"/>
          <w:b w:val="0"/>
          <w:sz w:val="21"/>
          <w:szCs w:val="21"/>
        </w:rPr>
      </w:pPr>
      <w:bookmarkStart w:id="38" w:name="_Toc35393635"/>
      <w:bookmarkStart w:id="39" w:name="_Toc35393804"/>
      <w:r>
        <w:rPr>
          <w:rFonts w:hint="eastAsia" w:ascii="宋体" w:hAnsi="宋体" w:eastAsia="宋体" w:cs="宋体"/>
          <w:b w:val="0"/>
          <w:sz w:val="21"/>
          <w:szCs w:val="21"/>
        </w:rPr>
        <w:t>七、其他补充事宜</w:t>
      </w:r>
      <w:bookmarkEnd w:id="38"/>
      <w:bookmarkEnd w:id="39"/>
    </w:p>
    <w:p>
      <w:pPr>
        <w:spacing w:line="440" w:lineRule="exact"/>
        <w:ind w:firstLine="420" w:firstLineChars="200"/>
        <w:rPr>
          <w:rFonts w:ascii="宋体" w:hAnsi="宋体" w:cs="宋体"/>
          <w:bCs/>
          <w:szCs w:val="21"/>
        </w:rPr>
      </w:pPr>
      <w:r>
        <w:rPr>
          <w:rFonts w:hint="eastAsia" w:ascii="宋体" w:hAnsi="宋体" w:cs="宋体"/>
          <w:szCs w:val="21"/>
        </w:rPr>
        <w:t>7.1</w:t>
      </w:r>
      <w:r>
        <w:rPr>
          <w:rFonts w:hint="eastAsia" w:ascii="宋体" w:hAnsi="宋体" w:cs="宋体"/>
          <w:bCs/>
          <w:szCs w:val="21"/>
        </w:rPr>
        <w:t>本次谈判文件制作份数要求：投标供应商应提供纸质谈判文件一式叁份（一份正本，贰份副本）， 每份谈判文件须清楚标明“ 正本”或“副本”。平台线上报名时需上传盖章后的电子文件一份（电子文件内容应与纸质文件正本一致，如不一致以线上电子文件为准。副本可为正本的复印件，应与正本一致，如副本与正本出现不一致情况以正本为准）。采购过程中采购人将以平台的线上资料为准，作为谈判依据。供应商制作的谈判文件电子文件、纸质版正本中，须按照采购文件规定签字、盖章。</w:t>
      </w:r>
    </w:p>
    <w:p>
      <w:pPr>
        <w:spacing w:line="440" w:lineRule="exact"/>
        <w:ind w:firstLine="420" w:firstLineChars="200"/>
        <w:rPr>
          <w:rFonts w:ascii="宋体" w:hAnsi="宋体" w:cs="宋体"/>
          <w:bCs/>
          <w:szCs w:val="21"/>
        </w:rPr>
      </w:pPr>
      <w:r>
        <w:rPr>
          <w:rFonts w:hint="eastAsia" w:ascii="宋体" w:hAnsi="宋体" w:cs="宋体"/>
          <w:bCs/>
          <w:szCs w:val="21"/>
        </w:rPr>
        <w:t xml:space="preserve">7.2 </w:t>
      </w:r>
      <w:r>
        <w:rPr>
          <w:rFonts w:hint="eastAsia" w:ascii="宋体" w:hAnsi="宋体"/>
          <w:szCs w:val="21"/>
        </w:rPr>
        <w:t>谈判文件在“扬州市政府采购服务商城”上免费下载，供应商如确定参加谈判，请如实填写《供应商参加谈判确认函》并按要求回复（电子邮箱：</w:t>
      </w:r>
      <w:r>
        <w:rPr>
          <w:rFonts w:hint="eastAsia"/>
        </w:rPr>
        <w:fldChar w:fldCharType="begin"/>
      </w:r>
      <w:r>
        <w:instrText xml:space="preserve"> HYPERLINK "mailto:2282617126@qq.com" </w:instrText>
      </w:r>
      <w:r>
        <w:rPr>
          <w:rFonts w:hint="eastAsia"/>
        </w:rPr>
        <w:fldChar w:fldCharType="separate"/>
      </w:r>
      <w:r>
        <w:rPr>
          <w:rStyle w:val="46"/>
          <w:rFonts w:hint="eastAsia" w:ascii="宋体" w:hAnsi="宋体"/>
          <w:szCs w:val="21"/>
        </w:rPr>
        <w:t>2282617126@qq.com</w:t>
      </w:r>
      <w:r>
        <w:rPr>
          <w:rStyle w:val="46"/>
          <w:rFonts w:hint="eastAsia" w:ascii="宋体" w:hAnsi="宋体"/>
          <w:szCs w:val="21"/>
        </w:rPr>
        <w:fldChar w:fldCharType="end"/>
      </w:r>
      <w:r>
        <w:rPr>
          <w:rFonts w:hint="eastAsia" w:ascii="宋体" w:hAnsi="宋体"/>
          <w:szCs w:val="21"/>
        </w:rPr>
        <w:t>，联系电话：0514-87880638-8010、13665205389）。如供应商未按上述要求去做，将自行承担所产生的风险。未报名（提交确认函）者、内容不全者后果自负。</w:t>
      </w:r>
    </w:p>
    <w:p>
      <w:pPr>
        <w:spacing w:line="440" w:lineRule="exact"/>
        <w:ind w:firstLine="420" w:firstLineChars="200"/>
        <w:rPr>
          <w:rFonts w:ascii="宋体" w:hAnsi="宋体" w:cs="宋体"/>
          <w:b/>
          <w:bCs/>
          <w:i/>
          <w:iCs/>
          <w:szCs w:val="21"/>
          <w:u w:val="single"/>
        </w:rPr>
      </w:pPr>
      <w:r>
        <w:rPr>
          <w:rFonts w:hint="eastAsia" w:ascii="宋体" w:hAnsi="宋体" w:cs="宋体"/>
          <w:szCs w:val="21"/>
        </w:rPr>
        <w:t>7.3</w:t>
      </w:r>
      <w:r>
        <w:rPr>
          <w:rFonts w:hint="eastAsia" w:ascii="宋体" w:hAnsi="宋体" w:cs="宋体"/>
          <w:b/>
          <w:bCs/>
          <w:i/>
          <w:iCs/>
          <w:szCs w:val="21"/>
          <w:u w:val="single"/>
        </w:rPr>
        <w:t>供应商须满足以下三种条件，其谈判文件才被接受：（1）平台线上报名并上传符合谈判文件要求的谈判文件；（2）</w:t>
      </w:r>
      <w:r>
        <w:rPr>
          <w:rFonts w:ascii="宋体" w:hAnsi="宋体" w:cs="宋体"/>
          <w:b/>
          <w:bCs/>
          <w:i/>
          <w:iCs/>
          <w:szCs w:val="21"/>
          <w:u w:val="single"/>
        </w:rPr>
        <w:t>按时递交了</w:t>
      </w:r>
      <w:r>
        <w:rPr>
          <w:rFonts w:hint="eastAsia" w:ascii="宋体" w:hAnsi="宋体" w:cs="宋体"/>
          <w:b/>
          <w:bCs/>
          <w:i/>
          <w:iCs/>
          <w:szCs w:val="21"/>
          <w:u w:val="single"/>
        </w:rPr>
        <w:t>谈判文件；（3）按时报名签到。</w:t>
      </w:r>
    </w:p>
    <w:p>
      <w:pPr>
        <w:spacing w:line="440" w:lineRule="exact"/>
        <w:ind w:firstLine="404" w:firstLineChars="200"/>
        <w:rPr>
          <w:rFonts w:ascii="宋体" w:hAnsi="宋体" w:cs="宋体"/>
          <w:bCs/>
          <w:spacing w:val="-4"/>
          <w:szCs w:val="21"/>
        </w:rPr>
      </w:pPr>
      <w:r>
        <w:rPr>
          <w:rFonts w:hint="eastAsia" w:ascii="宋体" w:hAnsi="宋体" w:cs="宋体"/>
          <w:spacing w:val="-4"/>
          <w:szCs w:val="21"/>
        </w:rPr>
        <w:t>7.4</w:t>
      </w:r>
      <w:r>
        <w:rPr>
          <w:rFonts w:hint="eastAsia" w:ascii="宋体" w:hAnsi="宋体" w:cs="宋体"/>
          <w:bCs/>
          <w:spacing w:val="-4"/>
          <w:szCs w:val="21"/>
        </w:rPr>
        <w:t>潜在投标人对谈判文件采购需求部分的询问、质疑请向采购人提出，询问、质疑由采购人负责答复。</w:t>
      </w:r>
    </w:p>
    <w:p>
      <w:pPr>
        <w:spacing w:line="440" w:lineRule="exact"/>
        <w:ind w:firstLine="420" w:firstLineChars="200"/>
        <w:rPr>
          <w:rFonts w:ascii="宋体" w:hAnsi="宋体" w:cs="宋体"/>
          <w:szCs w:val="21"/>
        </w:rPr>
      </w:pPr>
      <w:r>
        <w:rPr>
          <w:rFonts w:hint="eastAsia" w:ascii="宋体" w:hAnsi="宋体" w:cs="宋体"/>
          <w:szCs w:val="21"/>
        </w:rPr>
        <w:t>7.5有关本次谈判的事项若存在变动或修改，敬请及时关注“扬州市政府采购服务商城</w:t>
      </w:r>
      <w:r>
        <w:rPr>
          <w:rFonts w:hint="eastAsia" w:ascii="宋体" w:hAnsi="宋体"/>
          <w:szCs w:val="21"/>
        </w:rPr>
        <w:t>、扬州市职业大学官网</w:t>
      </w:r>
      <w:r>
        <w:rPr>
          <w:rFonts w:hint="eastAsia" w:ascii="宋体" w:hAnsi="宋体" w:cs="宋体"/>
          <w:szCs w:val="21"/>
        </w:rPr>
        <w:t>”发布的信息或更正公告。</w:t>
      </w:r>
    </w:p>
    <w:p>
      <w:pPr>
        <w:spacing w:line="440" w:lineRule="exact"/>
        <w:ind w:firstLine="420" w:firstLineChars="200"/>
        <w:rPr>
          <w:rFonts w:ascii="宋体" w:hAnsi="宋体" w:cs="宋体"/>
          <w:i/>
          <w:szCs w:val="21"/>
          <w:u w:val="single"/>
        </w:rPr>
      </w:pPr>
      <w:r>
        <w:rPr>
          <w:rFonts w:hint="eastAsia" w:ascii="宋体" w:hAnsi="宋体" w:cs="宋体"/>
          <w:i/>
          <w:iCs/>
          <w:szCs w:val="21"/>
        </w:rPr>
        <w:t>7.6</w:t>
      </w:r>
      <w:r>
        <w:rPr>
          <w:rFonts w:hint="eastAsia" w:ascii="宋体" w:hAnsi="宋体" w:cs="宋体"/>
          <w:i/>
          <w:szCs w:val="21"/>
          <w:u w:val="single"/>
        </w:rPr>
        <w:t>本谈判文件中斜体下划线部分为实质性响应条件，为必须遵守的条件，如不满足将作无效谈判文件处理。</w:t>
      </w:r>
    </w:p>
    <w:p>
      <w:pPr>
        <w:spacing w:line="440" w:lineRule="exact"/>
        <w:ind w:firstLine="420" w:firstLineChars="200"/>
        <w:rPr>
          <w:rFonts w:ascii="宋体" w:hAnsi="宋体"/>
          <w:szCs w:val="21"/>
        </w:rPr>
      </w:pPr>
      <w:r>
        <w:rPr>
          <w:rFonts w:hint="eastAsia" w:ascii="宋体" w:hAnsi="宋体" w:cs="宋体"/>
          <w:szCs w:val="21"/>
        </w:rPr>
        <w:t>7.7供应商如对采购文件有疑问，请咨询采购人或代理机构。如对采购流程有疑问，请咨询扬州市政府采购服务商城运营（客服热线400-660-7735，供应商指导QQ群： 755712717）。</w:t>
      </w:r>
    </w:p>
    <w:p>
      <w:pPr>
        <w:spacing w:line="360" w:lineRule="auto"/>
        <w:ind w:firstLine="420" w:firstLineChars="200"/>
        <w:rPr>
          <w:rFonts w:ascii="宋体" w:hAnsi="宋体" w:cs="宋体"/>
          <w:szCs w:val="21"/>
        </w:rPr>
      </w:pPr>
      <w:r>
        <w:rPr>
          <w:rFonts w:hint="eastAsia" w:ascii="宋体" w:hAnsi="宋体"/>
          <w:szCs w:val="21"/>
        </w:rPr>
        <w:t>7.8</w:t>
      </w:r>
      <w:r>
        <w:rPr>
          <w:rFonts w:hint="eastAsia" w:ascii="宋体" w:hAnsi="宋体" w:cs="宋体"/>
          <w:b/>
          <w:bCs/>
          <w:szCs w:val="21"/>
        </w:rPr>
        <w:t>现场及交通运输情况：各投标人自行踏勘现场了解本工程周边环境及交通情况。</w:t>
      </w:r>
    </w:p>
    <w:p>
      <w:pPr>
        <w:pStyle w:val="5"/>
        <w:spacing w:before="0" w:after="0" w:line="360" w:lineRule="auto"/>
        <w:ind w:firstLine="420" w:firstLineChars="200"/>
        <w:jc w:val="both"/>
        <w:rPr>
          <w:rFonts w:ascii="宋体" w:hAnsi="宋体" w:eastAsia="宋体" w:cs="宋体"/>
          <w:b w:val="0"/>
          <w:sz w:val="21"/>
          <w:szCs w:val="21"/>
        </w:rPr>
      </w:pPr>
      <w:bookmarkStart w:id="40" w:name="_Toc28359018"/>
      <w:bookmarkStart w:id="41" w:name="_Toc28359095"/>
      <w:bookmarkStart w:id="42" w:name="_Toc35393805"/>
      <w:bookmarkStart w:id="43" w:name="_Toc35393636"/>
      <w:r>
        <w:rPr>
          <w:rFonts w:hint="eastAsia" w:ascii="宋体" w:hAnsi="宋体" w:eastAsia="宋体" w:cs="宋体"/>
          <w:b w:val="0"/>
          <w:sz w:val="21"/>
          <w:szCs w:val="21"/>
        </w:rPr>
        <w:t>八、凡对本次采购提出询问，请按以下方式联系。</w:t>
      </w:r>
      <w:bookmarkEnd w:id="40"/>
      <w:bookmarkEnd w:id="41"/>
      <w:bookmarkEnd w:id="42"/>
      <w:bookmarkEnd w:id="43"/>
    </w:p>
    <w:p>
      <w:pPr>
        <w:spacing w:line="380" w:lineRule="exact"/>
        <w:ind w:firstLine="420" w:firstLineChars="200"/>
        <w:rPr>
          <w:rFonts w:ascii="宋体" w:hAnsi="宋体"/>
          <w:szCs w:val="21"/>
        </w:rPr>
      </w:pPr>
      <w:bookmarkStart w:id="44" w:name="_Toc28359019"/>
      <w:bookmarkStart w:id="45" w:name="_Toc35393637"/>
      <w:bookmarkStart w:id="46" w:name="_Toc35393806"/>
      <w:bookmarkStart w:id="47" w:name="_Toc28359096"/>
      <w:r>
        <w:rPr>
          <w:rFonts w:hint="eastAsia" w:ascii="宋体" w:hAnsi="宋体"/>
          <w:szCs w:val="21"/>
        </w:rPr>
        <w:t>1、采购人信息</w:t>
      </w:r>
      <w:bookmarkEnd w:id="44"/>
      <w:bookmarkEnd w:id="45"/>
      <w:bookmarkEnd w:id="46"/>
      <w:bookmarkEnd w:id="47"/>
    </w:p>
    <w:p>
      <w:pPr>
        <w:spacing w:line="360" w:lineRule="auto"/>
        <w:ind w:firstLine="420" w:firstLineChars="200"/>
        <w:rPr>
          <w:rFonts w:hAnsi="宋体"/>
          <w:szCs w:val="21"/>
        </w:rPr>
      </w:pPr>
      <w:r>
        <w:rPr>
          <w:rFonts w:hAnsi="宋体"/>
          <w:szCs w:val="21"/>
        </w:rPr>
        <w:t>采购单位：</w:t>
      </w:r>
      <w:r>
        <w:rPr>
          <w:rFonts w:hint="eastAsia" w:hAnsi="宋体"/>
          <w:szCs w:val="21"/>
        </w:rPr>
        <w:t>扬州市职业大学</w:t>
      </w:r>
    </w:p>
    <w:p>
      <w:pPr>
        <w:spacing w:line="360" w:lineRule="auto"/>
        <w:ind w:firstLine="420" w:firstLineChars="200"/>
        <w:rPr>
          <w:rFonts w:ascii="宋体" w:hAnsi="宋体"/>
          <w:szCs w:val="21"/>
        </w:rPr>
      </w:pPr>
      <w:r>
        <w:rPr>
          <w:rFonts w:hint="eastAsia" w:ascii="宋体" w:hAnsi="宋体"/>
          <w:szCs w:val="21"/>
        </w:rPr>
        <w:t>商务联系人: 孔老师</w:t>
      </w:r>
    </w:p>
    <w:p>
      <w:pPr>
        <w:spacing w:line="360" w:lineRule="auto"/>
        <w:ind w:firstLine="420" w:firstLineChars="200"/>
        <w:rPr>
          <w:rFonts w:ascii="宋体" w:hAnsi="宋体"/>
          <w:szCs w:val="21"/>
        </w:rPr>
      </w:pPr>
      <w:r>
        <w:rPr>
          <w:rFonts w:hint="eastAsia" w:ascii="宋体" w:hAnsi="宋体"/>
          <w:szCs w:val="21"/>
        </w:rPr>
        <w:t>电话：0514-87697823</w:t>
      </w:r>
    </w:p>
    <w:p>
      <w:pPr>
        <w:spacing w:line="360" w:lineRule="auto"/>
        <w:ind w:firstLine="420" w:firstLineChars="200"/>
        <w:rPr>
          <w:rFonts w:ascii="宋体" w:hAnsi="宋体"/>
          <w:szCs w:val="21"/>
        </w:rPr>
      </w:pPr>
      <w:r>
        <w:rPr>
          <w:rFonts w:hint="eastAsia" w:ascii="宋体" w:hAnsi="宋体"/>
          <w:szCs w:val="21"/>
        </w:rPr>
        <w:t>技术联系人:</w:t>
      </w:r>
      <w:r>
        <w:rPr>
          <w:rFonts w:hint="eastAsia" w:ascii="宋体" w:hAnsi="宋体" w:cs="宋体"/>
          <w:color w:val="000000"/>
        </w:rPr>
        <w:t>陆老师</w:t>
      </w:r>
    </w:p>
    <w:p>
      <w:pPr>
        <w:spacing w:line="360" w:lineRule="auto"/>
        <w:ind w:firstLine="420" w:firstLineChars="200"/>
        <w:jc w:val="left"/>
        <w:rPr>
          <w:rFonts w:ascii="宋体" w:hAnsi="宋体"/>
          <w:szCs w:val="21"/>
        </w:rPr>
      </w:pPr>
      <w:r>
        <w:rPr>
          <w:rFonts w:hint="eastAsia" w:ascii="宋体" w:hAnsi="宋体"/>
          <w:szCs w:val="21"/>
        </w:rPr>
        <w:t>电话：</w:t>
      </w:r>
      <w:r>
        <w:rPr>
          <w:rFonts w:hint="eastAsia" w:ascii="宋体" w:hAnsi="宋体" w:cs="宋体"/>
          <w:color w:val="000000"/>
        </w:rPr>
        <w:t>13705279890</w:t>
      </w:r>
    </w:p>
    <w:p>
      <w:pPr>
        <w:pStyle w:val="5"/>
        <w:spacing w:before="0" w:after="0" w:line="360" w:lineRule="auto"/>
        <w:ind w:firstLine="420" w:firstLineChars="200"/>
        <w:jc w:val="both"/>
        <w:rPr>
          <w:rFonts w:ascii="宋体" w:hAnsi="宋体" w:eastAsia="宋体" w:cs="宋体"/>
          <w:b w:val="0"/>
          <w:sz w:val="21"/>
          <w:szCs w:val="21"/>
        </w:rPr>
      </w:pPr>
      <w:bookmarkStart w:id="48" w:name="_Toc35393807"/>
      <w:bookmarkStart w:id="49" w:name="_Toc28359097"/>
      <w:bookmarkStart w:id="50" w:name="_Toc35393638"/>
      <w:bookmarkStart w:id="51" w:name="_Toc28359020"/>
      <w:r>
        <w:rPr>
          <w:rFonts w:hint="eastAsia" w:ascii="宋体" w:hAnsi="宋体" w:eastAsia="宋体" w:cs="宋体"/>
          <w:b w:val="0"/>
          <w:sz w:val="21"/>
          <w:szCs w:val="21"/>
        </w:rPr>
        <w:t>2.采购代理机构信息</w:t>
      </w:r>
      <w:bookmarkEnd w:id="48"/>
      <w:bookmarkEnd w:id="49"/>
      <w:bookmarkEnd w:id="50"/>
      <w:bookmarkEnd w:id="51"/>
    </w:p>
    <w:p>
      <w:pPr>
        <w:spacing w:line="360" w:lineRule="auto"/>
        <w:ind w:firstLine="420" w:firstLineChars="200"/>
        <w:rPr>
          <w:rFonts w:ascii="宋体" w:hAnsi="宋体" w:cs="宋体"/>
          <w:szCs w:val="21"/>
        </w:rPr>
      </w:pPr>
      <w:r>
        <w:rPr>
          <w:rFonts w:hint="eastAsia" w:ascii="宋体" w:hAnsi="宋体" w:cs="宋体"/>
          <w:szCs w:val="21"/>
        </w:rPr>
        <w:t>名    称：江苏唯诚建设咨询有限公司</w:t>
      </w:r>
    </w:p>
    <w:p>
      <w:pPr>
        <w:spacing w:line="360" w:lineRule="auto"/>
        <w:ind w:firstLine="420" w:firstLineChars="200"/>
        <w:rPr>
          <w:rFonts w:ascii="宋体" w:hAnsi="宋体" w:cs="宋体"/>
          <w:szCs w:val="21"/>
        </w:rPr>
      </w:pPr>
      <w:r>
        <w:rPr>
          <w:rFonts w:hint="eastAsia" w:ascii="宋体" w:hAnsi="宋体" w:cs="宋体"/>
          <w:szCs w:val="21"/>
        </w:rPr>
        <w:t>地　　址：扬州市维扬路106-1#</w:t>
      </w:r>
    </w:p>
    <w:p>
      <w:pPr>
        <w:spacing w:line="360" w:lineRule="auto"/>
        <w:ind w:firstLine="420" w:firstLineChars="200"/>
        <w:rPr>
          <w:rFonts w:ascii="宋体" w:hAnsi="宋体" w:cs="宋体"/>
          <w:szCs w:val="21"/>
        </w:rPr>
      </w:pPr>
      <w:r>
        <w:rPr>
          <w:rFonts w:hAnsi="宋体" w:cs="宋体"/>
          <w:szCs w:val="21"/>
        </w:rPr>
        <w:t>项目联系人：</w:t>
      </w:r>
      <w:r>
        <w:rPr>
          <w:rFonts w:hint="eastAsia" w:hAnsi="宋体" w:cs="宋体"/>
          <w:szCs w:val="21"/>
        </w:rPr>
        <w:t>曾远洋</w:t>
      </w:r>
    </w:p>
    <w:p>
      <w:pPr>
        <w:spacing w:line="360" w:lineRule="auto"/>
        <w:ind w:firstLine="420" w:firstLineChars="200"/>
        <w:rPr>
          <w:rFonts w:ascii="宋体" w:hAnsi="宋体" w:cs="宋体"/>
          <w:szCs w:val="21"/>
          <w:u w:val="single"/>
        </w:rPr>
      </w:pPr>
      <w:r>
        <w:rPr>
          <w:rFonts w:hint="eastAsia" w:ascii="宋体" w:hAnsi="宋体" w:cs="宋体"/>
          <w:szCs w:val="21"/>
        </w:rPr>
        <w:t>联系方式：13665205389</w:t>
      </w:r>
    </w:p>
    <w:bookmarkEnd w:id="11"/>
    <w:bookmarkEnd w:id="12"/>
    <w:p>
      <w:pPr>
        <w:pStyle w:val="5"/>
        <w:spacing w:before="0" w:after="0" w:line="360" w:lineRule="auto"/>
        <w:ind w:firstLine="723" w:firstLineChars="200"/>
        <w:rPr>
          <w:rFonts w:ascii="宋体" w:hAnsi="宋体" w:eastAsia="宋体" w:cs="Arial"/>
          <w:bCs/>
          <w:sz w:val="36"/>
          <w:szCs w:val="36"/>
        </w:rPr>
        <w:sectPr>
          <w:headerReference r:id="rId6" w:type="first"/>
          <w:headerReference r:id="rId5" w:type="default"/>
          <w:footerReference r:id="rId7" w:type="default"/>
          <w:pgSz w:w="11906" w:h="16838"/>
          <w:pgMar w:top="1440" w:right="1800" w:bottom="1440" w:left="1800" w:header="851" w:footer="992" w:gutter="0"/>
          <w:cols w:space="720" w:num="1"/>
          <w:docGrid w:type="lines" w:linePitch="312" w:charSpace="0"/>
        </w:sectPr>
      </w:pPr>
    </w:p>
    <w:p>
      <w:pPr>
        <w:pStyle w:val="5"/>
        <w:rPr>
          <w:rFonts w:ascii="宋体" w:hAnsi="宋体" w:eastAsia="宋体" w:cs="Arial"/>
          <w:bCs/>
          <w:sz w:val="15"/>
          <w:szCs w:val="15"/>
        </w:rPr>
      </w:pPr>
      <w:r>
        <w:rPr>
          <w:rFonts w:hint="eastAsia" w:ascii="宋体" w:hAnsi="宋体" w:eastAsia="宋体" w:cs="Arial"/>
          <w:bCs/>
          <w:sz w:val="36"/>
          <w:szCs w:val="36"/>
        </w:rPr>
        <w:t>第二章  谈判须知</w:t>
      </w:r>
    </w:p>
    <w:p>
      <w:pPr>
        <w:spacing w:after="156" w:afterLines="50" w:line="360" w:lineRule="auto"/>
        <w:jc w:val="center"/>
        <w:rPr>
          <w:rFonts w:ascii="宋体" w:hAnsi="宋体"/>
          <w:b/>
          <w:bCs/>
          <w:szCs w:val="21"/>
        </w:rPr>
      </w:pPr>
      <w:r>
        <w:rPr>
          <w:rFonts w:hint="eastAsia" w:ascii="宋体" w:hAnsi="宋体"/>
          <w:bCs/>
          <w:szCs w:val="21"/>
        </w:rPr>
        <w:t>（参加谈判的供应商以下简称“谈判供应商”）</w:t>
      </w:r>
    </w:p>
    <w:bookmarkEnd w:id="13"/>
    <w:bookmarkEnd w:id="14"/>
    <w:bookmarkEnd w:id="15"/>
    <w:p>
      <w:pPr>
        <w:tabs>
          <w:tab w:val="left" w:pos="900"/>
        </w:tabs>
        <w:spacing w:line="360" w:lineRule="auto"/>
        <w:ind w:firstLine="422" w:firstLineChars="200"/>
        <w:rPr>
          <w:rFonts w:ascii="宋体" w:hAnsi="宋体"/>
          <w:b/>
          <w:szCs w:val="21"/>
        </w:rPr>
      </w:pPr>
      <w:r>
        <w:rPr>
          <w:rFonts w:hint="eastAsia" w:ascii="宋体" w:hAnsi="宋体"/>
          <w:b/>
          <w:szCs w:val="21"/>
        </w:rPr>
        <w:t>一、总则</w:t>
      </w:r>
    </w:p>
    <w:p>
      <w:pPr>
        <w:tabs>
          <w:tab w:val="left" w:pos="900"/>
        </w:tabs>
        <w:spacing w:line="360" w:lineRule="auto"/>
        <w:ind w:firstLine="420" w:firstLineChars="200"/>
        <w:rPr>
          <w:rFonts w:ascii="宋体" w:hAnsi="宋体"/>
          <w:szCs w:val="21"/>
        </w:rPr>
      </w:pPr>
      <w:r>
        <w:rPr>
          <w:rFonts w:hint="eastAsia" w:ascii="宋体" w:hAnsi="宋体"/>
          <w:szCs w:val="21"/>
        </w:rPr>
        <w:t>1、适用范围</w:t>
      </w:r>
    </w:p>
    <w:p>
      <w:pPr>
        <w:tabs>
          <w:tab w:val="left" w:pos="900"/>
        </w:tabs>
        <w:spacing w:line="360" w:lineRule="auto"/>
        <w:ind w:firstLine="420" w:firstLineChars="200"/>
        <w:rPr>
          <w:rFonts w:ascii="宋体" w:hAnsi="宋体"/>
          <w:szCs w:val="21"/>
        </w:rPr>
      </w:pPr>
      <w:r>
        <w:rPr>
          <w:rFonts w:hint="eastAsia" w:ascii="宋体" w:hAnsi="宋体"/>
          <w:szCs w:val="21"/>
        </w:rPr>
        <w:t>1.1 本谈判采购文件（以下简称谈判文件）仅适用此项目。</w:t>
      </w:r>
    </w:p>
    <w:p>
      <w:pPr>
        <w:tabs>
          <w:tab w:val="left" w:pos="900"/>
        </w:tabs>
        <w:spacing w:line="360" w:lineRule="auto"/>
        <w:ind w:firstLine="420" w:firstLineChars="200"/>
        <w:rPr>
          <w:rFonts w:ascii="宋体" w:hAnsi="宋体"/>
          <w:szCs w:val="21"/>
        </w:rPr>
      </w:pPr>
      <w:r>
        <w:rPr>
          <w:rFonts w:hint="eastAsia" w:ascii="宋体" w:hAnsi="宋体"/>
          <w:szCs w:val="21"/>
        </w:rPr>
        <w:t>2、项目采购方式</w:t>
      </w:r>
    </w:p>
    <w:p>
      <w:pPr>
        <w:tabs>
          <w:tab w:val="left" w:pos="900"/>
        </w:tabs>
        <w:spacing w:line="360" w:lineRule="auto"/>
        <w:ind w:firstLine="420" w:firstLineChars="200"/>
        <w:rPr>
          <w:rFonts w:ascii="宋体" w:hAnsi="宋体"/>
          <w:szCs w:val="21"/>
        </w:rPr>
      </w:pPr>
      <w:r>
        <w:rPr>
          <w:rFonts w:hint="eastAsia" w:ascii="宋体" w:hAnsi="宋体"/>
          <w:szCs w:val="21"/>
        </w:rPr>
        <w:t>本次采购采取谈判的方式。</w:t>
      </w:r>
    </w:p>
    <w:p>
      <w:pPr>
        <w:tabs>
          <w:tab w:val="left" w:pos="900"/>
        </w:tabs>
        <w:spacing w:line="360" w:lineRule="auto"/>
        <w:ind w:firstLine="420" w:firstLineChars="200"/>
        <w:rPr>
          <w:rFonts w:ascii="宋体" w:hAnsi="宋体"/>
          <w:szCs w:val="21"/>
        </w:rPr>
      </w:pPr>
      <w:r>
        <w:rPr>
          <w:rFonts w:hint="eastAsia" w:ascii="宋体" w:hAnsi="宋体"/>
          <w:szCs w:val="21"/>
        </w:rPr>
        <w:t>3、合格的谈判供应商</w:t>
      </w:r>
    </w:p>
    <w:p>
      <w:pPr>
        <w:tabs>
          <w:tab w:val="left" w:pos="900"/>
        </w:tabs>
        <w:spacing w:line="360" w:lineRule="auto"/>
        <w:ind w:firstLine="420" w:firstLineChars="200"/>
        <w:rPr>
          <w:rFonts w:ascii="宋体" w:hAnsi="宋体"/>
          <w:szCs w:val="21"/>
        </w:rPr>
      </w:pPr>
      <w:r>
        <w:rPr>
          <w:rFonts w:hint="eastAsia" w:ascii="宋体" w:hAnsi="宋体"/>
          <w:szCs w:val="21"/>
        </w:rPr>
        <w:t>3.1满足本谈判文件“谈判采购邀请”中合格谈判供应商资格要求的规定。</w:t>
      </w:r>
    </w:p>
    <w:p>
      <w:pPr>
        <w:tabs>
          <w:tab w:val="left" w:pos="900"/>
        </w:tabs>
        <w:spacing w:line="360" w:lineRule="auto"/>
        <w:ind w:firstLine="420" w:firstLineChars="200"/>
        <w:rPr>
          <w:rFonts w:ascii="宋体" w:hAnsi="宋体"/>
          <w:szCs w:val="21"/>
        </w:rPr>
      </w:pPr>
      <w:r>
        <w:rPr>
          <w:rFonts w:hint="eastAsia" w:ascii="宋体" w:hAnsi="宋体"/>
          <w:szCs w:val="21"/>
        </w:rPr>
        <w:t>3.2 满足本谈判文件实质性要求和条件的规定。</w:t>
      </w:r>
    </w:p>
    <w:p>
      <w:pPr>
        <w:tabs>
          <w:tab w:val="left" w:pos="900"/>
        </w:tabs>
        <w:spacing w:line="360" w:lineRule="auto"/>
        <w:ind w:firstLine="420" w:firstLineChars="200"/>
        <w:rPr>
          <w:rFonts w:ascii="宋体" w:hAnsi="宋体"/>
          <w:szCs w:val="21"/>
        </w:rPr>
      </w:pPr>
      <w:r>
        <w:rPr>
          <w:rFonts w:hint="eastAsia" w:ascii="宋体" w:hAnsi="宋体"/>
          <w:szCs w:val="21"/>
        </w:rPr>
        <w:t>4、参加谈判费用</w:t>
      </w:r>
    </w:p>
    <w:p>
      <w:pPr>
        <w:tabs>
          <w:tab w:val="left" w:pos="900"/>
        </w:tabs>
        <w:spacing w:line="360" w:lineRule="auto"/>
        <w:ind w:left="210" w:leftChars="100" w:firstLine="210" w:firstLineChars="100"/>
        <w:rPr>
          <w:rFonts w:ascii="宋体" w:hAnsi="宋体"/>
          <w:szCs w:val="21"/>
        </w:rPr>
      </w:pPr>
      <w:r>
        <w:rPr>
          <w:rFonts w:hint="eastAsia" w:ascii="宋体" w:hAnsi="宋体"/>
          <w:szCs w:val="21"/>
        </w:rPr>
        <w:t>4.1参加谈判供应商应自行承担所有与参加谈判有关的费用。不论最终的成交结果如何，江苏唯诚</w:t>
      </w:r>
    </w:p>
    <w:p>
      <w:pPr>
        <w:tabs>
          <w:tab w:val="left" w:pos="900"/>
        </w:tabs>
        <w:spacing w:line="360" w:lineRule="auto"/>
        <w:rPr>
          <w:rFonts w:ascii="宋体" w:hAnsi="宋体"/>
          <w:szCs w:val="21"/>
        </w:rPr>
      </w:pPr>
      <w:r>
        <w:rPr>
          <w:rFonts w:hint="eastAsia" w:ascii="宋体" w:hAnsi="宋体"/>
          <w:szCs w:val="21"/>
        </w:rPr>
        <w:t>建设咨询有限公司（以下简称代理机构） 在任何情况下均无义务和责任承担这些费用。</w:t>
      </w:r>
    </w:p>
    <w:p>
      <w:pPr>
        <w:tabs>
          <w:tab w:val="left" w:pos="900"/>
        </w:tabs>
        <w:spacing w:line="360" w:lineRule="auto"/>
        <w:ind w:firstLine="420" w:firstLineChars="200"/>
        <w:rPr>
          <w:rFonts w:ascii="宋体" w:hAnsi="宋体"/>
          <w:szCs w:val="21"/>
        </w:rPr>
      </w:pPr>
      <w:r>
        <w:rPr>
          <w:rFonts w:hint="eastAsia" w:ascii="宋体" w:hAnsi="宋体"/>
          <w:szCs w:val="21"/>
        </w:rPr>
        <w:t>4.2 本次谈判文件售价300元，售后不退。</w:t>
      </w:r>
    </w:p>
    <w:p>
      <w:pPr>
        <w:tabs>
          <w:tab w:val="left" w:pos="900"/>
        </w:tabs>
        <w:spacing w:line="360" w:lineRule="auto"/>
        <w:ind w:firstLine="420" w:firstLineChars="200"/>
        <w:rPr>
          <w:rFonts w:ascii="宋体" w:hAnsi="宋体" w:cs="宋体"/>
          <w:szCs w:val="21"/>
        </w:rPr>
      </w:pPr>
      <w:r>
        <w:rPr>
          <w:rFonts w:hint="eastAsia" w:ascii="宋体" w:hAnsi="宋体"/>
          <w:szCs w:val="21"/>
        </w:rPr>
        <w:t>4.3</w:t>
      </w:r>
      <w:r>
        <w:rPr>
          <w:rFonts w:hint="eastAsia" w:ascii="宋体" w:hAnsi="宋体" w:cs="宋体"/>
          <w:b/>
          <w:bCs/>
          <w:szCs w:val="21"/>
        </w:rPr>
        <w:t>本次采购由成交人在领取成交通知书前由按发改价格【2011】一534号服务类收费标准的30%一次性支付给招标代理机构代理服务费。</w:t>
      </w:r>
    </w:p>
    <w:p>
      <w:pPr>
        <w:spacing w:line="360" w:lineRule="auto"/>
        <w:rPr>
          <w:rFonts w:ascii="宋体" w:hAnsi="宋体" w:cs="宋体"/>
          <w:szCs w:val="21"/>
        </w:rPr>
      </w:pPr>
      <w:r>
        <w:rPr>
          <w:rFonts w:hint="eastAsia" w:ascii="宋体" w:hAnsi="宋体" w:cs="宋体"/>
          <w:szCs w:val="21"/>
        </w:rPr>
        <w:t xml:space="preserve">    （1）代理服务费以人民币支付；</w:t>
      </w:r>
    </w:p>
    <w:p>
      <w:pPr>
        <w:spacing w:line="360" w:lineRule="auto"/>
        <w:ind w:firstLine="420" w:firstLineChars="200"/>
        <w:rPr>
          <w:rFonts w:ascii="宋体" w:hAnsi="宋体" w:cs="宋体"/>
          <w:szCs w:val="21"/>
        </w:rPr>
      </w:pPr>
      <w:r>
        <w:rPr>
          <w:rFonts w:hint="eastAsia" w:ascii="宋体" w:hAnsi="宋体" w:cs="宋体"/>
          <w:szCs w:val="21"/>
        </w:rPr>
        <w:t>（2）代理服务费支付方式：</w:t>
      </w:r>
      <w:r>
        <w:rPr>
          <w:rFonts w:hint="eastAsia"/>
          <w:szCs w:val="22"/>
        </w:rPr>
        <w:t>代理服务费一次性以电汇、转账等非现金形式支付</w:t>
      </w:r>
      <w:r>
        <w:rPr>
          <w:rFonts w:hint="eastAsia" w:ascii="宋体" w:hAnsi="宋体" w:cs="宋体"/>
          <w:szCs w:val="21"/>
        </w:rPr>
        <w:t>。</w:t>
      </w:r>
    </w:p>
    <w:p>
      <w:pPr>
        <w:spacing w:line="360" w:lineRule="auto"/>
        <w:ind w:firstLine="422" w:firstLineChars="200"/>
        <w:rPr>
          <w:rFonts w:ascii="宋体" w:hAnsi="宋体" w:cs="宋体"/>
          <w:b/>
          <w:szCs w:val="21"/>
        </w:rPr>
      </w:pPr>
      <w:r>
        <w:rPr>
          <w:rFonts w:hint="eastAsia" w:ascii="宋体" w:hAnsi="宋体" w:cs="宋体"/>
          <w:b/>
          <w:szCs w:val="21"/>
        </w:rPr>
        <w:t>招标代理服务费开户银行：江苏银行扬州广陵支行</w:t>
      </w:r>
      <w:r>
        <w:rPr>
          <w:rFonts w:hint="eastAsia" w:ascii="宋体" w:hAnsi="宋体" w:cs="宋体"/>
          <w:b/>
          <w:szCs w:val="21"/>
        </w:rPr>
        <w:br w:type="textWrapping"/>
      </w:r>
      <w:r>
        <w:rPr>
          <w:rFonts w:hint="eastAsia" w:ascii="宋体" w:hAnsi="宋体" w:cs="宋体"/>
          <w:b/>
          <w:szCs w:val="21"/>
        </w:rPr>
        <w:t>               开户名称：江苏唯诚建设咨询有限公司</w:t>
      </w:r>
      <w:r>
        <w:rPr>
          <w:rFonts w:hint="eastAsia" w:ascii="宋体" w:hAnsi="宋体" w:cs="宋体"/>
          <w:b/>
          <w:szCs w:val="21"/>
        </w:rPr>
        <w:br w:type="textWrapping"/>
      </w:r>
      <w:r>
        <w:rPr>
          <w:rFonts w:hint="eastAsia" w:ascii="宋体" w:hAnsi="宋体" w:cs="宋体"/>
          <w:b/>
          <w:szCs w:val="21"/>
        </w:rPr>
        <w:t>               开户帐号：05000140900000685</w:t>
      </w:r>
    </w:p>
    <w:p>
      <w:pPr>
        <w:spacing w:line="360" w:lineRule="auto"/>
        <w:ind w:firstLine="420" w:firstLineChars="200"/>
      </w:pPr>
      <w:r>
        <w:rPr>
          <w:rFonts w:hint="eastAsia" w:ascii="宋体" w:hAnsi="宋体"/>
          <w:bCs/>
          <w:szCs w:val="21"/>
        </w:rPr>
        <w:t>4.4</w:t>
      </w:r>
      <w:r>
        <w:rPr>
          <w:rFonts w:hint="eastAsia" w:ascii="宋体" w:hAnsi="宋体" w:cs="宋体"/>
          <w:bCs/>
          <w:szCs w:val="21"/>
        </w:rPr>
        <w:t>成交人还需支付专家评审费，按实结算，提供工资表。</w:t>
      </w:r>
    </w:p>
    <w:p>
      <w:pPr>
        <w:tabs>
          <w:tab w:val="left" w:pos="900"/>
        </w:tabs>
        <w:spacing w:line="400" w:lineRule="exact"/>
        <w:ind w:firstLine="420" w:firstLineChars="200"/>
        <w:rPr>
          <w:rFonts w:ascii="宋体" w:hAnsi="宋体"/>
          <w:szCs w:val="21"/>
        </w:rPr>
      </w:pPr>
      <w:r>
        <w:rPr>
          <w:rFonts w:hint="eastAsia" w:ascii="宋体" w:hAnsi="宋体"/>
          <w:szCs w:val="21"/>
        </w:rPr>
        <w:t>5、谈判文件的约束力</w:t>
      </w:r>
    </w:p>
    <w:p>
      <w:pPr>
        <w:tabs>
          <w:tab w:val="left" w:pos="900"/>
        </w:tabs>
        <w:spacing w:line="400" w:lineRule="exact"/>
        <w:ind w:left="120" w:leftChars="57" w:firstLine="420" w:firstLineChars="200"/>
        <w:rPr>
          <w:rFonts w:ascii="宋体" w:hAnsi="宋体"/>
          <w:szCs w:val="21"/>
        </w:rPr>
      </w:pPr>
      <w:r>
        <w:rPr>
          <w:rFonts w:hint="eastAsia" w:ascii="宋体" w:hAnsi="宋体"/>
          <w:szCs w:val="21"/>
        </w:rPr>
        <w:t>供应商一旦下载了本谈判文件并决定参加谈判，即被认为接受了本谈判文件的规定和约束，并且视为自谈判公告期限届满之日起已经知道或应当知道自身权益是否受到了损害。</w:t>
      </w:r>
    </w:p>
    <w:p>
      <w:pPr>
        <w:tabs>
          <w:tab w:val="left" w:pos="900"/>
        </w:tabs>
        <w:spacing w:line="400" w:lineRule="exact"/>
        <w:ind w:firstLine="525" w:firstLineChars="250"/>
        <w:rPr>
          <w:rFonts w:ascii="宋体" w:hAnsi="宋体"/>
          <w:szCs w:val="21"/>
        </w:rPr>
      </w:pPr>
      <w:r>
        <w:rPr>
          <w:rFonts w:hint="eastAsia" w:ascii="宋体" w:hAnsi="宋体"/>
          <w:szCs w:val="21"/>
        </w:rPr>
        <w:t>6、谈判文件的询问及修改</w:t>
      </w:r>
    </w:p>
    <w:p>
      <w:pPr>
        <w:tabs>
          <w:tab w:val="left" w:pos="900"/>
        </w:tabs>
        <w:spacing w:line="400" w:lineRule="exact"/>
        <w:ind w:left="120" w:leftChars="57" w:firstLine="420" w:firstLineChars="200"/>
        <w:rPr>
          <w:rFonts w:ascii="宋体" w:hAnsi="宋体"/>
          <w:szCs w:val="21"/>
        </w:rPr>
      </w:pPr>
      <w:r>
        <w:rPr>
          <w:rFonts w:hint="eastAsia" w:ascii="宋体" w:hAnsi="宋体"/>
          <w:bCs/>
          <w:szCs w:val="21"/>
        </w:rPr>
        <w:t>6.1任何要求</w:t>
      </w:r>
      <w:r>
        <w:rPr>
          <w:rFonts w:hint="eastAsia" w:ascii="宋体" w:hAnsi="宋体"/>
          <w:szCs w:val="21"/>
        </w:rPr>
        <w:t>对谈判文件进行询问的供应商，均应在提交首次响应文件截止时间3日前按采购邀请中的通讯地址，向采购人或代理机构提出。提交首次响应文件截止之日前，代理机构可以对已发出的谈判文件进行必要的澄清或者修改，澄清或者修改的内容作为谈判文件的组成部分。澄清或者修改的内容可能影响响应文件编制的，代理机构将在提交首次响应文件截止时间至少3日前，在“扬州市政府采购服务商城、扬州市职业大学官网”上发布更正公告通知所有获取谈判文件的供应商。不足3日的，代理机构应当顺延提交首次响应文件截止时间。</w:t>
      </w:r>
    </w:p>
    <w:p>
      <w:pPr>
        <w:tabs>
          <w:tab w:val="left" w:pos="900"/>
        </w:tabs>
        <w:spacing w:line="400" w:lineRule="exact"/>
        <w:ind w:left="120" w:leftChars="57" w:firstLine="420" w:firstLineChars="200"/>
        <w:rPr>
          <w:rFonts w:ascii="宋体" w:hAnsi="宋体"/>
          <w:szCs w:val="21"/>
        </w:rPr>
      </w:pPr>
      <w:r>
        <w:rPr>
          <w:rFonts w:hint="eastAsia" w:ascii="宋体" w:hAnsi="宋体"/>
          <w:szCs w:val="21"/>
        </w:rPr>
        <w:t>6.2代理机构或采购人可以视采购项目的具体情况，组织供应商进行现场考察或召开谈判前答疑会，但不单独或分别组织只有一个供应商参加的现场考察和答疑会。</w:t>
      </w:r>
    </w:p>
    <w:p>
      <w:pPr>
        <w:tabs>
          <w:tab w:val="left" w:pos="900"/>
        </w:tabs>
        <w:spacing w:line="400" w:lineRule="exact"/>
        <w:ind w:firstLine="525" w:firstLineChars="250"/>
        <w:rPr>
          <w:rFonts w:ascii="宋体" w:hAnsi="宋体"/>
          <w:szCs w:val="21"/>
        </w:rPr>
      </w:pPr>
      <w:r>
        <w:rPr>
          <w:rFonts w:hint="eastAsia" w:ascii="宋体" w:hAnsi="宋体"/>
          <w:szCs w:val="21"/>
        </w:rPr>
        <w:t>7、谈判文件的解释</w:t>
      </w:r>
    </w:p>
    <w:p>
      <w:pPr>
        <w:spacing w:line="400" w:lineRule="exact"/>
        <w:ind w:firstLine="525" w:firstLineChars="250"/>
        <w:rPr>
          <w:rFonts w:ascii="宋体" w:hAnsi="宋体"/>
          <w:bCs/>
          <w:szCs w:val="21"/>
        </w:rPr>
      </w:pPr>
      <w:r>
        <w:rPr>
          <w:rFonts w:hint="eastAsia" w:ascii="宋体" w:hAnsi="宋体"/>
          <w:bCs/>
          <w:szCs w:val="21"/>
        </w:rPr>
        <w:t>7.1 本谈判文件由代理机构负责解释。</w:t>
      </w:r>
    </w:p>
    <w:p>
      <w:pPr>
        <w:spacing w:line="400" w:lineRule="exact"/>
        <w:ind w:firstLine="527" w:firstLineChars="250"/>
        <w:rPr>
          <w:rFonts w:ascii="宋体" w:hAnsi="宋体"/>
          <w:bCs/>
          <w:szCs w:val="21"/>
        </w:rPr>
      </w:pPr>
      <w:r>
        <w:rPr>
          <w:rFonts w:hint="eastAsia" w:ascii="宋体" w:hAnsi="宋体"/>
          <w:b/>
          <w:szCs w:val="21"/>
        </w:rPr>
        <w:t>二、谈判响应文件的编制</w:t>
      </w:r>
    </w:p>
    <w:p>
      <w:pPr>
        <w:tabs>
          <w:tab w:val="left" w:pos="900"/>
        </w:tabs>
        <w:spacing w:line="400" w:lineRule="exact"/>
        <w:ind w:firstLine="525" w:firstLineChars="250"/>
        <w:rPr>
          <w:rFonts w:ascii="宋体" w:hAnsi="宋体"/>
          <w:szCs w:val="21"/>
        </w:rPr>
      </w:pPr>
      <w:r>
        <w:rPr>
          <w:rFonts w:hint="eastAsia" w:ascii="宋体" w:hAnsi="宋体"/>
          <w:szCs w:val="21"/>
        </w:rPr>
        <w:t>1、谈判响应文件份数和签署</w:t>
      </w:r>
    </w:p>
    <w:p>
      <w:pPr>
        <w:tabs>
          <w:tab w:val="left" w:pos="900"/>
        </w:tabs>
        <w:spacing w:line="400" w:lineRule="exact"/>
        <w:ind w:left="120" w:leftChars="57" w:firstLine="420" w:firstLineChars="200"/>
        <w:rPr>
          <w:rFonts w:ascii="宋体" w:hAnsi="宋体"/>
          <w:szCs w:val="21"/>
        </w:rPr>
      </w:pPr>
      <w:r>
        <w:rPr>
          <w:rFonts w:hint="eastAsia" w:ascii="宋体" w:hAnsi="宋体"/>
          <w:szCs w:val="21"/>
        </w:rPr>
        <w:t>1.1谈判供应商应严格按照采购邀请要求准备谈判响应文件（以下简称响应文件），每份响应文件须清楚地标明“正本”或“副本”字样。</w:t>
      </w:r>
    </w:p>
    <w:p>
      <w:pPr>
        <w:snapToGrid w:val="0"/>
        <w:spacing w:line="400" w:lineRule="exact"/>
        <w:ind w:firstLine="420" w:firstLineChars="200"/>
        <w:rPr>
          <w:rFonts w:ascii="宋体" w:hAnsi="宋体"/>
          <w:szCs w:val="21"/>
        </w:rPr>
      </w:pPr>
      <w:r>
        <w:rPr>
          <w:rFonts w:hint="eastAsia" w:ascii="宋体" w:hAnsi="宋体"/>
          <w:szCs w:val="21"/>
        </w:rPr>
        <w:t>响应文件的正本和所有的副本均需打印或复印。响应文件正本中，谈判文件要求提供原件的必须按照要求提供，文字材料需打印或用不褪色墨水书写，响应文件正本须经法定代表人或授权代表签字和加盖谈判供应商公章。本谈判文件所表述（指定）的公章是指刻有供应商法定名称的印章，不包括合同、财务、税务、发票等形式的业务专用章。</w:t>
      </w:r>
    </w:p>
    <w:p>
      <w:pPr>
        <w:tabs>
          <w:tab w:val="left" w:pos="900"/>
        </w:tabs>
        <w:spacing w:line="400" w:lineRule="exact"/>
        <w:ind w:left="120" w:leftChars="57" w:firstLine="420" w:firstLineChars="200"/>
        <w:rPr>
          <w:rFonts w:ascii="宋体" w:hAnsi="宋体"/>
          <w:szCs w:val="21"/>
        </w:rPr>
      </w:pPr>
      <w:r>
        <w:rPr>
          <w:rFonts w:hint="eastAsia" w:ascii="宋体" w:hAnsi="宋体"/>
          <w:szCs w:val="21"/>
        </w:rPr>
        <w:t>1.2 除谈判供应商对错处做必要修改外，响应文件不得行间插字、涂改或增删。如有修改错漏处，必须由响应文件签署人签字或盖章。</w:t>
      </w:r>
    </w:p>
    <w:p>
      <w:pPr>
        <w:tabs>
          <w:tab w:val="left" w:pos="900"/>
        </w:tabs>
        <w:spacing w:line="400" w:lineRule="exact"/>
        <w:ind w:firstLine="525" w:firstLineChars="250"/>
        <w:rPr>
          <w:rFonts w:ascii="宋体" w:hAnsi="宋体"/>
          <w:szCs w:val="21"/>
        </w:rPr>
      </w:pPr>
      <w:r>
        <w:rPr>
          <w:rFonts w:hint="eastAsia" w:ascii="宋体" w:hAnsi="宋体"/>
          <w:szCs w:val="21"/>
        </w:rPr>
        <w:t>2、响应文件编制要求</w:t>
      </w:r>
    </w:p>
    <w:p>
      <w:pPr>
        <w:tabs>
          <w:tab w:val="left" w:pos="900"/>
        </w:tabs>
        <w:spacing w:line="400" w:lineRule="exact"/>
        <w:ind w:left="120" w:leftChars="57" w:firstLine="420" w:firstLineChars="200"/>
        <w:rPr>
          <w:rFonts w:ascii="宋体" w:hAnsi="宋体"/>
          <w:szCs w:val="21"/>
        </w:rPr>
      </w:pPr>
      <w:r>
        <w:rPr>
          <w:rFonts w:hint="eastAsia" w:ascii="宋体" w:hAnsi="宋体"/>
          <w:szCs w:val="21"/>
        </w:rPr>
        <w:t>2.1谈判供应商提交的响应文件以及谈判供应商与代理机构及采购人就有关谈判的所有来往函电均应使用简体中文。谈判文件中既有中文也有外文的，以中文意义为准。</w:t>
      </w:r>
    </w:p>
    <w:p>
      <w:pPr>
        <w:tabs>
          <w:tab w:val="left" w:pos="900"/>
        </w:tabs>
        <w:spacing w:line="400" w:lineRule="exact"/>
        <w:ind w:left="120" w:leftChars="57" w:firstLine="420" w:firstLineChars="200"/>
        <w:rPr>
          <w:rFonts w:ascii="宋体" w:hAnsi="宋体"/>
          <w:szCs w:val="21"/>
        </w:rPr>
      </w:pPr>
      <w:r>
        <w:rPr>
          <w:rFonts w:hint="eastAsia" w:ascii="宋体" w:hAnsi="宋体"/>
          <w:szCs w:val="21"/>
        </w:rPr>
        <w:t>2.2 除技术性能另有规定外，响应文件所使用的度量衡单位，均须采用国家法定计量单位。</w:t>
      </w:r>
    </w:p>
    <w:p>
      <w:pPr>
        <w:tabs>
          <w:tab w:val="left" w:pos="900"/>
        </w:tabs>
        <w:spacing w:line="400" w:lineRule="exact"/>
        <w:ind w:firstLine="525" w:firstLineChars="250"/>
        <w:rPr>
          <w:rFonts w:ascii="宋体" w:hAnsi="宋体"/>
          <w:szCs w:val="21"/>
        </w:rPr>
      </w:pPr>
      <w:r>
        <w:rPr>
          <w:rFonts w:hint="eastAsia" w:ascii="宋体" w:hAnsi="宋体"/>
          <w:szCs w:val="21"/>
        </w:rPr>
        <w:t>3、参加谈判供应商资格的文件证明</w:t>
      </w:r>
    </w:p>
    <w:p>
      <w:pPr>
        <w:tabs>
          <w:tab w:val="left" w:pos="900"/>
        </w:tabs>
        <w:spacing w:line="400" w:lineRule="exact"/>
        <w:ind w:left="120" w:leftChars="57" w:firstLine="420" w:firstLineChars="200"/>
        <w:rPr>
          <w:rFonts w:ascii="宋体" w:hAnsi="宋体"/>
          <w:szCs w:val="21"/>
        </w:rPr>
      </w:pPr>
      <w:r>
        <w:rPr>
          <w:rFonts w:hint="eastAsia" w:ascii="宋体" w:hAnsi="宋体"/>
          <w:szCs w:val="21"/>
        </w:rPr>
        <w:t>3.1谈判供应商应提交证明其有资格参加谈判和成交后有能力独立履行合同的文件，并作为其响应文件的一部分。</w:t>
      </w:r>
    </w:p>
    <w:p>
      <w:pPr>
        <w:tabs>
          <w:tab w:val="left" w:pos="900"/>
        </w:tabs>
        <w:spacing w:line="400" w:lineRule="exact"/>
        <w:ind w:left="120" w:leftChars="57" w:firstLine="420" w:firstLineChars="200"/>
        <w:rPr>
          <w:rFonts w:ascii="宋体" w:hAnsi="宋体"/>
          <w:szCs w:val="21"/>
        </w:rPr>
      </w:pPr>
      <w:r>
        <w:rPr>
          <w:rFonts w:hint="eastAsia" w:ascii="宋体" w:hAnsi="宋体"/>
          <w:szCs w:val="21"/>
        </w:rPr>
        <w:t>3.2谈判供应商除必须具有履行合同所需提供的设备以及服务的能力外，还必须具备相应的财务、技术方面的能力。</w:t>
      </w:r>
    </w:p>
    <w:p>
      <w:pPr>
        <w:tabs>
          <w:tab w:val="left" w:pos="900"/>
        </w:tabs>
        <w:spacing w:line="440" w:lineRule="exact"/>
        <w:ind w:firstLine="420" w:firstLineChars="200"/>
        <w:rPr>
          <w:rFonts w:ascii="宋体" w:hAnsi="宋体" w:cs="宋体"/>
          <w:szCs w:val="21"/>
        </w:rPr>
      </w:pPr>
      <w:r>
        <w:rPr>
          <w:rFonts w:hint="eastAsia" w:ascii="宋体" w:hAnsi="宋体" w:cs="宋体"/>
          <w:szCs w:val="21"/>
        </w:rPr>
        <w:t>3.3谈判供应商应填写并提交谈判文件所附的“资格证明文件”。</w:t>
      </w:r>
    </w:p>
    <w:p>
      <w:pPr>
        <w:tabs>
          <w:tab w:val="left" w:pos="900"/>
        </w:tabs>
        <w:spacing w:line="440" w:lineRule="exact"/>
        <w:ind w:firstLine="420" w:firstLineChars="200"/>
        <w:rPr>
          <w:rFonts w:ascii="宋体" w:hAnsi="宋体" w:cs="宋体"/>
          <w:szCs w:val="21"/>
        </w:rPr>
      </w:pPr>
      <w:r>
        <w:rPr>
          <w:rFonts w:hint="eastAsia" w:ascii="宋体" w:hAnsi="宋体" w:cs="宋体"/>
          <w:szCs w:val="21"/>
        </w:rPr>
        <w:t>4、谈判响应报价表</w:t>
      </w:r>
    </w:p>
    <w:p>
      <w:pPr>
        <w:spacing w:line="440" w:lineRule="exact"/>
        <w:ind w:firstLine="420" w:firstLineChars="200"/>
        <w:rPr>
          <w:rFonts w:ascii="宋体" w:hAnsi="宋体" w:cs="宋体"/>
          <w:szCs w:val="21"/>
        </w:rPr>
      </w:pPr>
      <w:r>
        <w:rPr>
          <w:rFonts w:hint="eastAsia" w:ascii="宋体" w:hAnsi="宋体" w:cs="宋体"/>
          <w:bCs/>
          <w:szCs w:val="21"/>
        </w:rPr>
        <w:t xml:space="preserve">4.1 </w:t>
      </w:r>
      <w:r>
        <w:rPr>
          <w:rFonts w:hint="eastAsia" w:ascii="宋体" w:hAnsi="宋体" w:cs="宋体"/>
          <w:szCs w:val="21"/>
        </w:rPr>
        <w:t>参加谈判的供应商应按照谈判文件规定格式填报谈判响应报价表（含分项报价），每项服务只允许有一个报价，任何有选择的报价将不予接受(如有备选配件，备选配件的报价不属于选择的报价)。</w:t>
      </w:r>
    </w:p>
    <w:p>
      <w:pPr>
        <w:tabs>
          <w:tab w:val="left" w:pos="900"/>
        </w:tabs>
        <w:spacing w:line="440" w:lineRule="exact"/>
        <w:ind w:firstLine="420" w:firstLineChars="200"/>
        <w:rPr>
          <w:rFonts w:ascii="宋体" w:hAnsi="宋体" w:cs="宋体"/>
          <w:szCs w:val="21"/>
        </w:rPr>
      </w:pPr>
      <w:r>
        <w:rPr>
          <w:rFonts w:hint="eastAsia" w:ascii="宋体" w:hAnsi="宋体" w:cs="宋体"/>
          <w:szCs w:val="21"/>
        </w:rPr>
        <w:t>4.1.2若供应商所递交的响应文件或最后报价中的价格出现大写金额和小写金额不一致的错误，以大写金额修正为准。</w:t>
      </w:r>
    </w:p>
    <w:p>
      <w:pPr>
        <w:tabs>
          <w:tab w:val="left" w:pos="900"/>
        </w:tabs>
        <w:spacing w:line="440" w:lineRule="exact"/>
        <w:ind w:firstLine="420" w:firstLineChars="200"/>
        <w:rPr>
          <w:rFonts w:ascii="宋体" w:hAnsi="宋体" w:cs="宋体"/>
          <w:szCs w:val="21"/>
        </w:rPr>
      </w:pPr>
      <w:r>
        <w:rPr>
          <w:rFonts w:hint="eastAsia" w:ascii="宋体" w:hAnsi="宋体" w:cs="宋体"/>
          <w:szCs w:val="21"/>
        </w:rPr>
        <w:t>4.1.3若供应商所上传的响应文件中报价函价格与扬州市政府采购服务商城所填报的价格不一致，以扬州市政府采购服务商城为准。</w:t>
      </w:r>
    </w:p>
    <w:p>
      <w:pPr>
        <w:tabs>
          <w:tab w:val="left" w:pos="900"/>
        </w:tabs>
        <w:spacing w:line="440" w:lineRule="exact"/>
        <w:ind w:firstLine="420" w:firstLineChars="200"/>
        <w:rPr>
          <w:rFonts w:ascii="宋体" w:hAnsi="宋体" w:cs="宋体"/>
          <w:szCs w:val="21"/>
        </w:rPr>
      </w:pPr>
      <w:r>
        <w:rPr>
          <w:rFonts w:hint="eastAsia" w:ascii="宋体" w:hAnsi="宋体" w:cs="宋体"/>
          <w:szCs w:val="21"/>
        </w:rPr>
        <w:t>4.1.4谈判小组按上述修正错误的原则及方法修正供应商的报价，供应商同意并签字确认后，修正后的报价对供应商具有约束作用。如果供应商不接受修正后的价格，将失去成为成交供应商的资格。</w:t>
      </w:r>
    </w:p>
    <w:p>
      <w:pPr>
        <w:tabs>
          <w:tab w:val="left" w:pos="900"/>
        </w:tabs>
        <w:spacing w:line="400" w:lineRule="exact"/>
        <w:ind w:firstLine="525" w:firstLineChars="250"/>
        <w:rPr>
          <w:rFonts w:ascii="宋体" w:hAnsi="宋体"/>
          <w:szCs w:val="21"/>
        </w:rPr>
      </w:pPr>
      <w:r>
        <w:rPr>
          <w:rFonts w:hint="eastAsia" w:ascii="宋体" w:hAnsi="宋体"/>
          <w:szCs w:val="21"/>
        </w:rPr>
        <w:t>4.2标的物</w:t>
      </w:r>
    </w:p>
    <w:p>
      <w:pPr>
        <w:tabs>
          <w:tab w:val="left" w:pos="900"/>
        </w:tabs>
        <w:spacing w:line="400" w:lineRule="exact"/>
        <w:ind w:firstLine="525" w:firstLineChars="250"/>
        <w:rPr>
          <w:rFonts w:ascii="宋体" w:hAnsi="宋体"/>
          <w:szCs w:val="21"/>
        </w:rPr>
      </w:pPr>
      <w:r>
        <w:rPr>
          <w:rFonts w:hint="eastAsia" w:ascii="宋体" w:hAnsi="宋体"/>
          <w:szCs w:val="21"/>
        </w:rPr>
        <w:t>详见项目需求。</w:t>
      </w:r>
    </w:p>
    <w:p>
      <w:pPr>
        <w:tabs>
          <w:tab w:val="left" w:pos="900"/>
        </w:tabs>
        <w:spacing w:line="400" w:lineRule="exact"/>
        <w:ind w:firstLine="525" w:firstLineChars="250"/>
        <w:rPr>
          <w:rFonts w:ascii="宋体" w:hAnsi="宋体"/>
          <w:szCs w:val="21"/>
        </w:rPr>
      </w:pPr>
      <w:r>
        <w:rPr>
          <w:rFonts w:hint="eastAsia" w:ascii="宋体" w:hAnsi="宋体"/>
          <w:szCs w:val="21"/>
        </w:rPr>
        <w:t>4.3有关费用处理</w:t>
      </w:r>
    </w:p>
    <w:p>
      <w:pPr>
        <w:tabs>
          <w:tab w:val="left" w:pos="900"/>
        </w:tabs>
        <w:spacing w:line="400" w:lineRule="exact"/>
        <w:ind w:firstLine="525" w:firstLineChars="250"/>
        <w:rPr>
          <w:rFonts w:ascii="宋体" w:hAnsi="宋体"/>
          <w:szCs w:val="21"/>
        </w:rPr>
      </w:pPr>
      <w:r>
        <w:rPr>
          <w:rFonts w:hint="eastAsia" w:ascii="宋体" w:hAnsi="宋体"/>
          <w:szCs w:val="21"/>
        </w:rPr>
        <w:t>本次采购谈判供应商的总报价应包括为完成本项目发生的所有费用，本谈判文件中另有规定的除外。</w:t>
      </w:r>
    </w:p>
    <w:p>
      <w:pPr>
        <w:tabs>
          <w:tab w:val="left" w:pos="900"/>
        </w:tabs>
        <w:spacing w:line="400" w:lineRule="exact"/>
        <w:ind w:firstLine="525" w:firstLineChars="250"/>
        <w:rPr>
          <w:rFonts w:ascii="宋体" w:hAnsi="宋体"/>
          <w:szCs w:val="21"/>
        </w:rPr>
      </w:pPr>
      <w:r>
        <w:rPr>
          <w:rFonts w:hint="eastAsia" w:ascii="宋体" w:hAnsi="宋体"/>
          <w:szCs w:val="21"/>
        </w:rPr>
        <w:t>4.4其它费用处理</w:t>
      </w:r>
    </w:p>
    <w:p>
      <w:pPr>
        <w:tabs>
          <w:tab w:val="left" w:pos="900"/>
        </w:tabs>
        <w:spacing w:line="400" w:lineRule="exact"/>
        <w:ind w:firstLine="525" w:firstLineChars="250"/>
        <w:rPr>
          <w:rFonts w:ascii="宋体" w:hAnsi="宋体"/>
          <w:szCs w:val="21"/>
        </w:rPr>
      </w:pPr>
      <w:r>
        <w:rPr>
          <w:rFonts w:hint="eastAsia" w:ascii="宋体" w:hAnsi="宋体"/>
          <w:szCs w:val="21"/>
        </w:rPr>
        <w:t>谈判文件未列明，而谈判供应商认为必须的费用也须列入报价。</w:t>
      </w:r>
    </w:p>
    <w:p>
      <w:pPr>
        <w:tabs>
          <w:tab w:val="left" w:pos="900"/>
        </w:tabs>
        <w:spacing w:line="400" w:lineRule="exact"/>
        <w:ind w:firstLine="525" w:firstLineChars="250"/>
        <w:rPr>
          <w:rFonts w:ascii="宋体" w:hAnsi="宋体"/>
          <w:szCs w:val="21"/>
        </w:rPr>
      </w:pPr>
      <w:r>
        <w:rPr>
          <w:rFonts w:hint="eastAsia" w:ascii="宋体" w:hAnsi="宋体"/>
          <w:szCs w:val="21"/>
        </w:rPr>
        <w:t>4.5报价采用的货币</w:t>
      </w:r>
    </w:p>
    <w:p>
      <w:pPr>
        <w:tabs>
          <w:tab w:val="left" w:pos="900"/>
        </w:tabs>
        <w:spacing w:line="400" w:lineRule="exact"/>
        <w:ind w:firstLine="525" w:firstLineChars="250"/>
        <w:rPr>
          <w:rFonts w:ascii="宋体" w:hAnsi="宋体"/>
          <w:szCs w:val="21"/>
        </w:rPr>
      </w:pPr>
      <w:r>
        <w:rPr>
          <w:rFonts w:hint="eastAsia" w:ascii="宋体" w:hAnsi="宋体"/>
          <w:szCs w:val="21"/>
        </w:rPr>
        <w:t>响应文件中的单价和总价，无特殊规定的采用人民币报价，以元为单位标注。谈判文件中另有规定的按规定执行。</w:t>
      </w:r>
    </w:p>
    <w:p>
      <w:pPr>
        <w:tabs>
          <w:tab w:val="left" w:pos="900"/>
        </w:tabs>
        <w:spacing w:line="400" w:lineRule="exact"/>
        <w:ind w:firstLine="525" w:firstLineChars="250"/>
        <w:rPr>
          <w:rFonts w:ascii="宋体" w:hAnsi="宋体"/>
          <w:szCs w:val="21"/>
        </w:rPr>
      </w:pPr>
      <w:r>
        <w:rPr>
          <w:rFonts w:hint="eastAsia" w:ascii="宋体" w:hAnsi="宋体"/>
          <w:szCs w:val="21"/>
        </w:rPr>
        <w:t>4.6 谈判响应报价表上的价格应按谈判文件规定填写。</w:t>
      </w:r>
    </w:p>
    <w:p>
      <w:pPr>
        <w:tabs>
          <w:tab w:val="left" w:pos="900"/>
        </w:tabs>
        <w:spacing w:line="400" w:lineRule="exact"/>
        <w:ind w:firstLine="525" w:firstLineChars="250"/>
        <w:rPr>
          <w:rFonts w:ascii="宋体" w:hAnsi="宋体"/>
          <w:szCs w:val="21"/>
        </w:rPr>
      </w:pPr>
      <w:r>
        <w:rPr>
          <w:rFonts w:hint="eastAsia" w:ascii="宋体" w:hAnsi="宋体"/>
          <w:szCs w:val="21"/>
        </w:rPr>
        <w:t>5、项目需求响应方案</w:t>
      </w:r>
    </w:p>
    <w:p>
      <w:pPr>
        <w:tabs>
          <w:tab w:val="left" w:pos="900"/>
        </w:tabs>
        <w:spacing w:line="400" w:lineRule="exact"/>
        <w:ind w:firstLine="525" w:firstLineChars="250"/>
        <w:rPr>
          <w:rFonts w:ascii="宋体" w:hAnsi="宋体"/>
          <w:szCs w:val="21"/>
        </w:rPr>
      </w:pPr>
      <w:r>
        <w:rPr>
          <w:rFonts w:hint="eastAsia" w:ascii="宋体" w:hAnsi="宋体"/>
          <w:szCs w:val="21"/>
        </w:rPr>
        <w:t>5.1提供为完成本项目的总体实施方案。</w:t>
      </w:r>
    </w:p>
    <w:p>
      <w:pPr>
        <w:tabs>
          <w:tab w:val="left" w:pos="900"/>
        </w:tabs>
        <w:spacing w:line="400" w:lineRule="exact"/>
        <w:ind w:firstLine="525" w:firstLineChars="250"/>
        <w:rPr>
          <w:rFonts w:ascii="宋体" w:hAnsi="宋体"/>
          <w:szCs w:val="21"/>
        </w:rPr>
      </w:pPr>
      <w:r>
        <w:rPr>
          <w:rFonts w:hint="eastAsia" w:ascii="宋体" w:hAnsi="宋体"/>
          <w:szCs w:val="21"/>
        </w:rPr>
        <w:t>5.2对谈判文件中项目需求的技术与商务条款要求逐项作出应答，并提供依据或说明。</w:t>
      </w:r>
    </w:p>
    <w:p>
      <w:pPr>
        <w:tabs>
          <w:tab w:val="left" w:pos="900"/>
        </w:tabs>
        <w:spacing w:line="400" w:lineRule="exact"/>
        <w:ind w:firstLine="525" w:firstLineChars="250"/>
        <w:rPr>
          <w:rFonts w:ascii="宋体" w:hAnsi="宋体"/>
          <w:szCs w:val="21"/>
        </w:rPr>
      </w:pPr>
      <w:r>
        <w:rPr>
          <w:rFonts w:hint="eastAsia" w:ascii="宋体" w:hAnsi="宋体"/>
          <w:szCs w:val="21"/>
        </w:rPr>
        <w:t>5.3谈判供应商认为需要的其他技术文件或说明。</w:t>
      </w:r>
    </w:p>
    <w:p>
      <w:pPr>
        <w:tabs>
          <w:tab w:val="left" w:pos="900"/>
        </w:tabs>
        <w:spacing w:line="400" w:lineRule="exact"/>
        <w:ind w:firstLine="525" w:firstLineChars="250"/>
        <w:rPr>
          <w:rFonts w:ascii="宋体" w:hAnsi="宋体"/>
          <w:szCs w:val="21"/>
        </w:rPr>
      </w:pPr>
      <w:r>
        <w:rPr>
          <w:rFonts w:hint="eastAsia" w:ascii="宋体" w:hAnsi="宋体"/>
          <w:szCs w:val="21"/>
        </w:rPr>
        <w:t>6、谈判保证金：根据苏财购〔2020〕52号《关于做好政府采购支持企业发展有关事项的通知》，本次谈判不收取谈判保证金。</w:t>
      </w:r>
    </w:p>
    <w:p>
      <w:pPr>
        <w:tabs>
          <w:tab w:val="left" w:pos="900"/>
        </w:tabs>
        <w:spacing w:line="400" w:lineRule="exact"/>
        <w:ind w:firstLine="422" w:firstLineChars="200"/>
        <w:rPr>
          <w:rFonts w:ascii="宋体" w:hAnsi="宋体"/>
          <w:b/>
          <w:szCs w:val="21"/>
        </w:rPr>
      </w:pPr>
      <w:r>
        <w:rPr>
          <w:rFonts w:hint="eastAsia" w:ascii="宋体" w:hAnsi="宋体"/>
          <w:b/>
          <w:szCs w:val="21"/>
        </w:rPr>
        <w:t>三、谈判响应文件的递交</w:t>
      </w:r>
    </w:p>
    <w:p>
      <w:pPr>
        <w:tabs>
          <w:tab w:val="left" w:pos="900"/>
        </w:tabs>
        <w:spacing w:line="400" w:lineRule="exact"/>
        <w:ind w:firstLine="420" w:firstLineChars="200"/>
        <w:rPr>
          <w:rFonts w:ascii="宋体" w:hAnsi="宋体"/>
          <w:szCs w:val="21"/>
        </w:rPr>
      </w:pPr>
      <w:r>
        <w:rPr>
          <w:rFonts w:hint="eastAsia" w:ascii="宋体" w:hAnsi="宋体"/>
          <w:szCs w:val="21"/>
        </w:rPr>
        <w:t>1、响应文件的密封和标记</w:t>
      </w:r>
    </w:p>
    <w:p>
      <w:pPr>
        <w:tabs>
          <w:tab w:val="left" w:pos="900"/>
        </w:tabs>
        <w:spacing w:line="400" w:lineRule="exact"/>
        <w:ind w:firstLine="420" w:firstLineChars="200"/>
        <w:rPr>
          <w:rFonts w:ascii="宋体" w:hAnsi="宋体"/>
          <w:szCs w:val="21"/>
        </w:rPr>
      </w:pPr>
      <w:r>
        <w:rPr>
          <w:rFonts w:hint="eastAsia" w:ascii="宋体" w:hAnsi="宋体"/>
          <w:szCs w:val="21"/>
        </w:rPr>
        <w:t>1.1</w:t>
      </w:r>
      <w:r>
        <w:rPr>
          <w:rFonts w:hint="eastAsia" w:ascii="宋体" w:hAnsi="宋体"/>
          <w:b/>
          <w:szCs w:val="21"/>
        </w:rPr>
        <w:t>谈判供应商应严格按照采购邀请要求的份数准备响应文件，谈判供应商应将响应文件正本和所有副本用单独的封袋密封，</w:t>
      </w:r>
      <w:r>
        <w:rPr>
          <w:rFonts w:hint="eastAsia" w:ascii="宋体" w:hAnsi="宋体"/>
          <w:szCs w:val="21"/>
        </w:rPr>
        <w:t>封袋上标明“正本”或“副本”字样，并且每份响应文件须清楚地标明“正本”或“副本”字样。一旦正本和副本不符，以正本为准。</w:t>
      </w:r>
    </w:p>
    <w:p>
      <w:pPr>
        <w:tabs>
          <w:tab w:val="left" w:pos="900"/>
        </w:tabs>
        <w:spacing w:line="400" w:lineRule="exact"/>
        <w:ind w:firstLine="420" w:firstLineChars="200"/>
        <w:rPr>
          <w:rFonts w:ascii="宋体" w:hAnsi="宋体"/>
          <w:szCs w:val="21"/>
        </w:rPr>
      </w:pPr>
      <w:r>
        <w:rPr>
          <w:rFonts w:hint="eastAsia" w:ascii="宋体" w:hAnsi="宋体"/>
          <w:szCs w:val="21"/>
        </w:rPr>
        <w:t>1.2密封的响应文件应：</w:t>
      </w:r>
    </w:p>
    <w:p>
      <w:pPr>
        <w:tabs>
          <w:tab w:val="left" w:pos="900"/>
        </w:tabs>
        <w:spacing w:line="400" w:lineRule="exact"/>
        <w:ind w:firstLine="420" w:firstLineChars="200"/>
        <w:rPr>
          <w:rFonts w:ascii="宋体" w:hAnsi="宋体"/>
          <w:szCs w:val="21"/>
        </w:rPr>
      </w:pPr>
      <w:r>
        <w:rPr>
          <w:rFonts w:hint="eastAsia" w:ascii="宋体" w:hAnsi="宋体"/>
          <w:szCs w:val="21"/>
        </w:rPr>
        <w:t>（1）按采购邀请中注明的地址送达规定地点；</w:t>
      </w:r>
    </w:p>
    <w:p>
      <w:pPr>
        <w:tabs>
          <w:tab w:val="left" w:pos="900"/>
        </w:tabs>
        <w:spacing w:line="400" w:lineRule="exact"/>
        <w:ind w:firstLine="420" w:firstLineChars="200"/>
        <w:rPr>
          <w:rFonts w:ascii="宋体" w:hAnsi="宋体"/>
          <w:szCs w:val="21"/>
        </w:rPr>
      </w:pPr>
      <w:r>
        <w:rPr>
          <w:rFonts w:hint="eastAsia" w:ascii="宋体" w:hAnsi="宋体"/>
          <w:szCs w:val="21"/>
        </w:rPr>
        <w:t>（2）注明参加谈判项目名称、项目编号及参加的分包号（如有）；</w:t>
      </w:r>
    </w:p>
    <w:p>
      <w:pPr>
        <w:tabs>
          <w:tab w:val="left" w:pos="900"/>
        </w:tabs>
        <w:spacing w:line="400" w:lineRule="exact"/>
        <w:ind w:firstLine="420" w:firstLineChars="200"/>
        <w:rPr>
          <w:rFonts w:ascii="宋体" w:hAnsi="宋体"/>
          <w:szCs w:val="21"/>
        </w:rPr>
      </w:pPr>
      <w:r>
        <w:rPr>
          <w:rFonts w:hint="eastAsia" w:ascii="宋体" w:hAnsi="宋体"/>
          <w:szCs w:val="21"/>
        </w:rPr>
        <w:t>（3）密封包装上应写明谈判供应商名称和地址。</w:t>
      </w:r>
    </w:p>
    <w:p>
      <w:pPr>
        <w:tabs>
          <w:tab w:val="left" w:pos="900"/>
        </w:tabs>
        <w:spacing w:line="400" w:lineRule="exact"/>
        <w:ind w:firstLine="420" w:firstLineChars="200"/>
        <w:rPr>
          <w:rFonts w:ascii="宋体" w:hAnsi="宋体"/>
          <w:szCs w:val="21"/>
        </w:rPr>
      </w:pPr>
      <w:r>
        <w:rPr>
          <w:rFonts w:hint="eastAsia" w:ascii="宋体" w:hAnsi="宋体"/>
          <w:szCs w:val="21"/>
        </w:rPr>
        <w:t>1.3如果密封包装未按要求密封和加写标记，代理机构对误投或过早启封概不负责。对由此造成提前开封的响应文件，代理机构将予以拒绝，作无效响应处理。</w:t>
      </w:r>
    </w:p>
    <w:p>
      <w:pPr>
        <w:tabs>
          <w:tab w:val="left" w:pos="900"/>
        </w:tabs>
        <w:spacing w:line="400" w:lineRule="exact"/>
        <w:ind w:firstLine="420" w:firstLineChars="200"/>
        <w:rPr>
          <w:rFonts w:ascii="宋体" w:hAnsi="宋体"/>
          <w:szCs w:val="21"/>
        </w:rPr>
      </w:pPr>
      <w:r>
        <w:rPr>
          <w:rFonts w:hint="eastAsia" w:ascii="宋体" w:hAnsi="宋体"/>
          <w:szCs w:val="21"/>
        </w:rPr>
        <w:t>2、响应文件开启时间</w:t>
      </w:r>
    </w:p>
    <w:p>
      <w:pPr>
        <w:tabs>
          <w:tab w:val="left" w:pos="900"/>
        </w:tabs>
        <w:spacing w:line="400" w:lineRule="exact"/>
        <w:ind w:firstLine="420" w:firstLineChars="200"/>
        <w:rPr>
          <w:rFonts w:ascii="宋体" w:hAnsi="宋体"/>
          <w:szCs w:val="21"/>
        </w:rPr>
      </w:pPr>
      <w:r>
        <w:rPr>
          <w:rFonts w:hint="eastAsia" w:ascii="宋体" w:hAnsi="宋体"/>
          <w:szCs w:val="21"/>
        </w:rPr>
        <w:t>2.1代理机构收到响应文件的时间不得迟于本谈判文件规定的响应文件接收截止时间。</w:t>
      </w:r>
    </w:p>
    <w:p>
      <w:pPr>
        <w:tabs>
          <w:tab w:val="left" w:pos="900"/>
        </w:tabs>
        <w:spacing w:line="400" w:lineRule="exact"/>
        <w:ind w:firstLine="420" w:firstLineChars="200"/>
        <w:rPr>
          <w:rFonts w:ascii="宋体" w:hAnsi="宋体"/>
          <w:szCs w:val="21"/>
        </w:rPr>
      </w:pPr>
      <w:r>
        <w:rPr>
          <w:rFonts w:hint="eastAsia" w:ascii="宋体" w:hAnsi="宋体"/>
          <w:szCs w:val="21"/>
        </w:rPr>
        <w:t>2.2代理机构有权通过修改谈判文件推迟响应文件接收截止时间，在此情况下，谈判供应商的所有权利和义务以及受制的响应文件接收截止时间均应以延长后新的响应文件接收截止时间为准。</w:t>
      </w:r>
    </w:p>
    <w:p>
      <w:pPr>
        <w:tabs>
          <w:tab w:val="left" w:pos="900"/>
        </w:tabs>
        <w:spacing w:line="400" w:lineRule="exact"/>
        <w:ind w:firstLine="420" w:firstLineChars="200"/>
        <w:rPr>
          <w:rFonts w:ascii="宋体" w:hAnsi="宋体"/>
          <w:szCs w:val="21"/>
        </w:rPr>
      </w:pPr>
      <w:r>
        <w:rPr>
          <w:rFonts w:hint="eastAsia" w:ascii="宋体" w:hAnsi="宋体"/>
          <w:szCs w:val="21"/>
        </w:rPr>
        <w:t>3、迟交的响应文件</w:t>
      </w:r>
    </w:p>
    <w:p>
      <w:pPr>
        <w:tabs>
          <w:tab w:val="left" w:pos="900"/>
        </w:tabs>
        <w:spacing w:line="400" w:lineRule="exact"/>
        <w:ind w:firstLine="420" w:firstLineChars="200"/>
        <w:rPr>
          <w:rFonts w:ascii="宋体" w:hAnsi="宋体"/>
          <w:szCs w:val="21"/>
        </w:rPr>
      </w:pPr>
      <w:r>
        <w:rPr>
          <w:rFonts w:hint="eastAsia" w:ascii="宋体" w:hAnsi="宋体"/>
          <w:szCs w:val="21"/>
        </w:rPr>
        <w:t>3.1代理机构将拒绝在规定的响应文件接收截止时间后接收任何响应文件。</w:t>
      </w:r>
    </w:p>
    <w:p>
      <w:pPr>
        <w:tabs>
          <w:tab w:val="left" w:pos="900"/>
        </w:tabs>
        <w:spacing w:line="400" w:lineRule="exact"/>
        <w:ind w:firstLine="420" w:firstLineChars="200"/>
        <w:rPr>
          <w:rFonts w:ascii="宋体" w:hAnsi="宋体"/>
          <w:szCs w:val="21"/>
        </w:rPr>
      </w:pPr>
      <w:r>
        <w:rPr>
          <w:rFonts w:hint="eastAsia" w:ascii="宋体" w:hAnsi="宋体"/>
          <w:szCs w:val="21"/>
        </w:rPr>
        <w:t>4、响应文件的修改和撤回</w:t>
      </w:r>
    </w:p>
    <w:p>
      <w:pPr>
        <w:tabs>
          <w:tab w:val="left" w:pos="900"/>
        </w:tabs>
        <w:spacing w:line="400" w:lineRule="exact"/>
        <w:ind w:firstLine="420" w:firstLineChars="200"/>
        <w:rPr>
          <w:rFonts w:ascii="宋体" w:hAnsi="宋体"/>
          <w:szCs w:val="21"/>
        </w:rPr>
      </w:pPr>
      <w:r>
        <w:rPr>
          <w:rFonts w:hint="eastAsia" w:ascii="宋体" w:hAnsi="宋体"/>
          <w:szCs w:val="21"/>
        </w:rPr>
        <w:t>4.1谈判供应商在递交响应文件后，可以修改或撤回其谈判响应文件，但这种修改和撤回，必须在规定的响应文件接收截止时间前，以书面形式送达指定地点。</w:t>
      </w:r>
    </w:p>
    <w:p>
      <w:pPr>
        <w:tabs>
          <w:tab w:val="left" w:pos="900"/>
        </w:tabs>
        <w:spacing w:line="400" w:lineRule="exact"/>
        <w:ind w:firstLine="420" w:firstLineChars="200"/>
        <w:rPr>
          <w:rFonts w:ascii="宋体" w:hAnsi="宋体"/>
          <w:szCs w:val="21"/>
        </w:rPr>
      </w:pPr>
      <w:r>
        <w:rPr>
          <w:rFonts w:hint="eastAsia" w:ascii="宋体" w:hAnsi="宋体"/>
          <w:szCs w:val="21"/>
        </w:rPr>
        <w:t>4.2谈判供应商的修改或撤回通知书，应按本文件规定进行编制、密封、标记和发送，并应在封套上加注“修改”和“撤回”字样。</w:t>
      </w:r>
    </w:p>
    <w:p>
      <w:pPr>
        <w:tabs>
          <w:tab w:val="left" w:pos="900"/>
        </w:tabs>
        <w:spacing w:line="400" w:lineRule="exact"/>
        <w:ind w:firstLine="420" w:firstLineChars="200"/>
        <w:rPr>
          <w:rFonts w:ascii="宋体" w:hAnsi="宋体"/>
          <w:szCs w:val="21"/>
        </w:rPr>
      </w:pPr>
      <w:r>
        <w:rPr>
          <w:rFonts w:hint="eastAsia" w:ascii="宋体" w:hAnsi="宋体"/>
          <w:szCs w:val="21"/>
        </w:rPr>
        <w:t>4.3 谈判供应商在提交最后报价之前，可以根据谈判情况退出谈判。</w:t>
      </w:r>
    </w:p>
    <w:p>
      <w:pPr>
        <w:tabs>
          <w:tab w:val="left" w:pos="900"/>
        </w:tabs>
        <w:spacing w:line="400" w:lineRule="exact"/>
        <w:ind w:firstLine="420" w:firstLineChars="200"/>
        <w:rPr>
          <w:rFonts w:ascii="宋体" w:hAnsi="宋体"/>
          <w:szCs w:val="21"/>
        </w:rPr>
      </w:pPr>
      <w:r>
        <w:rPr>
          <w:rFonts w:hint="eastAsia" w:ascii="宋体" w:hAnsi="宋体"/>
          <w:szCs w:val="21"/>
        </w:rPr>
        <w:t>5、谈判响应有效期</w:t>
      </w:r>
    </w:p>
    <w:p>
      <w:pPr>
        <w:tabs>
          <w:tab w:val="left" w:pos="900"/>
        </w:tabs>
        <w:spacing w:line="400" w:lineRule="exact"/>
        <w:ind w:firstLine="420" w:firstLineChars="200"/>
        <w:rPr>
          <w:rFonts w:ascii="宋体" w:hAnsi="宋体"/>
          <w:szCs w:val="21"/>
        </w:rPr>
      </w:pPr>
      <w:r>
        <w:rPr>
          <w:rFonts w:hint="eastAsia" w:ascii="宋体" w:hAnsi="宋体"/>
          <w:szCs w:val="21"/>
        </w:rPr>
        <w:t>5.1 谈判响应有效期为代理机构规定的响应文件接收截止时间后六十（60）天。谈判响应有效期比规定短的将被视为非实质性响应性而予以拒绝。</w:t>
      </w:r>
    </w:p>
    <w:p>
      <w:pPr>
        <w:tabs>
          <w:tab w:val="left" w:pos="900"/>
        </w:tabs>
        <w:spacing w:line="400" w:lineRule="exact"/>
        <w:ind w:firstLine="420" w:firstLineChars="200"/>
        <w:rPr>
          <w:rFonts w:ascii="宋体" w:hAnsi="宋体"/>
          <w:szCs w:val="21"/>
        </w:rPr>
      </w:pPr>
      <w:r>
        <w:rPr>
          <w:rFonts w:hint="eastAsia" w:ascii="宋体" w:hAnsi="宋体"/>
          <w:szCs w:val="21"/>
        </w:rPr>
        <w:t>5.2 在特殊情况下，代理机构于原谈判响应有效期满之前，可向谈判供应商提出延长谈判响应有效期的要求。这种要求与答复均应采用书面形式。谈判供应商可以拒绝代理机构的这一要求而放弃谈判响应。同意延长谈判响应有效期的谈判供应商既不能要求也不允许修改其响应文件。，同时受谈判响应有效期约束的所有权利与义务均延长至新的有效期。</w:t>
      </w:r>
    </w:p>
    <w:p>
      <w:pPr>
        <w:tabs>
          <w:tab w:val="left" w:pos="900"/>
        </w:tabs>
        <w:spacing w:line="400" w:lineRule="exact"/>
        <w:ind w:firstLine="422" w:firstLineChars="200"/>
        <w:rPr>
          <w:rFonts w:ascii="宋体" w:hAnsi="宋体"/>
          <w:b/>
          <w:szCs w:val="21"/>
        </w:rPr>
      </w:pPr>
      <w:r>
        <w:rPr>
          <w:rFonts w:hint="eastAsia" w:ascii="宋体" w:hAnsi="宋体"/>
          <w:b/>
          <w:szCs w:val="21"/>
        </w:rPr>
        <w:t>四、谈判与评审</w:t>
      </w:r>
    </w:p>
    <w:p>
      <w:pPr>
        <w:tabs>
          <w:tab w:val="left" w:pos="900"/>
        </w:tabs>
        <w:spacing w:line="400" w:lineRule="exact"/>
        <w:ind w:firstLine="420" w:firstLineChars="200"/>
        <w:rPr>
          <w:rFonts w:ascii="宋体" w:hAnsi="宋体"/>
          <w:szCs w:val="21"/>
        </w:rPr>
      </w:pPr>
      <w:r>
        <w:rPr>
          <w:rFonts w:hint="eastAsia" w:ascii="宋体" w:hAnsi="宋体"/>
          <w:szCs w:val="21"/>
        </w:rPr>
        <w:t>1、谈判仪式</w:t>
      </w:r>
    </w:p>
    <w:p>
      <w:pPr>
        <w:tabs>
          <w:tab w:val="left" w:pos="900"/>
        </w:tabs>
        <w:spacing w:line="400" w:lineRule="exact"/>
        <w:ind w:firstLine="420" w:firstLineChars="200"/>
        <w:rPr>
          <w:rFonts w:ascii="宋体" w:hAnsi="宋体"/>
          <w:szCs w:val="21"/>
        </w:rPr>
      </w:pPr>
      <w:r>
        <w:rPr>
          <w:rFonts w:hint="eastAsia" w:ascii="宋体" w:hAnsi="宋体"/>
          <w:szCs w:val="21"/>
        </w:rPr>
        <w:t>1.1代理机构将在采购邀请中规定的时间和地点组织谈判开始仪式，仪式由代理机构主持，谈判供应商应委派携带有效证件的代表准时参加，参加仪式的代表需签名以证明其出席。</w:t>
      </w:r>
    </w:p>
    <w:p>
      <w:pPr>
        <w:tabs>
          <w:tab w:val="left" w:pos="900"/>
        </w:tabs>
        <w:spacing w:line="400" w:lineRule="exact"/>
        <w:ind w:firstLine="420" w:firstLineChars="200"/>
        <w:rPr>
          <w:rFonts w:ascii="宋体" w:hAnsi="宋体"/>
          <w:szCs w:val="21"/>
        </w:rPr>
      </w:pPr>
      <w:r>
        <w:rPr>
          <w:rFonts w:hint="eastAsia" w:ascii="宋体" w:hAnsi="宋体"/>
          <w:szCs w:val="21"/>
        </w:rPr>
        <w:t>2、谈判小组</w:t>
      </w:r>
    </w:p>
    <w:p>
      <w:pPr>
        <w:tabs>
          <w:tab w:val="left" w:pos="900"/>
        </w:tabs>
        <w:spacing w:line="400" w:lineRule="exact"/>
        <w:ind w:firstLine="420" w:firstLineChars="200"/>
        <w:rPr>
          <w:rFonts w:ascii="宋体" w:hAnsi="宋体"/>
          <w:szCs w:val="21"/>
        </w:rPr>
      </w:pPr>
      <w:r>
        <w:rPr>
          <w:rFonts w:hint="eastAsia" w:ascii="宋体" w:hAnsi="宋体"/>
          <w:szCs w:val="21"/>
        </w:rPr>
        <w:t>2.1 谈判开始仪式结束后，代理机构将立即组织谈判小组进行评审。</w:t>
      </w:r>
    </w:p>
    <w:p>
      <w:pPr>
        <w:tabs>
          <w:tab w:val="left" w:pos="900"/>
        </w:tabs>
        <w:spacing w:line="400" w:lineRule="exact"/>
        <w:ind w:firstLine="420" w:firstLineChars="200"/>
        <w:rPr>
          <w:rFonts w:ascii="宋体" w:hAnsi="宋体"/>
          <w:szCs w:val="21"/>
        </w:rPr>
      </w:pPr>
      <w:r>
        <w:rPr>
          <w:rFonts w:hint="eastAsia" w:ascii="宋体" w:hAnsi="宋体"/>
          <w:szCs w:val="21"/>
        </w:rPr>
        <w:t>2.2 谈判小组由政府采购评审专家、采购人代表组成，且人员构成符合政府采购有关规定。</w:t>
      </w:r>
    </w:p>
    <w:p>
      <w:pPr>
        <w:tabs>
          <w:tab w:val="left" w:pos="900"/>
        </w:tabs>
        <w:spacing w:line="400" w:lineRule="exact"/>
        <w:ind w:firstLine="420" w:firstLineChars="200"/>
        <w:rPr>
          <w:rFonts w:ascii="宋体" w:hAnsi="宋体"/>
          <w:szCs w:val="21"/>
        </w:rPr>
      </w:pPr>
      <w:r>
        <w:rPr>
          <w:rFonts w:hint="eastAsia" w:ascii="宋体" w:hAnsi="宋体"/>
          <w:szCs w:val="21"/>
        </w:rPr>
        <w:t>3、谈判评审过程的保密与公正</w:t>
      </w:r>
    </w:p>
    <w:p>
      <w:pPr>
        <w:tabs>
          <w:tab w:val="left" w:pos="900"/>
        </w:tabs>
        <w:spacing w:line="400" w:lineRule="exact"/>
        <w:ind w:firstLine="420" w:firstLineChars="200"/>
        <w:rPr>
          <w:rFonts w:ascii="宋体" w:hAnsi="宋体"/>
          <w:szCs w:val="21"/>
        </w:rPr>
      </w:pPr>
      <w:r>
        <w:rPr>
          <w:rFonts w:hint="eastAsia" w:ascii="宋体" w:hAnsi="宋体"/>
          <w:szCs w:val="21"/>
        </w:rPr>
        <w:t>3.1谈判小组</w:t>
      </w:r>
      <w:r>
        <w:rPr>
          <w:rFonts w:ascii="宋体" w:hAnsi="宋体"/>
          <w:szCs w:val="21"/>
        </w:rPr>
        <w:t>、采购人和</w:t>
      </w:r>
      <w:r>
        <w:rPr>
          <w:rFonts w:hint="eastAsia" w:ascii="宋体" w:hAnsi="宋体"/>
          <w:szCs w:val="21"/>
        </w:rPr>
        <w:t>代理机构</w:t>
      </w:r>
      <w:r>
        <w:rPr>
          <w:rFonts w:ascii="宋体" w:hAnsi="宋体"/>
          <w:szCs w:val="21"/>
        </w:rPr>
        <w:t>工作人员、相关监督人员等与评审工作有关的人员，对评审情况以及在评审过程中获悉的国家秘密、商业秘密负有保密责任</w:t>
      </w:r>
      <w:r>
        <w:rPr>
          <w:rFonts w:hint="eastAsia" w:ascii="宋体" w:hAnsi="宋体"/>
          <w:szCs w:val="21"/>
        </w:rPr>
        <w:t>。</w:t>
      </w:r>
    </w:p>
    <w:p>
      <w:pPr>
        <w:tabs>
          <w:tab w:val="left" w:pos="900"/>
        </w:tabs>
        <w:spacing w:line="400" w:lineRule="exact"/>
        <w:ind w:firstLine="420" w:firstLineChars="200"/>
        <w:rPr>
          <w:rFonts w:ascii="宋体" w:hAnsi="宋体"/>
          <w:szCs w:val="21"/>
        </w:rPr>
      </w:pPr>
      <w:r>
        <w:rPr>
          <w:rFonts w:hint="eastAsia" w:ascii="宋体" w:hAnsi="宋体"/>
          <w:szCs w:val="21"/>
        </w:rPr>
        <w:t>3.2在谈判评审过程中，谈判供应商不得以任何行为影响谈判评审过程，否则其响应文件将被作为无效响应文件。</w:t>
      </w:r>
    </w:p>
    <w:p>
      <w:pPr>
        <w:tabs>
          <w:tab w:val="left" w:pos="900"/>
        </w:tabs>
        <w:spacing w:line="400" w:lineRule="exact"/>
        <w:ind w:firstLine="420" w:firstLineChars="200"/>
        <w:rPr>
          <w:rFonts w:ascii="宋体" w:hAnsi="宋体"/>
          <w:szCs w:val="21"/>
        </w:rPr>
      </w:pPr>
      <w:r>
        <w:rPr>
          <w:rFonts w:hint="eastAsia" w:ascii="宋体" w:hAnsi="宋体"/>
          <w:szCs w:val="21"/>
        </w:rPr>
        <w:t>3.3谈判小组成员应当按照客观、公正、审慎的原则，根据谈判文件规定的评审程序、评审方法和评审标准进行独立评审。未实质性响应谈判文件的响应文件按无效响应处理，谈判小组应当告知提交响应文件的供应商。</w:t>
      </w:r>
    </w:p>
    <w:p>
      <w:pPr>
        <w:tabs>
          <w:tab w:val="left" w:pos="900"/>
        </w:tabs>
        <w:spacing w:line="400" w:lineRule="exact"/>
        <w:ind w:firstLine="420" w:firstLineChars="200"/>
        <w:rPr>
          <w:rFonts w:ascii="宋体" w:hAnsi="宋体"/>
          <w:szCs w:val="21"/>
        </w:rPr>
      </w:pPr>
      <w:r>
        <w:rPr>
          <w:rFonts w:hint="eastAsia" w:ascii="宋体" w:hAnsi="宋体"/>
          <w:szCs w:val="21"/>
        </w:rPr>
        <w:t>4、评审过程的澄清、说明和更正</w:t>
      </w:r>
    </w:p>
    <w:p>
      <w:pPr>
        <w:tabs>
          <w:tab w:val="left" w:pos="900"/>
        </w:tabs>
        <w:spacing w:line="400" w:lineRule="exact"/>
        <w:ind w:firstLine="420" w:firstLineChars="200"/>
        <w:rPr>
          <w:rFonts w:ascii="宋体" w:hAnsi="宋体"/>
          <w:szCs w:val="21"/>
        </w:rPr>
      </w:pPr>
      <w:r>
        <w:rPr>
          <w:rFonts w:hint="eastAsia" w:ascii="宋体" w:hAnsi="宋体"/>
          <w:szCs w:val="21"/>
        </w:rPr>
        <w:t>4.</w:t>
      </w:r>
      <w:r>
        <w:rPr>
          <w:rFonts w:ascii="宋体" w:hAnsi="宋体"/>
          <w:szCs w:val="21"/>
        </w:rPr>
        <w:t>1</w:t>
      </w:r>
      <w:r>
        <w:rPr>
          <w:rFonts w:hint="eastAsia" w:ascii="宋体" w:hAnsi="宋体"/>
          <w:szCs w:val="21"/>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900"/>
        </w:tabs>
        <w:spacing w:line="400" w:lineRule="exact"/>
        <w:ind w:firstLine="420" w:firstLineChars="200"/>
        <w:rPr>
          <w:rFonts w:ascii="宋体" w:hAnsi="宋体"/>
          <w:szCs w:val="21"/>
        </w:rPr>
      </w:pPr>
      <w:r>
        <w:rPr>
          <w:rFonts w:hint="eastAsia" w:ascii="宋体" w:hAnsi="宋体"/>
          <w:szCs w:val="21"/>
        </w:rPr>
        <w:t>4.2接到谈判小组要求的供应商应派人按谈判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pPr>
        <w:tabs>
          <w:tab w:val="left" w:pos="900"/>
        </w:tabs>
        <w:spacing w:line="400" w:lineRule="exact"/>
        <w:ind w:firstLine="420" w:firstLineChars="200"/>
        <w:rPr>
          <w:rFonts w:ascii="宋体" w:hAnsi="宋体"/>
          <w:szCs w:val="21"/>
        </w:rPr>
      </w:pPr>
      <w:r>
        <w:rPr>
          <w:rFonts w:hint="eastAsia" w:ascii="宋体" w:hAnsi="宋体"/>
          <w:szCs w:val="21"/>
        </w:rPr>
        <w:t>4.3 接到谈判小组澄清要求的供应商如未按规定做出澄清，其风险由供应商自行承担。</w:t>
      </w:r>
    </w:p>
    <w:p>
      <w:pPr>
        <w:tabs>
          <w:tab w:val="left" w:pos="900"/>
        </w:tabs>
        <w:spacing w:line="400" w:lineRule="exact"/>
        <w:ind w:firstLine="420" w:firstLineChars="200"/>
        <w:rPr>
          <w:rFonts w:ascii="宋体" w:hAnsi="宋体"/>
          <w:szCs w:val="21"/>
        </w:rPr>
      </w:pPr>
      <w:r>
        <w:rPr>
          <w:rFonts w:hint="eastAsia" w:ascii="宋体" w:hAnsi="宋体"/>
          <w:szCs w:val="21"/>
        </w:rPr>
        <w:t>5、对响应文件的初审</w:t>
      </w:r>
    </w:p>
    <w:p>
      <w:pPr>
        <w:tabs>
          <w:tab w:val="left" w:pos="900"/>
        </w:tabs>
        <w:spacing w:line="400" w:lineRule="exact"/>
        <w:ind w:firstLine="420" w:firstLineChars="200"/>
        <w:rPr>
          <w:rFonts w:ascii="宋体" w:hAnsi="宋体"/>
          <w:szCs w:val="21"/>
        </w:rPr>
      </w:pPr>
      <w:r>
        <w:rPr>
          <w:rFonts w:hint="eastAsia" w:ascii="宋体" w:hAnsi="宋体"/>
          <w:szCs w:val="21"/>
        </w:rPr>
        <w:t>5.1响应文件初审分为资格性检查和符合性检查。</w:t>
      </w:r>
    </w:p>
    <w:p>
      <w:pPr>
        <w:tabs>
          <w:tab w:val="left" w:pos="900"/>
        </w:tabs>
        <w:spacing w:line="400" w:lineRule="exact"/>
        <w:ind w:firstLine="420" w:firstLineChars="200"/>
        <w:rPr>
          <w:rFonts w:ascii="宋体" w:hAnsi="宋体"/>
          <w:szCs w:val="21"/>
        </w:rPr>
      </w:pPr>
      <w:r>
        <w:rPr>
          <w:rFonts w:hint="eastAsia" w:ascii="宋体" w:hAnsi="宋体"/>
          <w:szCs w:val="21"/>
        </w:rPr>
        <w:t>资格性检查：依据法律法规和谈判文件的规定，对响应文件中的资格证明文件、等进行审查，以确定供应商是否具备参加谈判的资格。</w:t>
      </w:r>
    </w:p>
    <w:p>
      <w:pPr>
        <w:tabs>
          <w:tab w:val="left" w:pos="900"/>
        </w:tabs>
        <w:spacing w:line="400" w:lineRule="exact"/>
        <w:ind w:firstLine="420" w:firstLineChars="200"/>
        <w:rPr>
          <w:rFonts w:ascii="宋体" w:hAnsi="宋体"/>
          <w:szCs w:val="21"/>
        </w:rPr>
      </w:pPr>
      <w:r>
        <w:rPr>
          <w:rFonts w:hint="eastAsia" w:ascii="宋体" w:hAnsi="宋体"/>
          <w:szCs w:val="21"/>
        </w:rPr>
        <w:t>符合性检查：依据谈判文件的规定，从响应文件的有效性、完整性和对谈判文件的响应程度进行审查，以确定是否对谈判文件的实质性要求作出响应。</w:t>
      </w:r>
    </w:p>
    <w:p>
      <w:pPr>
        <w:tabs>
          <w:tab w:val="left" w:pos="900"/>
        </w:tabs>
        <w:spacing w:line="400" w:lineRule="exact"/>
        <w:ind w:firstLine="420" w:firstLineChars="200"/>
        <w:rPr>
          <w:rFonts w:ascii="宋体" w:hAnsi="宋体"/>
          <w:szCs w:val="21"/>
        </w:rPr>
      </w:pPr>
      <w:r>
        <w:rPr>
          <w:rFonts w:hint="eastAsia" w:ascii="宋体" w:hAnsi="宋体"/>
          <w:szCs w:val="21"/>
        </w:rPr>
        <w:t>5.2在正式谈判之前，谈判小组将首先审查每份响应文件是否实质性响应了谈判文件的要求。实质性响应的响应文件应该是与谈判文件要求的条款、条件和规格相符，没有重大偏离或保留。</w:t>
      </w:r>
    </w:p>
    <w:p>
      <w:pPr>
        <w:tabs>
          <w:tab w:val="left" w:pos="900"/>
        </w:tabs>
        <w:spacing w:line="400" w:lineRule="exact"/>
        <w:ind w:firstLine="420" w:firstLineChars="200"/>
        <w:rPr>
          <w:rFonts w:ascii="宋体" w:hAnsi="宋体"/>
          <w:szCs w:val="21"/>
        </w:rPr>
      </w:pPr>
      <w:r>
        <w:rPr>
          <w:rFonts w:hint="eastAsia" w:ascii="宋体" w:hAnsi="宋体"/>
          <w:szCs w:val="21"/>
        </w:rPr>
        <w:t>所谓重大偏离或保留是指与谈判文件规定的实质性要求存在负偏离，或者在实质上与谈判文件不一致，而且限制了合同中买方和见证方的权利或供应商的义务，纠正这些偏离或保留将会对其他实质性响应要求的供应商的竞争地位产生不公正的影响。是否属于重大偏离由谈判小组按照少数服从多数的原则作出结论。谈判小组决定响应文件的响应性只根据响应文件本身的内容，而不寻求外部的证据。</w:t>
      </w:r>
    </w:p>
    <w:p>
      <w:pPr>
        <w:tabs>
          <w:tab w:val="left" w:pos="900"/>
        </w:tabs>
        <w:spacing w:line="400" w:lineRule="exact"/>
        <w:ind w:firstLine="420" w:firstLineChars="200"/>
        <w:rPr>
          <w:rFonts w:ascii="宋体" w:hAnsi="宋体"/>
          <w:szCs w:val="21"/>
        </w:rPr>
      </w:pPr>
      <w:r>
        <w:rPr>
          <w:rFonts w:hint="eastAsia" w:ascii="宋体" w:hAnsi="宋体"/>
          <w:szCs w:val="21"/>
        </w:rPr>
        <w:t>5.3 被认定为未实质性响应谈判文件的响应文件的情形</w:t>
      </w:r>
    </w:p>
    <w:p>
      <w:pPr>
        <w:tabs>
          <w:tab w:val="left" w:pos="900"/>
        </w:tabs>
        <w:spacing w:line="400" w:lineRule="exact"/>
        <w:ind w:firstLine="420" w:firstLineChars="200"/>
        <w:rPr>
          <w:rFonts w:ascii="宋体" w:hAnsi="宋体"/>
          <w:szCs w:val="21"/>
        </w:rPr>
      </w:pPr>
      <w:r>
        <w:rPr>
          <w:rFonts w:hint="eastAsia" w:ascii="宋体" w:hAnsi="宋体"/>
          <w:szCs w:val="21"/>
        </w:rPr>
        <w:t>（1）未按照谈判文件规定要求密封、签署、盖章的；</w:t>
      </w:r>
    </w:p>
    <w:p>
      <w:pPr>
        <w:tabs>
          <w:tab w:val="left" w:pos="900"/>
        </w:tabs>
        <w:spacing w:line="400" w:lineRule="exact"/>
        <w:ind w:firstLine="420" w:firstLineChars="200"/>
        <w:rPr>
          <w:rFonts w:ascii="宋体" w:hAnsi="宋体"/>
          <w:szCs w:val="21"/>
        </w:rPr>
      </w:pPr>
      <w:r>
        <w:rPr>
          <w:rFonts w:hint="eastAsia" w:ascii="宋体" w:hAnsi="宋体"/>
          <w:szCs w:val="21"/>
        </w:rPr>
        <w:t>（2）供应商在报价时采用选择性报价；</w:t>
      </w:r>
    </w:p>
    <w:p>
      <w:pPr>
        <w:tabs>
          <w:tab w:val="left" w:pos="900"/>
        </w:tabs>
        <w:spacing w:line="400" w:lineRule="exact"/>
        <w:ind w:firstLine="420" w:firstLineChars="200"/>
        <w:rPr>
          <w:rFonts w:ascii="宋体" w:hAnsi="宋体"/>
          <w:szCs w:val="21"/>
        </w:rPr>
      </w:pPr>
      <w:r>
        <w:rPr>
          <w:rFonts w:hint="eastAsia" w:ascii="宋体" w:hAnsi="宋体"/>
          <w:szCs w:val="21"/>
        </w:rPr>
        <w:t>（3）供应商不具备谈判文件中规定资格要求的；</w:t>
      </w:r>
    </w:p>
    <w:p>
      <w:pPr>
        <w:tabs>
          <w:tab w:val="left" w:pos="900"/>
        </w:tabs>
        <w:spacing w:line="400" w:lineRule="exact"/>
        <w:ind w:firstLine="420" w:firstLineChars="200"/>
        <w:rPr>
          <w:rFonts w:ascii="宋体" w:hAnsi="宋体"/>
          <w:szCs w:val="21"/>
        </w:rPr>
      </w:pPr>
      <w:r>
        <w:rPr>
          <w:rFonts w:hint="eastAsia" w:ascii="宋体" w:hAnsi="宋体"/>
          <w:szCs w:val="21"/>
        </w:rPr>
        <w:t>（4）不符合法律、法规和谈判文件中规定的其他实质性要求和条件的（本谈判文件中斜体且有下划线部分为实质性要求和条件）；</w:t>
      </w:r>
    </w:p>
    <w:p>
      <w:pPr>
        <w:tabs>
          <w:tab w:val="left" w:pos="900"/>
        </w:tabs>
        <w:spacing w:line="400" w:lineRule="exact"/>
        <w:ind w:firstLine="420" w:firstLineChars="200"/>
        <w:rPr>
          <w:rFonts w:ascii="宋体" w:hAnsi="宋体"/>
          <w:szCs w:val="21"/>
        </w:rPr>
      </w:pPr>
      <w:r>
        <w:rPr>
          <w:rFonts w:hint="eastAsia" w:ascii="宋体" w:hAnsi="宋体"/>
          <w:szCs w:val="21"/>
        </w:rPr>
        <w:t>（5）其他法律、法规及本谈判文件规定的属未实质性响应的响应文件的情形。</w:t>
      </w:r>
    </w:p>
    <w:p>
      <w:pPr>
        <w:tabs>
          <w:tab w:val="left" w:pos="900"/>
        </w:tabs>
        <w:spacing w:line="400" w:lineRule="exact"/>
        <w:ind w:firstLine="420" w:firstLineChars="200"/>
        <w:rPr>
          <w:rFonts w:ascii="宋体" w:hAnsi="宋体"/>
          <w:szCs w:val="21"/>
        </w:rPr>
      </w:pPr>
      <w:r>
        <w:rPr>
          <w:rFonts w:hint="eastAsia" w:ascii="宋体" w:hAnsi="宋体"/>
          <w:szCs w:val="21"/>
        </w:rPr>
        <w:t>5.4 未实质性响应谈判文件的响应文件按无效响应处理，谈判小组将予以拒绝，供应商不得通过修改或撤销不合要求的偏离或保留而使其响应文件成为实质性响应的文件。</w:t>
      </w:r>
    </w:p>
    <w:p>
      <w:pPr>
        <w:tabs>
          <w:tab w:val="left" w:pos="900"/>
        </w:tabs>
        <w:spacing w:line="400" w:lineRule="exact"/>
        <w:ind w:firstLine="420" w:firstLineChars="200"/>
        <w:rPr>
          <w:rFonts w:ascii="宋体" w:hAnsi="宋体"/>
          <w:szCs w:val="21"/>
        </w:rPr>
      </w:pPr>
      <w:r>
        <w:rPr>
          <w:rFonts w:hint="eastAsia" w:ascii="宋体" w:hAnsi="宋体"/>
          <w:szCs w:val="21"/>
        </w:rPr>
        <w:t>5.5同一项目（项目未分包）或同一分包（项目有不同分包），如出现</w:t>
      </w:r>
      <w:r>
        <w:rPr>
          <w:rFonts w:ascii="宋体" w:hAnsi="宋体"/>
          <w:szCs w:val="21"/>
        </w:rPr>
        <w:t>同一品牌同一型号</w:t>
      </w:r>
      <w:r>
        <w:rPr>
          <w:rFonts w:hint="eastAsia" w:ascii="宋体" w:hAnsi="宋体"/>
          <w:szCs w:val="21"/>
        </w:rPr>
        <w:t>的</w:t>
      </w:r>
      <w:r>
        <w:rPr>
          <w:rFonts w:ascii="宋体" w:hAnsi="宋体"/>
          <w:szCs w:val="21"/>
        </w:rPr>
        <w:t>产品</w:t>
      </w:r>
      <w:r>
        <w:rPr>
          <w:rFonts w:hint="eastAsia" w:ascii="宋体" w:hAnsi="宋体"/>
          <w:szCs w:val="21"/>
        </w:rPr>
        <w:t>有多个供应商参加谈判时，谈判中在其他条件合格的前提下，选取首次报价最低的供应商参加谈判最后报价，其他供应商作为无效响应处理。</w:t>
      </w:r>
    </w:p>
    <w:p>
      <w:pPr>
        <w:spacing w:line="360" w:lineRule="auto"/>
        <w:ind w:firstLine="420" w:firstLineChars="200"/>
        <w:rPr>
          <w:rFonts w:ascii="宋体" w:cs="宋体"/>
          <w:szCs w:val="21"/>
        </w:rPr>
      </w:pPr>
      <w:r>
        <w:rPr>
          <w:rFonts w:ascii="宋体" w:hAnsi="宋体" w:cs="宋体"/>
          <w:szCs w:val="21"/>
        </w:rPr>
        <w:t>6</w:t>
      </w:r>
      <w:r>
        <w:rPr>
          <w:rFonts w:hint="eastAsia" w:ascii="宋体" w:hAnsi="宋体" w:cs="宋体"/>
          <w:szCs w:val="21"/>
        </w:rPr>
        <w:t>、谈判程序及成交原则</w:t>
      </w:r>
    </w:p>
    <w:p>
      <w:pPr>
        <w:spacing w:line="360" w:lineRule="auto"/>
        <w:ind w:firstLine="420" w:firstLineChars="200"/>
        <w:rPr>
          <w:rFonts w:ascii="宋体" w:cs="宋体"/>
          <w:szCs w:val="21"/>
        </w:rPr>
      </w:pPr>
      <w:r>
        <w:rPr>
          <w:rFonts w:ascii="宋体" w:hAnsi="宋体" w:cs="宋体"/>
          <w:szCs w:val="21"/>
        </w:rPr>
        <w:t>6.1</w:t>
      </w:r>
      <w:r>
        <w:rPr>
          <w:rFonts w:hint="eastAsia" w:ascii="宋体" w:hAnsi="宋体" w:cs="宋体"/>
          <w:szCs w:val="21"/>
        </w:rPr>
        <w:t>谈判程序</w:t>
      </w:r>
    </w:p>
    <w:p>
      <w:pPr>
        <w:spacing w:line="360" w:lineRule="auto"/>
        <w:ind w:firstLine="420" w:firstLineChars="200"/>
        <w:rPr>
          <w:rFonts w:ascii="宋体" w:cs="宋体"/>
          <w:szCs w:val="21"/>
        </w:rPr>
      </w:pPr>
      <w:r>
        <w:rPr>
          <w:rFonts w:ascii="宋体" w:hAnsi="宋体" w:cs="宋体"/>
          <w:szCs w:val="21"/>
        </w:rPr>
        <w:t xml:space="preserve">6.1.1 </w:t>
      </w:r>
      <w:r>
        <w:rPr>
          <w:rFonts w:hint="eastAsia" w:ascii="宋体" w:hAnsi="宋体" w:cs="宋体"/>
          <w:szCs w:val="21"/>
        </w:rPr>
        <w:t>对于通过资格性和符合性审查的供应商，谈判小组所有成员将集中与单一供应商分别进行谈判。</w:t>
      </w:r>
    </w:p>
    <w:p>
      <w:pPr>
        <w:spacing w:line="360" w:lineRule="auto"/>
        <w:ind w:firstLine="420" w:firstLineChars="200"/>
        <w:rPr>
          <w:rFonts w:ascii="宋体" w:cs="宋体"/>
          <w:szCs w:val="21"/>
        </w:rPr>
      </w:pPr>
      <w:r>
        <w:rPr>
          <w:rFonts w:hint="eastAsia" w:ascii="宋体" w:hAnsi="宋体" w:cs="宋体"/>
          <w:szCs w:val="21"/>
        </w:rPr>
        <w:t>在谈判过程中，谈判小组可能根据谈判文件和谈判情况实质性变动的内容有：采购需求中的技术、服务要求以及合同草案条款。对谈判文件作出的实质性变动是谈判文件的有效组成部分，谈判小组将以书面形式同时通知所有参加谈判的供应商。供应商应当按照谈判文件的变动情况和谈判小组的要求重新提交响应文件，并由其法定代表人或授权代表签字或者加盖公章。</w:t>
      </w:r>
    </w:p>
    <w:p>
      <w:pPr>
        <w:spacing w:line="360" w:lineRule="auto"/>
        <w:ind w:firstLine="420" w:firstLineChars="200"/>
        <w:rPr>
          <w:rFonts w:ascii="宋体" w:cs="宋体"/>
          <w:szCs w:val="21"/>
        </w:rPr>
      </w:pPr>
      <w:r>
        <w:rPr>
          <w:rFonts w:ascii="宋体" w:hAnsi="宋体" w:cs="宋体"/>
          <w:szCs w:val="21"/>
        </w:rPr>
        <w:t xml:space="preserve"> 6.1.2</w:t>
      </w:r>
      <w:r>
        <w:rPr>
          <w:rFonts w:hint="eastAsia" w:ascii="宋体" w:hAnsi="宋体" w:cs="宋体"/>
          <w:szCs w:val="21"/>
        </w:rPr>
        <w:t>谈判文件能够详细列明采购标的的技术、服务要求的，谈判结束后，谈判小组将要求所有实质性响应的供应商在规定时间内提交最后报价。</w:t>
      </w:r>
    </w:p>
    <w:p>
      <w:pPr>
        <w:spacing w:line="360" w:lineRule="auto"/>
        <w:ind w:firstLine="420" w:firstLineChars="200"/>
        <w:rPr>
          <w:rFonts w:ascii="宋体" w:cs="宋体"/>
          <w:szCs w:val="21"/>
        </w:rPr>
      </w:pPr>
      <w:r>
        <w:rPr>
          <w:rFonts w:hint="eastAsia" w:ascii="宋体" w:hAnsi="宋体" w:cs="宋体"/>
          <w:szCs w:val="21"/>
        </w:rPr>
        <w:t>最后报价是供应商响应文件的有效组成部分，提交最后报价的供应商可以为</w:t>
      </w:r>
      <w:r>
        <w:rPr>
          <w:rFonts w:hint="eastAsia" w:ascii="宋体" w:hAnsi="宋体" w:cs="宋体"/>
          <w:szCs w:val="21"/>
          <w:lang w:val="en-US" w:eastAsia="zh-CN"/>
        </w:rPr>
        <w:t>3</w:t>
      </w:r>
      <w:r>
        <w:rPr>
          <w:rFonts w:hint="eastAsia" w:ascii="宋体" w:hAnsi="宋体" w:cs="宋体"/>
          <w:szCs w:val="21"/>
        </w:rPr>
        <w:t>家。</w:t>
      </w:r>
    </w:p>
    <w:p>
      <w:pPr>
        <w:spacing w:line="360" w:lineRule="auto"/>
        <w:ind w:firstLine="420" w:firstLineChars="200"/>
        <w:rPr>
          <w:rFonts w:ascii="宋体" w:cs="宋体"/>
          <w:szCs w:val="21"/>
        </w:rPr>
      </w:pPr>
      <w:r>
        <w:rPr>
          <w:rFonts w:ascii="宋体" w:hAnsi="宋体" w:cs="宋体"/>
          <w:szCs w:val="21"/>
        </w:rPr>
        <w:t>6.1.3</w:t>
      </w:r>
      <w:r>
        <w:rPr>
          <w:rFonts w:hint="eastAsia" w:ascii="宋体" w:hAnsi="宋体" w:cs="宋体"/>
          <w:szCs w:val="21"/>
        </w:rPr>
        <w:t>谈判供应商未在谈判小组规定的时间内完成最后报价的视为放弃谈判，其谈判响应按无效响应处理。最后报价须由谈判供应商法定代表人或授权代表签字或者加盖公章。已提交响应文件的供应商，在提交最后报价之前，可以根据谈判情况退出谈判。</w:t>
      </w:r>
    </w:p>
    <w:p>
      <w:pPr>
        <w:tabs>
          <w:tab w:val="left" w:pos="900"/>
        </w:tabs>
        <w:spacing w:line="360" w:lineRule="auto"/>
        <w:ind w:firstLine="420" w:firstLineChars="200"/>
        <w:rPr>
          <w:rFonts w:hint="eastAsia" w:ascii="宋体" w:hAnsi="宋体" w:cs="宋体"/>
          <w:szCs w:val="21"/>
        </w:rPr>
      </w:pPr>
      <w:r>
        <w:rPr>
          <w:rFonts w:ascii="宋体" w:hAnsi="宋体" w:cs="宋体"/>
          <w:szCs w:val="21"/>
        </w:rPr>
        <w:t xml:space="preserve">6.1.4 </w:t>
      </w:r>
      <w:r>
        <w:rPr>
          <w:rFonts w:hint="eastAsia" w:ascii="宋体" w:hAnsi="宋体" w:cs="宋体"/>
          <w:szCs w:val="21"/>
        </w:rPr>
        <w:t>各供应商最后报价结束后</w:t>
      </w:r>
      <w:r>
        <w:rPr>
          <w:rFonts w:ascii="宋体" w:cs="宋体"/>
          <w:szCs w:val="21"/>
        </w:rPr>
        <w:t>,</w:t>
      </w:r>
      <w:r>
        <w:rPr>
          <w:rFonts w:hint="eastAsia" w:ascii="宋体" w:hAnsi="宋体" w:cs="宋体"/>
          <w:szCs w:val="21"/>
        </w:rPr>
        <w:t>如谈判小组认为最后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谈判小组有权取消其谈判成交资格，按顺序由最后报价次低的供应商递补，以此类推。</w:t>
      </w:r>
    </w:p>
    <w:p>
      <w:pPr>
        <w:tabs>
          <w:tab w:val="left" w:pos="900"/>
        </w:tabs>
        <w:spacing w:line="360" w:lineRule="auto"/>
        <w:ind w:firstLine="420" w:firstLineChars="200"/>
        <w:rPr>
          <w:rFonts w:cs="宋体"/>
          <w:szCs w:val="21"/>
        </w:rPr>
      </w:pPr>
      <w:r>
        <w:rPr>
          <w:rFonts w:hint="eastAsia" w:cs="宋体"/>
          <w:szCs w:val="21"/>
        </w:rPr>
        <w:t>6.2 评审方法和标准</w:t>
      </w:r>
    </w:p>
    <w:p>
      <w:pPr>
        <w:tabs>
          <w:tab w:val="left" w:pos="900"/>
        </w:tabs>
        <w:spacing w:line="360" w:lineRule="auto"/>
        <w:ind w:firstLine="420" w:firstLineChars="200"/>
        <w:rPr>
          <w:rFonts w:cs="宋体"/>
          <w:szCs w:val="21"/>
        </w:rPr>
      </w:pPr>
      <w:r>
        <w:rPr>
          <w:rFonts w:hint="eastAsia" w:cs="宋体"/>
          <w:szCs w:val="21"/>
        </w:rPr>
        <w:t>6.2.1评审方法。经谈判确定最终采购需求和提交最后报价的供应商后，由谈判采购小组采用综合评分法对提交最后报价的供应商的响应文件和最后报价进行综合评分。</w:t>
      </w:r>
    </w:p>
    <w:p>
      <w:pPr>
        <w:tabs>
          <w:tab w:val="left" w:pos="900"/>
        </w:tabs>
        <w:spacing w:line="360" w:lineRule="auto"/>
        <w:ind w:firstLine="420" w:firstLineChars="200"/>
        <w:rPr>
          <w:rFonts w:cs="宋体"/>
          <w:szCs w:val="21"/>
        </w:rPr>
      </w:pPr>
      <w:r>
        <w:rPr>
          <w:rFonts w:hint="eastAsia" w:cs="宋体"/>
          <w:szCs w:val="21"/>
        </w:rPr>
        <w:t>综合评分法，是指响应文件满足谈判采购文件全部实质性要求且按评审因素的量化指标评审得分最高的供应商为成交候选供应商的评审方法。评审时，谈判采购小组各成员独立对每个有效响应的文件进行评价、打分，然后汇总每个供应商每项评分因素的得分。</w:t>
      </w:r>
    </w:p>
    <w:p>
      <w:pPr>
        <w:tabs>
          <w:tab w:val="left" w:pos="900"/>
        </w:tabs>
        <w:spacing w:line="360" w:lineRule="auto"/>
        <w:ind w:firstLine="420" w:firstLineChars="200"/>
        <w:rPr>
          <w:rFonts w:cs="宋体"/>
          <w:szCs w:val="21"/>
        </w:rPr>
      </w:pPr>
      <w:r>
        <w:rPr>
          <w:rFonts w:hint="eastAsia" w:cs="宋体"/>
          <w:szCs w:val="21"/>
        </w:rPr>
        <w:t>6.2.2评审标准</w:t>
      </w:r>
    </w:p>
    <w:p>
      <w:pPr>
        <w:tabs>
          <w:tab w:val="left" w:pos="900"/>
        </w:tabs>
        <w:spacing w:line="360" w:lineRule="auto"/>
        <w:ind w:firstLine="420" w:firstLineChars="200"/>
        <w:rPr>
          <w:rFonts w:cs="宋体"/>
          <w:szCs w:val="21"/>
        </w:rPr>
      </w:pPr>
      <w:r>
        <w:rPr>
          <w:rFonts w:hint="eastAsia" w:cs="宋体"/>
          <w:szCs w:val="21"/>
        </w:rPr>
        <w:t>见本谈判采购文件第五章规定。</w:t>
      </w:r>
    </w:p>
    <w:p>
      <w:pPr>
        <w:tabs>
          <w:tab w:val="left" w:pos="900"/>
        </w:tabs>
        <w:spacing w:line="360" w:lineRule="auto"/>
        <w:ind w:firstLine="420" w:firstLineChars="200"/>
        <w:rPr>
          <w:rFonts w:cs="宋体"/>
          <w:szCs w:val="21"/>
        </w:rPr>
      </w:pPr>
      <w:r>
        <w:rPr>
          <w:rFonts w:hint="eastAsia" w:cs="宋体"/>
          <w:szCs w:val="21"/>
        </w:rPr>
        <w:t>6.3采购活动终止的情况</w:t>
      </w:r>
    </w:p>
    <w:p>
      <w:pPr>
        <w:tabs>
          <w:tab w:val="left" w:pos="900"/>
        </w:tabs>
        <w:spacing w:line="360" w:lineRule="auto"/>
        <w:ind w:firstLine="420" w:firstLineChars="200"/>
        <w:rPr>
          <w:rFonts w:cs="宋体"/>
          <w:szCs w:val="21"/>
        </w:rPr>
      </w:pPr>
      <w:r>
        <w:rPr>
          <w:rFonts w:hint="eastAsia" w:cs="宋体"/>
          <w:szCs w:val="21"/>
        </w:rPr>
        <w:t>出现下列情形之一的，本次谈判采购活动将被终止：</w:t>
      </w:r>
    </w:p>
    <w:p>
      <w:pPr>
        <w:tabs>
          <w:tab w:val="left" w:pos="900"/>
        </w:tabs>
        <w:spacing w:line="360" w:lineRule="auto"/>
        <w:ind w:firstLine="420" w:firstLineChars="200"/>
        <w:rPr>
          <w:rFonts w:cs="宋体"/>
          <w:szCs w:val="21"/>
        </w:rPr>
      </w:pPr>
      <w:r>
        <w:rPr>
          <w:rFonts w:hint="eastAsia" w:cs="宋体"/>
          <w:szCs w:val="21"/>
        </w:rPr>
        <w:t>（1）因情况变化，不再符合规定的谈判采购人式适用情形的；</w:t>
      </w:r>
    </w:p>
    <w:p>
      <w:pPr>
        <w:tabs>
          <w:tab w:val="left" w:pos="900"/>
        </w:tabs>
        <w:spacing w:line="360" w:lineRule="auto"/>
        <w:ind w:firstLine="420" w:firstLineChars="200"/>
        <w:rPr>
          <w:rFonts w:cs="宋体"/>
          <w:szCs w:val="21"/>
        </w:rPr>
      </w:pPr>
      <w:r>
        <w:rPr>
          <w:rFonts w:hint="eastAsia" w:cs="宋体"/>
          <w:szCs w:val="21"/>
        </w:rPr>
        <w:t>（2）出现影响采购公正的违法、违规行为的；</w:t>
      </w:r>
    </w:p>
    <w:p>
      <w:pPr>
        <w:spacing w:line="440" w:lineRule="exact"/>
        <w:ind w:firstLine="420" w:firstLineChars="200"/>
        <w:rPr>
          <w:rFonts w:cs="宋体"/>
          <w:szCs w:val="21"/>
        </w:rPr>
      </w:pPr>
      <w:r>
        <w:rPr>
          <w:rFonts w:hint="eastAsia" w:cs="宋体"/>
          <w:szCs w:val="21"/>
        </w:rPr>
        <w:t>（3）在采购过程中符合要求的供应商或者报价未超过采购预算的供应商不足</w:t>
      </w:r>
      <w:r>
        <w:rPr>
          <w:rFonts w:hint="eastAsia" w:cs="宋体"/>
          <w:szCs w:val="21"/>
          <w:lang w:val="en-US" w:eastAsia="zh-CN"/>
        </w:rPr>
        <w:t>3</w:t>
      </w:r>
      <w:r>
        <w:rPr>
          <w:rFonts w:hint="eastAsia" w:cs="宋体"/>
          <w:szCs w:val="21"/>
        </w:rPr>
        <w:t>家的。</w:t>
      </w:r>
    </w:p>
    <w:p>
      <w:pPr>
        <w:spacing w:line="440" w:lineRule="exact"/>
        <w:ind w:firstLine="422" w:firstLineChars="200"/>
        <w:rPr>
          <w:rFonts w:ascii="宋体" w:cs="宋体"/>
          <w:b/>
          <w:szCs w:val="21"/>
        </w:rPr>
      </w:pPr>
      <w:r>
        <w:rPr>
          <w:rFonts w:hint="eastAsia" w:ascii="宋体" w:hAnsi="宋体" w:cs="宋体"/>
          <w:b/>
          <w:szCs w:val="21"/>
        </w:rPr>
        <w:t>五、成交</w:t>
      </w:r>
    </w:p>
    <w:p>
      <w:pPr>
        <w:spacing w:line="44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、确定成交单位</w:t>
      </w:r>
    </w:p>
    <w:p>
      <w:pPr>
        <w:spacing w:line="440" w:lineRule="exact"/>
        <w:ind w:firstLine="420" w:firstLineChars="200"/>
        <w:rPr>
          <w:rFonts w:ascii="宋体" w:cs="宋体"/>
          <w:szCs w:val="21"/>
        </w:rPr>
      </w:pPr>
      <w:r>
        <w:rPr>
          <w:rFonts w:ascii="宋体" w:hAnsi="宋体" w:cs="宋体"/>
          <w:szCs w:val="21"/>
        </w:rPr>
        <w:t>1.1</w:t>
      </w:r>
      <w:r>
        <w:rPr>
          <w:rFonts w:hint="eastAsia" w:ascii="宋体" w:hAnsi="宋体" w:cs="宋体"/>
          <w:szCs w:val="21"/>
        </w:rPr>
        <w:t>谈判小组根据本采购文件规定评审办法、原始谈判记录和谈判结果，编写评审报告，推荐成交候选人。</w:t>
      </w:r>
    </w:p>
    <w:p>
      <w:pPr>
        <w:spacing w:line="440" w:lineRule="exact"/>
        <w:ind w:firstLine="420" w:firstLineChars="200"/>
        <w:rPr>
          <w:rFonts w:ascii="宋体" w:cs="宋体"/>
          <w:szCs w:val="21"/>
        </w:rPr>
      </w:pPr>
      <w:r>
        <w:rPr>
          <w:rFonts w:ascii="宋体" w:hAnsi="宋体" w:cs="宋体"/>
          <w:szCs w:val="21"/>
        </w:rPr>
        <w:t>1.2</w:t>
      </w:r>
      <w:r>
        <w:rPr>
          <w:rFonts w:hint="eastAsia" w:ascii="宋体" w:hAnsi="宋体" w:cs="宋体"/>
          <w:szCs w:val="21"/>
        </w:rPr>
        <w:t>采购人根据谈判小组推荐的成交候选人确定成交供应商。采购人确定成交供应商后，代理机构将在“扬州市政府采购服务商城</w:t>
      </w:r>
      <w:r>
        <w:rPr>
          <w:rFonts w:hint="eastAsia" w:ascii="宋体" w:hAnsi="宋体"/>
          <w:szCs w:val="21"/>
        </w:rPr>
        <w:t>、扬州市职业大学官网</w:t>
      </w:r>
      <w:r>
        <w:rPr>
          <w:rFonts w:hint="eastAsia" w:ascii="宋体" w:hAnsi="宋体" w:cs="宋体"/>
          <w:szCs w:val="21"/>
        </w:rPr>
        <w:t>”发布成交结果公告，公告期限为</w:t>
      </w:r>
      <w:r>
        <w:rPr>
          <w:rFonts w:ascii="宋体" w:hAnsi="宋体" w:cs="宋体"/>
          <w:szCs w:val="21"/>
        </w:rPr>
        <w:t>1</w:t>
      </w:r>
      <w:r>
        <w:rPr>
          <w:rFonts w:hint="eastAsia" w:ascii="宋体" w:hAnsi="宋体" w:cs="宋体"/>
          <w:szCs w:val="21"/>
        </w:rPr>
        <w:t>个工作日。</w:t>
      </w:r>
    </w:p>
    <w:p>
      <w:pPr>
        <w:spacing w:line="440" w:lineRule="exact"/>
        <w:ind w:firstLine="420" w:firstLineChars="200"/>
        <w:rPr>
          <w:rFonts w:ascii="宋体" w:cs="宋体"/>
          <w:szCs w:val="21"/>
        </w:rPr>
      </w:pPr>
      <w:r>
        <w:rPr>
          <w:rFonts w:ascii="宋体" w:hAnsi="宋体" w:cs="宋体"/>
          <w:szCs w:val="21"/>
        </w:rPr>
        <w:t>1.3</w:t>
      </w:r>
      <w:r>
        <w:rPr>
          <w:rFonts w:hint="eastAsia" w:ascii="宋体" w:hAnsi="宋体" w:cs="宋体"/>
          <w:szCs w:val="21"/>
        </w:rPr>
        <w:t>若有充分证据证明，成交供应商出现下列情况之一的，一经查实，将被取消成交资格：</w:t>
      </w:r>
    </w:p>
    <w:p>
      <w:pPr>
        <w:spacing w:line="440" w:lineRule="exact"/>
        <w:ind w:firstLine="420" w:firstLineChars="20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）提供虚假材料谋取成交的；</w:t>
      </w:r>
    </w:p>
    <w:p>
      <w:pPr>
        <w:spacing w:line="440" w:lineRule="exact"/>
        <w:ind w:firstLine="420" w:firstLineChars="20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）与评审专家、采购人、其他供应商或者代理机构工作人员恶意串通的；</w:t>
      </w:r>
    </w:p>
    <w:p>
      <w:pPr>
        <w:spacing w:line="440" w:lineRule="exact"/>
        <w:ind w:firstLine="420" w:firstLineChars="20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）向评审专家、采购人或代理机构工作人员行贿或者提供其他不正当利益的；</w:t>
      </w:r>
    </w:p>
    <w:p>
      <w:pPr>
        <w:spacing w:line="440" w:lineRule="exact"/>
        <w:ind w:firstLine="420" w:firstLineChars="20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）恶意竞争，最终总报价明显低于其自身合理成本且又无法提供证明的；</w:t>
      </w:r>
    </w:p>
    <w:p>
      <w:pPr>
        <w:spacing w:line="440" w:lineRule="exact"/>
        <w:ind w:firstLine="420" w:firstLineChars="200"/>
        <w:rPr>
          <w:rFonts w:asci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）不满足本采购文件规定的实质性要求，但在评审过程中又未被谈判小组发现的；</w:t>
      </w:r>
    </w:p>
    <w:p>
      <w:pPr>
        <w:spacing w:line="440" w:lineRule="exact"/>
        <w:ind w:firstLine="420" w:firstLineChars="200"/>
        <w:rPr>
          <w:rFonts w:asci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）成交后无正当理由拒不与采购人签订政府采购合同或者未按照采购文件确定的事项签订政府采购合同；</w:t>
      </w:r>
    </w:p>
    <w:p>
      <w:pPr>
        <w:spacing w:line="440" w:lineRule="exact"/>
        <w:ind w:firstLine="420" w:firstLineChars="200"/>
        <w:rPr>
          <w:rFonts w:ascii="宋体" w:cs="宋体"/>
          <w:szCs w:val="21"/>
        </w:rPr>
      </w:pPr>
      <w:r>
        <w:rPr>
          <w:rFonts w:hint="eastAsia" w:ascii="宋体" w:hAnsi="宋体" w:cs="宋体"/>
          <w:szCs w:val="21"/>
        </w:rPr>
        <w:t>（</w:t>
      </w:r>
      <w:r>
        <w:rPr>
          <w:rFonts w:ascii="宋体" w:hAnsi="宋体" w:cs="宋体"/>
          <w:szCs w:val="21"/>
        </w:rPr>
        <w:t>7</w:t>
      </w:r>
      <w:r>
        <w:rPr>
          <w:rFonts w:hint="eastAsia" w:ascii="宋体" w:hAnsi="宋体" w:cs="宋体"/>
          <w:szCs w:val="21"/>
        </w:rPr>
        <w:t>）将政府采购合同转包；</w:t>
      </w:r>
    </w:p>
    <w:p>
      <w:pPr>
        <w:spacing w:line="440" w:lineRule="exact"/>
        <w:ind w:firstLine="420" w:firstLineChars="200"/>
        <w:rPr>
          <w:rFonts w:ascii="宋体" w:cs="宋体"/>
          <w:szCs w:val="21"/>
        </w:rPr>
      </w:pPr>
      <w:r>
        <w:rPr>
          <w:rFonts w:hint="eastAsia" w:ascii="宋体" w:hAnsi="宋体" w:cs="宋体"/>
          <w:szCs w:val="21"/>
        </w:rPr>
        <w:t>（</w:t>
      </w:r>
      <w:r>
        <w:rPr>
          <w:rFonts w:ascii="宋体" w:hAnsi="宋体" w:cs="宋体"/>
          <w:szCs w:val="21"/>
        </w:rPr>
        <w:t>8</w:t>
      </w:r>
      <w:r>
        <w:rPr>
          <w:rFonts w:hint="eastAsia" w:ascii="宋体" w:hAnsi="宋体" w:cs="宋体"/>
          <w:szCs w:val="21"/>
        </w:rPr>
        <w:t>）法律、法规、规章规定的属于成交无效的其他情形。</w:t>
      </w:r>
    </w:p>
    <w:p>
      <w:pPr>
        <w:spacing w:line="440" w:lineRule="exact"/>
        <w:ind w:firstLine="420" w:firstLineChars="200"/>
        <w:rPr>
          <w:rFonts w:ascii="宋体" w:cs="宋体"/>
          <w:szCs w:val="21"/>
        </w:rPr>
      </w:pPr>
      <w:r>
        <w:rPr>
          <w:rFonts w:ascii="宋体" w:hAnsi="宋体" w:cs="宋体"/>
          <w:szCs w:val="21"/>
        </w:rPr>
        <w:t>2</w:t>
      </w:r>
      <w:r>
        <w:rPr>
          <w:rFonts w:hint="eastAsia" w:ascii="宋体" w:hAnsi="宋体" w:cs="宋体"/>
          <w:szCs w:val="21"/>
        </w:rPr>
        <w:t>、质疑处理</w:t>
      </w:r>
    </w:p>
    <w:p>
      <w:pPr>
        <w:spacing w:line="440" w:lineRule="exact"/>
        <w:ind w:firstLine="420" w:firstLineChars="200"/>
        <w:rPr>
          <w:rFonts w:ascii="宋体" w:cs="宋体"/>
          <w:szCs w:val="21"/>
        </w:rPr>
      </w:pPr>
      <w:r>
        <w:rPr>
          <w:rFonts w:ascii="宋体" w:hAnsi="宋体" w:cs="宋体"/>
          <w:szCs w:val="21"/>
        </w:rPr>
        <w:t>2.1</w:t>
      </w:r>
      <w:r>
        <w:rPr>
          <w:rFonts w:hint="eastAsia" w:ascii="宋体" w:hAnsi="宋体" w:cs="宋体"/>
          <w:bCs/>
          <w:szCs w:val="21"/>
        </w:rPr>
        <w:t>参加谈判的供应商认为采购过程和采购结果使自己的权益受到损害的，可以从采购结果公布之日起七个工作日内，</w:t>
      </w:r>
      <w:r>
        <w:rPr>
          <w:rFonts w:hint="eastAsia" w:ascii="宋体" w:hAnsi="宋体" w:cs="宋体"/>
          <w:szCs w:val="21"/>
        </w:rPr>
        <w:t>按照《谈判公告》中的地址，经办人须携带《授权委托书》原件、被授权人身份证原件（经办人如为法定代表人只需提供身份证原件）</w:t>
      </w:r>
      <w:r>
        <w:rPr>
          <w:rFonts w:hint="eastAsia" w:ascii="宋体" w:hAnsi="宋体" w:cs="宋体"/>
          <w:bCs/>
          <w:szCs w:val="21"/>
        </w:rPr>
        <w:t>以书面文件（原件）形式向谈判代理机构或采购人提出质疑。《质疑申请书》及《授权委托书》见网站</w:t>
      </w:r>
      <w:r>
        <w:rPr>
          <w:rFonts w:ascii="宋体" w:hAnsi="宋体" w:cs="宋体"/>
          <w:bCs/>
          <w:szCs w:val="21"/>
        </w:rPr>
        <w:t>:</w:t>
      </w:r>
      <w:r>
        <w:rPr>
          <w:rFonts w:hint="eastAsia" w:ascii="宋体" w:hAnsi="宋体" w:cs="宋体"/>
          <w:szCs w:val="21"/>
        </w:rPr>
        <w:t>：</w:t>
      </w:r>
      <w:r>
        <w:rPr>
          <w:rFonts w:ascii="宋体" w:hAnsi="宋体" w:cs="宋体"/>
          <w:szCs w:val="21"/>
        </w:rPr>
        <w:t>http://pan.baidu.com/s/1c1G12Cg</w:t>
      </w:r>
      <w:r>
        <w:rPr>
          <w:rFonts w:hint="eastAsia" w:ascii="宋体" w:hAnsi="宋体" w:cs="宋体"/>
          <w:szCs w:val="21"/>
        </w:rPr>
        <w:t>，上述应知其权益受到损害之日，是指：</w:t>
      </w:r>
    </w:p>
    <w:p>
      <w:pPr>
        <w:spacing w:line="440" w:lineRule="exact"/>
        <w:ind w:firstLine="420" w:firstLineChars="200"/>
        <w:rPr>
          <w:rFonts w:ascii="宋体" w:cs="宋体"/>
          <w:szCs w:val="21"/>
        </w:rPr>
      </w:pPr>
      <w:r>
        <w:rPr>
          <w:rFonts w:ascii="宋体" w:hAnsi="宋体" w:cs="宋体"/>
          <w:szCs w:val="21"/>
        </w:rPr>
        <w:t>2.1.1</w:t>
      </w:r>
      <w:r>
        <w:rPr>
          <w:rFonts w:hint="eastAsia" w:ascii="宋体" w:hAnsi="宋体" w:cs="宋体"/>
          <w:szCs w:val="21"/>
        </w:rPr>
        <w:t>对可以质疑的采购文件提出质疑的，为收到采购文件之日或者采购文件公告期限届满之日；</w:t>
      </w:r>
      <w:r>
        <w:rPr>
          <w:rFonts w:ascii="宋体" w:cs="宋体"/>
          <w:szCs w:val="21"/>
        </w:rPr>
        <w:br w:type="textWrapping"/>
      </w:r>
      <w:r>
        <w:rPr>
          <w:rFonts w:hint="eastAsia" w:ascii="宋体" w:hAnsi="宋体" w:cs="宋体"/>
          <w:szCs w:val="21"/>
        </w:rPr>
        <w:t>　　</w:t>
      </w:r>
      <w:r>
        <w:rPr>
          <w:rFonts w:ascii="宋体" w:hAnsi="宋体" w:cs="宋体"/>
          <w:szCs w:val="21"/>
        </w:rPr>
        <w:t>2.1.2</w:t>
      </w:r>
      <w:r>
        <w:rPr>
          <w:rFonts w:hint="eastAsia" w:ascii="宋体" w:hAnsi="宋体" w:cs="宋体"/>
          <w:szCs w:val="21"/>
        </w:rPr>
        <w:t>对采购过程提出质疑的，为各采购程序环节结束之日；</w:t>
      </w:r>
      <w:r>
        <w:rPr>
          <w:rFonts w:ascii="宋体" w:cs="宋体"/>
          <w:szCs w:val="21"/>
        </w:rPr>
        <w:br w:type="textWrapping"/>
      </w:r>
      <w:r>
        <w:rPr>
          <w:rFonts w:hint="eastAsia" w:ascii="宋体" w:hAnsi="宋体" w:cs="宋体"/>
          <w:szCs w:val="21"/>
        </w:rPr>
        <w:t>　　</w:t>
      </w:r>
      <w:r>
        <w:rPr>
          <w:rFonts w:ascii="宋体" w:hAnsi="宋体" w:cs="宋体"/>
          <w:szCs w:val="21"/>
        </w:rPr>
        <w:t>2.1.3</w:t>
      </w:r>
      <w:r>
        <w:rPr>
          <w:rFonts w:hint="eastAsia" w:ascii="宋体" w:hAnsi="宋体" w:cs="宋体"/>
          <w:szCs w:val="21"/>
        </w:rPr>
        <w:t>对成交结果提出质疑的，为成交结果公告期限届满之日。</w:t>
      </w:r>
    </w:p>
    <w:p>
      <w:pPr>
        <w:spacing w:line="440" w:lineRule="exact"/>
        <w:ind w:firstLine="420" w:firstLineChars="200"/>
        <w:rPr>
          <w:rFonts w:ascii="宋体" w:cs="宋体"/>
          <w:szCs w:val="21"/>
        </w:rPr>
      </w:pPr>
      <w:r>
        <w:rPr>
          <w:rFonts w:ascii="宋体" w:hAnsi="宋体" w:cs="宋体"/>
          <w:szCs w:val="21"/>
        </w:rPr>
        <w:t>2.2</w:t>
      </w:r>
      <w:r>
        <w:rPr>
          <w:rFonts w:hint="eastAsia" w:ascii="宋体" w:hAnsi="宋体" w:cs="宋体"/>
          <w:szCs w:val="21"/>
        </w:rPr>
        <w:t>质疑必须以参加谈判供应商法定代表人或授权代表（响应文件中所确定的）原件送达的方式提交，未按上述要求提交的质疑函（含传真、电子邮件等）代理机构有权不予受理。</w:t>
      </w:r>
    </w:p>
    <w:p>
      <w:pPr>
        <w:spacing w:line="440" w:lineRule="exact"/>
        <w:ind w:firstLine="420" w:firstLineChars="200"/>
        <w:rPr>
          <w:rFonts w:ascii="宋体" w:cs="宋体"/>
          <w:szCs w:val="21"/>
        </w:rPr>
      </w:pPr>
      <w:r>
        <w:rPr>
          <w:rFonts w:ascii="宋体" w:hAnsi="宋体" w:cs="宋体"/>
          <w:szCs w:val="21"/>
        </w:rPr>
        <w:t>2.3</w:t>
      </w:r>
      <w:r>
        <w:rPr>
          <w:rFonts w:hint="eastAsia" w:ascii="宋体" w:hAnsi="宋体" w:cs="宋体"/>
          <w:szCs w:val="21"/>
        </w:rPr>
        <w:t>未参加谈判采购活动的供应商或在谈判采购活动中自身权益未受到损害的供应商所提出的质疑不予受理。</w:t>
      </w:r>
    </w:p>
    <w:p>
      <w:pPr>
        <w:spacing w:line="440" w:lineRule="exact"/>
        <w:ind w:firstLine="420" w:firstLineChars="200"/>
        <w:rPr>
          <w:rFonts w:ascii="宋体" w:cs="宋体"/>
          <w:szCs w:val="21"/>
        </w:rPr>
      </w:pPr>
      <w:r>
        <w:rPr>
          <w:rFonts w:ascii="宋体" w:hAnsi="宋体" w:cs="宋体"/>
          <w:szCs w:val="21"/>
        </w:rPr>
        <w:t>2.4</w:t>
      </w:r>
      <w:r>
        <w:rPr>
          <w:rFonts w:hint="eastAsia" w:ascii="宋体" w:hAnsi="宋体" w:cs="宋体"/>
          <w:szCs w:val="21"/>
        </w:rPr>
        <w:t>质疑函应当包括下列内容：</w:t>
      </w:r>
    </w:p>
    <w:p>
      <w:pPr>
        <w:spacing w:line="440" w:lineRule="exact"/>
        <w:ind w:firstLine="420" w:firstLineChars="200"/>
        <w:rPr>
          <w:rFonts w:ascii="宋体" w:cs="宋体"/>
          <w:szCs w:val="21"/>
        </w:rPr>
      </w:pPr>
      <w:r>
        <w:rPr>
          <w:rFonts w:ascii="宋体" w:hAnsi="宋体" w:cs="宋体"/>
          <w:szCs w:val="21"/>
        </w:rPr>
        <w:t>2.4.1</w:t>
      </w:r>
      <w:r>
        <w:rPr>
          <w:rFonts w:hint="eastAsia" w:ascii="宋体" w:hAnsi="宋体" w:cs="宋体"/>
          <w:szCs w:val="21"/>
        </w:rPr>
        <w:t>质疑供应商的名称、地址、邮编、联系人、联系电话；</w:t>
      </w:r>
    </w:p>
    <w:p>
      <w:pPr>
        <w:spacing w:line="440" w:lineRule="exact"/>
        <w:ind w:firstLine="420" w:firstLineChars="200"/>
        <w:rPr>
          <w:rFonts w:ascii="宋体" w:cs="宋体"/>
          <w:szCs w:val="21"/>
        </w:rPr>
      </w:pPr>
      <w:r>
        <w:rPr>
          <w:rFonts w:ascii="宋体" w:hAnsi="宋体" w:cs="宋体"/>
          <w:szCs w:val="21"/>
        </w:rPr>
        <w:t>2.4.2</w:t>
      </w:r>
      <w:r>
        <w:rPr>
          <w:rFonts w:hint="eastAsia" w:ascii="宋体" w:hAnsi="宋体" w:cs="宋体"/>
          <w:szCs w:val="21"/>
        </w:rPr>
        <w:t>具体的质疑事项及明确的请求；</w:t>
      </w:r>
    </w:p>
    <w:p>
      <w:pPr>
        <w:spacing w:line="440" w:lineRule="exact"/>
        <w:ind w:firstLine="420" w:firstLineChars="200"/>
        <w:rPr>
          <w:rFonts w:ascii="宋体" w:cs="宋体"/>
          <w:szCs w:val="21"/>
        </w:rPr>
      </w:pPr>
      <w:r>
        <w:rPr>
          <w:rFonts w:ascii="宋体" w:hAnsi="宋体" w:cs="宋体"/>
          <w:szCs w:val="21"/>
        </w:rPr>
        <w:t>2.4.3</w:t>
      </w:r>
      <w:r>
        <w:rPr>
          <w:rFonts w:hint="eastAsia" w:ascii="宋体" w:hAnsi="宋体" w:cs="宋体"/>
          <w:szCs w:val="21"/>
        </w:rPr>
        <w:t>认为自己合法权益受到损害或可能受到损害的相关证据材料；</w:t>
      </w:r>
    </w:p>
    <w:p>
      <w:pPr>
        <w:spacing w:line="440" w:lineRule="exact"/>
        <w:ind w:firstLine="420" w:firstLineChars="200"/>
        <w:rPr>
          <w:rFonts w:ascii="宋体" w:cs="宋体"/>
          <w:szCs w:val="21"/>
        </w:rPr>
      </w:pPr>
      <w:r>
        <w:rPr>
          <w:rFonts w:ascii="宋体" w:hAnsi="宋体" w:cs="宋体"/>
          <w:szCs w:val="21"/>
        </w:rPr>
        <w:t>2.4.4</w:t>
      </w:r>
      <w:r>
        <w:rPr>
          <w:rFonts w:hint="eastAsia" w:ascii="宋体" w:hAnsi="宋体" w:cs="宋体"/>
          <w:szCs w:val="21"/>
        </w:rPr>
        <w:t>提起质疑的日期；</w:t>
      </w:r>
    </w:p>
    <w:p>
      <w:pPr>
        <w:spacing w:line="440" w:lineRule="exact"/>
        <w:ind w:firstLine="420" w:firstLineChars="200"/>
        <w:rPr>
          <w:rFonts w:ascii="宋体" w:cs="宋体"/>
          <w:szCs w:val="21"/>
        </w:rPr>
      </w:pPr>
      <w:r>
        <w:rPr>
          <w:rFonts w:ascii="宋体" w:hAnsi="宋体" w:cs="宋体"/>
          <w:szCs w:val="21"/>
        </w:rPr>
        <w:t>2.4.5</w:t>
      </w:r>
      <w:r>
        <w:rPr>
          <w:rFonts w:hint="eastAsia" w:ascii="宋体" w:hAnsi="宋体" w:cs="宋体"/>
          <w:szCs w:val="21"/>
        </w:rPr>
        <w:t>质疑函应当署名：质疑人为自然人的，应当由本人签字并附有效身份证明；质疑人为法人或其他组织的，应当由法定代表人签字并加盖单位公章。质疑人委托代理质疑的，应当向代理机构提交授权委托书，并载明委托代理的具体权限和事项。质疑人应在法定质疑期内一次性提出针对同一采购程序环节的质疑。</w:t>
      </w:r>
    </w:p>
    <w:p>
      <w:pPr>
        <w:spacing w:line="440" w:lineRule="exact"/>
        <w:ind w:firstLine="420" w:firstLineChars="200"/>
        <w:rPr>
          <w:rFonts w:ascii="宋体" w:cs="宋体"/>
          <w:szCs w:val="21"/>
        </w:rPr>
      </w:pPr>
      <w:r>
        <w:rPr>
          <w:rFonts w:ascii="宋体" w:hAnsi="宋体" w:cs="宋体"/>
          <w:szCs w:val="21"/>
        </w:rPr>
        <w:t>2.5</w:t>
      </w:r>
      <w:r>
        <w:rPr>
          <w:rFonts w:hint="eastAsia" w:ascii="宋体" w:hAnsi="宋体" w:cs="宋体"/>
          <w:szCs w:val="21"/>
        </w:rPr>
        <w:t>代理机构收到质疑函后，将对质疑的形式和内容进行审查，如质疑函内容、格式不符合规定，代理机构将告知质疑人进行补正。</w:t>
      </w:r>
    </w:p>
    <w:p>
      <w:pPr>
        <w:spacing w:line="440" w:lineRule="exact"/>
        <w:ind w:firstLine="420" w:firstLineChars="200"/>
        <w:rPr>
          <w:rFonts w:ascii="宋体" w:cs="宋体"/>
          <w:szCs w:val="21"/>
        </w:rPr>
      </w:pPr>
      <w:r>
        <w:rPr>
          <w:rFonts w:ascii="宋体" w:hAnsi="宋体" w:cs="宋体"/>
          <w:szCs w:val="21"/>
        </w:rPr>
        <w:t>2.6</w:t>
      </w:r>
      <w:r>
        <w:rPr>
          <w:rFonts w:hint="eastAsia" w:ascii="宋体" w:hAnsi="宋体" w:cs="宋体"/>
          <w:szCs w:val="21"/>
        </w:rPr>
        <w:t>质疑人应当在法定质疑期限内进行补正并重新提交质疑函，拒不补正或者在法定期限内未重新提交质疑函的，为无效质疑，代理机构有权不予受理。</w:t>
      </w:r>
    </w:p>
    <w:p>
      <w:pPr>
        <w:spacing w:line="440" w:lineRule="exact"/>
        <w:ind w:firstLine="420" w:firstLineChars="200"/>
        <w:rPr>
          <w:rFonts w:ascii="宋体" w:cs="宋体"/>
          <w:szCs w:val="21"/>
        </w:rPr>
      </w:pPr>
      <w:r>
        <w:rPr>
          <w:rFonts w:ascii="宋体" w:hAnsi="宋体" w:cs="宋体"/>
          <w:szCs w:val="21"/>
        </w:rPr>
        <w:t>2.7</w:t>
      </w:r>
      <w:r>
        <w:rPr>
          <w:rFonts w:hint="eastAsia" w:ascii="宋体" w:hAnsi="宋体" w:cs="宋体"/>
          <w:szCs w:val="21"/>
        </w:rPr>
        <w:t>对于内容、格式符合规定的质疑函，代理机构应当在收到参加谈判供应商的书面质疑后七个工作日内作出答复，但答复的内容不得涉及商业秘密。</w:t>
      </w:r>
    </w:p>
    <w:p>
      <w:pPr>
        <w:spacing w:line="440" w:lineRule="exact"/>
        <w:ind w:firstLine="420" w:firstLineChars="200"/>
        <w:rPr>
          <w:rFonts w:ascii="宋体" w:cs="宋体"/>
          <w:szCs w:val="21"/>
        </w:rPr>
      </w:pPr>
      <w:r>
        <w:rPr>
          <w:rFonts w:ascii="宋体" w:hAnsi="宋体" w:cs="宋体"/>
          <w:szCs w:val="21"/>
        </w:rPr>
        <w:t>2.8</w:t>
      </w:r>
      <w:r>
        <w:rPr>
          <w:rFonts w:hint="eastAsia" w:ascii="宋体" w:hAnsi="宋体" w:cs="宋体"/>
          <w:szCs w:val="21"/>
        </w:rPr>
        <w:t>供应商提出书面质疑必须有理、有据，不得恶意质疑或提交虚假质疑。否则，一经查实，代理机构有权依据采购的有关规定，报请采购监管部门对该供应商进行相应的行政处罚。</w:t>
      </w:r>
    </w:p>
    <w:p>
      <w:pPr>
        <w:spacing w:line="440" w:lineRule="exact"/>
        <w:ind w:firstLine="422" w:firstLineChars="200"/>
        <w:rPr>
          <w:rFonts w:ascii="宋体" w:cs="宋体"/>
          <w:b/>
          <w:szCs w:val="21"/>
        </w:rPr>
      </w:pPr>
      <w:bookmarkStart w:id="52" w:name="_Toc513029237"/>
      <w:bookmarkStart w:id="53" w:name="_Toc16938553"/>
      <w:bookmarkStart w:id="54" w:name="_Toc20823309"/>
      <w:r>
        <w:rPr>
          <w:rFonts w:hint="eastAsia" w:ascii="宋体" w:hAnsi="宋体" w:cs="宋体"/>
          <w:b/>
          <w:szCs w:val="21"/>
        </w:rPr>
        <w:t>六、合同签订相关事项</w:t>
      </w:r>
    </w:p>
    <w:p>
      <w:pPr>
        <w:spacing w:line="440" w:lineRule="exact"/>
        <w:ind w:firstLine="420" w:firstLineChars="200"/>
        <w:rPr>
          <w:rFonts w:ascii="宋体" w:cs="宋体"/>
          <w:szCs w:val="21"/>
        </w:rPr>
      </w:pPr>
      <w:r>
        <w:rPr>
          <w:rFonts w:ascii="宋体" w:hAnsi="宋体" w:cs="宋体"/>
          <w:szCs w:val="21"/>
        </w:rPr>
        <w:t>1</w:t>
      </w:r>
      <w:r>
        <w:rPr>
          <w:rFonts w:hint="eastAsia" w:ascii="宋体" w:hAnsi="宋体" w:cs="宋体"/>
          <w:szCs w:val="21"/>
        </w:rPr>
        <w:t>、签订合同</w:t>
      </w:r>
    </w:p>
    <w:p>
      <w:pPr>
        <w:spacing w:line="440" w:lineRule="exact"/>
        <w:ind w:firstLine="420" w:firstLineChars="200"/>
        <w:rPr>
          <w:rFonts w:ascii="宋体" w:cs="宋体"/>
          <w:szCs w:val="21"/>
        </w:rPr>
      </w:pPr>
      <w:r>
        <w:rPr>
          <w:rFonts w:ascii="宋体" w:hAnsi="宋体" w:cs="宋体"/>
          <w:szCs w:val="21"/>
        </w:rPr>
        <w:t>1.l</w:t>
      </w:r>
      <w:r>
        <w:rPr>
          <w:rFonts w:hint="eastAsia" w:ascii="宋体" w:hAnsi="宋体" w:cs="宋体"/>
          <w:szCs w:val="21"/>
        </w:rPr>
        <w:t>成交供应商确定后，代理机构将向成交供应商发出成交通知书。成交供应商应按成交通知书规定的时间、地点</w:t>
      </w:r>
      <w:r>
        <w:rPr>
          <w:rFonts w:ascii="宋体" w:cs="宋体"/>
          <w:szCs w:val="21"/>
        </w:rPr>
        <w:t>,</w:t>
      </w:r>
      <w:r>
        <w:rPr>
          <w:rFonts w:hint="eastAsia" w:ascii="宋体" w:hAnsi="宋体" w:cs="宋体"/>
          <w:szCs w:val="21"/>
        </w:rPr>
        <w:t>按照采购文件确定的事项与采购人签订采购合同，且不得迟于成交通知书发出之日起三十日内，由此给采购人造成损失的，成交供应商还应承担赔偿责任。</w:t>
      </w:r>
    </w:p>
    <w:p>
      <w:pPr>
        <w:spacing w:line="440" w:lineRule="exact"/>
        <w:ind w:firstLine="420" w:firstLineChars="200"/>
        <w:rPr>
          <w:rFonts w:ascii="宋体" w:cs="宋体"/>
          <w:szCs w:val="21"/>
        </w:rPr>
      </w:pPr>
      <w:r>
        <w:rPr>
          <w:rFonts w:ascii="宋体" w:hAnsi="宋体" w:cs="宋体"/>
          <w:szCs w:val="21"/>
        </w:rPr>
        <w:t xml:space="preserve">1.2 </w:t>
      </w:r>
      <w:r>
        <w:rPr>
          <w:rFonts w:hint="eastAsia" w:ascii="宋体" w:hAnsi="宋体" w:cs="宋体"/>
          <w:szCs w:val="21"/>
        </w:rPr>
        <w:t>采购文件、成交供应商的谈判响应文件及谈判采购过程中有关澄清、承诺文件均应作为合同附件。</w:t>
      </w:r>
    </w:p>
    <w:p>
      <w:pPr>
        <w:spacing w:line="440" w:lineRule="exact"/>
        <w:ind w:firstLine="420" w:firstLineChars="200"/>
        <w:rPr>
          <w:rFonts w:ascii="宋体" w:cs="宋体"/>
          <w:szCs w:val="21"/>
        </w:rPr>
      </w:pPr>
      <w:r>
        <w:rPr>
          <w:rFonts w:ascii="宋体" w:hAnsi="宋体" w:cs="宋体"/>
          <w:szCs w:val="21"/>
        </w:rPr>
        <w:t xml:space="preserve">1.3 </w:t>
      </w:r>
      <w:r>
        <w:rPr>
          <w:rFonts w:hint="eastAsia" w:ascii="宋体" w:hAnsi="宋体" w:cs="宋体"/>
          <w:szCs w:val="21"/>
        </w:rPr>
        <w:t>签订合同后</w:t>
      </w:r>
      <w:r>
        <w:rPr>
          <w:rFonts w:hint="eastAsia" w:ascii="宋体" w:hAnsi="宋体" w:cs="宋体"/>
          <w:i/>
          <w:szCs w:val="21"/>
          <w:u w:val="single"/>
        </w:rPr>
        <w:t>，成交供应商不得将成交产品及其他相关服务进行转包。</w:t>
      </w:r>
      <w:r>
        <w:rPr>
          <w:rFonts w:hint="eastAsia" w:ascii="宋体" w:hAnsi="宋体" w:cs="宋体"/>
          <w:szCs w:val="21"/>
        </w:rPr>
        <w:t>未经采购人同意，成交供应商也不得采用分包的形式履行合同，否则采购人有权终止合同。转包或分包造成采购人损失的，成交供应商应承担相应赔偿责任。</w:t>
      </w:r>
    </w:p>
    <w:p>
      <w:pPr>
        <w:spacing w:line="360" w:lineRule="auto"/>
        <w:ind w:firstLine="420" w:firstLineChars="200"/>
        <w:rPr>
          <w:rFonts w:ascii="宋体" w:hAnsi="宋体"/>
          <w:szCs w:val="21"/>
        </w:rPr>
      </w:pPr>
      <w:r>
        <w:rPr>
          <w:rFonts w:ascii="宋体" w:hAnsi="宋体" w:cs="宋体"/>
          <w:szCs w:val="21"/>
        </w:rPr>
        <w:t>2</w:t>
      </w:r>
      <w:r>
        <w:rPr>
          <w:rFonts w:hint="eastAsia" w:ascii="宋体" w:hAnsi="宋体" w:cs="宋体"/>
          <w:szCs w:val="21"/>
        </w:rPr>
        <w:t>、履约保证金：无</w:t>
      </w:r>
      <w:bookmarkEnd w:id="52"/>
      <w:bookmarkEnd w:id="53"/>
      <w:bookmarkEnd w:id="54"/>
    </w:p>
    <w:p>
      <w:pPr>
        <w:spacing w:line="400" w:lineRule="exact"/>
        <w:ind w:firstLine="420" w:firstLineChars="200"/>
        <w:rPr>
          <w:rFonts w:ascii="宋体" w:hAnsi="宋体"/>
          <w:szCs w:val="21"/>
        </w:rPr>
        <w:sectPr>
          <w:footerReference r:id="rId10" w:type="first"/>
          <w:headerReference r:id="rId8" w:type="default"/>
          <w:footerReference r:id="rId9" w:type="default"/>
          <w:pgSz w:w="11906" w:h="16838"/>
          <w:pgMar w:top="1440" w:right="1080" w:bottom="1318" w:left="1080" w:header="851" w:footer="992" w:gutter="284"/>
          <w:cols w:space="720" w:num="1"/>
          <w:docGrid w:type="lines" w:linePitch="312" w:charSpace="0"/>
        </w:sectPr>
      </w:pPr>
    </w:p>
    <w:p>
      <w:pPr>
        <w:pStyle w:val="5"/>
        <w:spacing w:line="360" w:lineRule="auto"/>
        <w:rPr>
          <w:rFonts w:ascii="宋体" w:hAnsi="宋体"/>
          <w:sz w:val="28"/>
          <w:szCs w:val="21"/>
        </w:rPr>
      </w:pPr>
      <w:r>
        <w:rPr>
          <w:rFonts w:hint="eastAsia" w:ascii="宋体" w:hAnsi="宋体" w:eastAsia="宋体" w:cs="Arial"/>
          <w:bCs/>
          <w:sz w:val="36"/>
          <w:szCs w:val="36"/>
        </w:rPr>
        <w:t>第三章  合同条款及格式</w:t>
      </w:r>
    </w:p>
    <w:p>
      <w:pPr>
        <w:pStyle w:val="20"/>
        <w:snapToGrid w:val="0"/>
        <w:spacing w:before="120" w:after="120" w:line="360" w:lineRule="auto"/>
        <w:jc w:val="center"/>
        <w:rPr>
          <w:rFonts w:hint="default" w:hAnsi="宋体"/>
          <w:b/>
          <w:sz w:val="28"/>
          <w:szCs w:val="21"/>
        </w:rPr>
      </w:pPr>
      <w:r>
        <w:rPr>
          <w:rFonts w:hAnsi="宋体"/>
          <w:b/>
          <w:sz w:val="28"/>
          <w:szCs w:val="21"/>
        </w:rPr>
        <w:t>政府采购合同</w:t>
      </w:r>
    </w:p>
    <w:p>
      <w:pPr>
        <w:spacing w:line="360" w:lineRule="auto"/>
        <w:rPr>
          <w:rFonts w:ascii="宋体" w:hAnsi="宋体" w:cs="宋体"/>
          <w:b/>
          <w:szCs w:val="21"/>
          <w:u w:val="single"/>
        </w:rPr>
      </w:pPr>
      <w:r>
        <w:rPr>
          <w:rFonts w:hint="eastAsia" w:ascii="宋体" w:hAnsi="宋体" w:cs="宋体"/>
          <w:b/>
          <w:szCs w:val="21"/>
        </w:rPr>
        <w:t>发包人（全称）：</w:t>
      </w:r>
      <w:r>
        <w:rPr>
          <w:rFonts w:hint="eastAsia" w:ascii="宋体" w:hAnsi="宋体" w:cs="宋体"/>
          <w:b/>
          <w:szCs w:val="21"/>
          <w:u w:val="single"/>
        </w:rPr>
        <w:t xml:space="preserve">  扬州市职业大学   </w:t>
      </w:r>
    </w:p>
    <w:p>
      <w:pPr>
        <w:spacing w:line="360" w:lineRule="auto"/>
        <w:rPr>
          <w:rFonts w:ascii="宋体" w:hAnsi="宋体" w:cs="宋体"/>
          <w:szCs w:val="21"/>
        </w:rPr>
      </w:pPr>
      <w:r>
        <w:rPr>
          <w:rFonts w:hint="eastAsia" w:ascii="宋体" w:hAnsi="宋体" w:cs="宋体"/>
          <w:b/>
          <w:szCs w:val="21"/>
        </w:rPr>
        <w:t xml:space="preserve">承包人（全称）：______________________ </w:t>
      </w:r>
    </w:p>
    <w:p>
      <w:pPr>
        <w:spacing w:line="360" w:lineRule="auto"/>
        <w:rPr>
          <w:rFonts w:ascii="宋体" w:hAnsi="宋体" w:cs="宋体"/>
          <w:szCs w:val="21"/>
          <w:u w:val="single"/>
        </w:rPr>
      </w:pPr>
      <w:r>
        <w:rPr>
          <w:rFonts w:hint="eastAsia" w:ascii="宋体" w:hAnsi="宋体" w:cs="宋体"/>
          <w:b/>
          <w:szCs w:val="21"/>
        </w:rPr>
        <w:t>见证方（全称）：</w:t>
      </w:r>
      <w:r>
        <w:rPr>
          <w:rFonts w:hint="eastAsia" w:ascii="宋体" w:hAnsi="宋体" w:cs="宋体"/>
          <w:b/>
          <w:szCs w:val="21"/>
          <w:u w:val="single"/>
        </w:rPr>
        <w:t>江苏唯诚建设咨询有限公司</w:t>
      </w:r>
    </w:p>
    <w:p>
      <w:pPr>
        <w:spacing w:line="360" w:lineRule="auto"/>
        <w:ind w:firstLine="420" w:firstLineChars="200"/>
        <w:rPr>
          <w:rFonts w:ascii="宋体" w:hAnsi="宋体" w:cs="宋体"/>
          <w:szCs w:val="21"/>
        </w:rPr>
      </w:pPr>
      <w:r>
        <w:rPr>
          <w:rFonts w:hint="eastAsia" w:ascii="宋体" w:hAnsi="宋体" w:cs="宋体"/>
          <w:szCs w:val="21"/>
        </w:rPr>
        <w:t>根据《中华人民共和国民法典》、《中华人民共和国建筑法》及有关法律规定，遵循平等、自愿、公平和诚实信用的原则，双方就</w:t>
      </w:r>
      <w:r>
        <w:rPr>
          <w:rFonts w:hint="eastAsia" w:ascii="宋体" w:hAnsi="宋体" w:cs="宋体"/>
          <w:szCs w:val="21"/>
          <w:u w:val="single"/>
        </w:rPr>
        <w:t xml:space="preserve">  扬州市职业大学2024年度室内外装饰装潢、土建工程零星维修施工单位遴选项目  </w:t>
      </w:r>
      <w:r>
        <w:rPr>
          <w:rFonts w:hint="eastAsia" w:ascii="宋体" w:hAnsi="宋体" w:cs="宋体"/>
          <w:szCs w:val="21"/>
        </w:rPr>
        <w:t>施工及有关事项协商一致，共同达成如下协议：</w:t>
      </w:r>
    </w:p>
    <w:p>
      <w:pPr>
        <w:spacing w:line="420" w:lineRule="exact"/>
        <w:ind w:firstLine="422" w:firstLineChars="200"/>
        <w:rPr>
          <w:rFonts w:ascii="宋体" w:hAnsi="宋体" w:cs="宋体"/>
          <w:szCs w:val="21"/>
        </w:rPr>
      </w:pPr>
      <w:r>
        <w:rPr>
          <w:rFonts w:hint="eastAsia" w:ascii="宋体" w:hAnsi="宋体" w:cs="宋体"/>
          <w:b/>
          <w:szCs w:val="21"/>
        </w:rPr>
        <w:t>一、工程概况</w:t>
      </w:r>
    </w:p>
    <w:p>
      <w:pPr>
        <w:spacing w:line="420" w:lineRule="exact"/>
        <w:ind w:firstLine="420" w:firstLineChars="200"/>
        <w:rPr>
          <w:rFonts w:ascii="宋体" w:hAnsi="宋体" w:cs="宋体"/>
          <w:szCs w:val="21"/>
          <w:u w:val="single"/>
        </w:rPr>
      </w:pPr>
      <w:r>
        <w:rPr>
          <w:rFonts w:hint="eastAsia" w:ascii="宋体" w:hAnsi="宋体" w:cs="宋体"/>
          <w:szCs w:val="21"/>
        </w:rPr>
        <w:t>1.1工程名称：</w:t>
      </w:r>
      <w:r>
        <w:rPr>
          <w:rFonts w:hint="eastAsia" w:hAnsi="宋体"/>
          <w:u w:val="single"/>
        </w:rPr>
        <w:t xml:space="preserve"> 2024年度室内外装饰装潢、土建工程零星维修施工单位遴选项目 </w:t>
      </w:r>
    </w:p>
    <w:p>
      <w:pPr>
        <w:spacing w:line="420" w:lineRule="exact"/>
        <w:ind w:firstLine="415" w:firstLineChars="198"/>
        <w:rPr>
          <w:rFonts w:ascii="宋体" w:hAnsi="宋体" w:cs="宋体"/>
          <w:bCs/>
          <w:snapToGrid w:val="0"/>
          <w:szCs w:val="21"/>
          <w:u w:val="single"/>
        </w:rPr>
      </w:pPr>
      <w:r>
        <w:rPr>
          <w:rFonts w:hint="eastAsia" w:ascii="宋体" w:hAnsi="宋体" w:cs="宋体"/>
          <w:bCs/>
          <w:szCs w:val="21"/>
        </w:rPr>
        <w:t>1.2</w:t>
      </w:r>
      <w:r>
        <w:rPr>
          <w:rFonts w:hint="eastAsia" w:ascii="宋体" w:hAnsi="宋体" w:cs="宋体"/>
          <w:szCs w:val="21"/>
        </w:rPr>
        <w:t>工程地点：</w:t>
      </w:r>
      <w:r>
        <w:rPr>
          <w:rFonts w:hint="eastAsia" w:ascii="宋体" w:hAnsi="宋体" w:cs="宋体"/>
          <w:bCs/>
          <w:szCs w:val="21"/>
          <w:u w:val="single"/>
        </w:rPr>
        <w:t>扬州市职业大学校园内</w:t>
      </w:r>
    </w:p>
    <w:p>
      <w:pPr>
        <w:spacing w:line="420" w:lineRule="exact"/>
        <w:ind w:firstLine="421"/>
        <w:rPr>
          <w:rFonts w:ascii="宋体" w:hAnsi="宋体" w:cs="宋体"/>
          <w:szCs w:val="21"/>
        </w:rPr>
      </w:pPr>
      <w:r>
        <w:rPr>
          <w:rFonts w:hint="eastAsia" w:ascii="宋体" w:hAnsi="宋体" w:cs="宋体"/>
          <w:szCs w:val="21"/>
        </w:rPr>
        <w:t>1.</w:t>
      </w:r>
      <w:r>
        <w:rPr>
          <w:rFonts w:ascii="宋体" w:hAnsi="宋体" w:cs="宋体"/>
          <w:szCs w:val="21"/>
        </w:rPr>
        <w:t>3</w:t>
      </w:r>
      <w:r>
        <w:rPr>
          <w:rFonts w:hint="eastAsia" w:ascii="宋体" w:hAnsi="宋体" w:cs="宋体"/>
          <w:szCs w:val="21"/>
        </w:rPr>
        <w:t>工程承包范围：</w:t>
      </w:r>
    </w:p>
    <w:p>
      <w:pPr>
        <w:spacing w:line="420" w:lineRule="exact"/>
        <w:ind w:firstLine="420" w:firstLineChars="200"/>
        <w:rPr>
          <w:rFonts w:ascii="宋体" w:hAnsi="宋体" w:cs="宋体"/>
          <w:szCs w:val="21"/>
        </w:rPr>
      </w:pPr>
      <w:r>
        <w:rPr>
          <w:rFonts w:hint="eastAsia" w:ascii="宋体" w:hAnsi="宋体" w:cs="宋体"/>
          <w:szCs w:val="21"/>
        </w:rPr>
        <w:t>1.4资金来源：财政拨款</w:t>
      </w:r>
    </w:p>
    <w:p>
      <w:pPr>
        <w:pStyle w:val="61"/>
        <w:spacing w:line="420" w:lineRule="exact"/>
        <w:ind w:left="0" w:firstLine="422" w:firstLineChars="200"/>
        <w:rPr>
          <w:rFonts w:ascii="宋体" w:hAnsi="宋体" w:cs="宋体"/>
          <w:b/>
          <w:sz w:val="21"/>
          <w:szCs w:val="21"/>
          <w:lang w:eastAsia="zh-CN"/>
        </w:rPr>
      </w:pPr>
      <w:r>
        <w:rPr>
          <w:rFonts w:hint="eastAsia" w:ascii="宋体" w:hAnsi="宋体" w:cs="宋体"/>
          <w:b/>
          <w:sz w:val="21"/>
          <w:szCs w:val="21"/>
          <w:lang w:eastAsia="zh-CN"/>
        </w:rPr>
        <w:t>二、合同工期</w:t>
      </w:r>
    </w:p>
    <w:p>
      <w:pPr>
        <w:spacing w:line="420" w:lineRule="exact"/>
        <w:ind w:firstLine="420" w:firstLineChars="200"/>
        <w:rPr>
          <w:rFonts w:ascii="宋体" w:hAnsi="宋体" w:cs="宋体"/>
          <w:szCs w:val="21"/>
        </w:rPr>
      </w:pPr>
      <w:r>
        <w:rPr>
          <w:rFonts w:hint="eastAsia" w:ascii="宋体" w:hAnsi="宋体" w:cs="宋体"/>
          <w:szCs w:val="21"/>
        </w:rPr>
        <w:t>2.1合同履约期限：</w:t>
      </w:r>
      <w:r>
        <w:rPr>
          <w:rFonts w:hint="eastAsia" w:ascii="宋体" w:hAnsi="宋体" w:cs="宋体"/>
          <w:szCs w:val="21"/>
          <w:u w:val="single"/>
          <w:lang w:eastAsia="zh-CN"/>
        </w:rPr>
        <w:t>2024年11月30日</w:t>
      </w:r>
      <w:r>
        <w:rPr>
          <w:rFonts w:hint="eastAsia" w:ascii="宋体" w:hAnsi="宋体" w:cs="宋体"/>
          <w:szCs w:val="21"/>
          <w:u w:val="single"/>
        </w:rPr>
        <w:t>止（自合同签订之日起）</w:t>
      </w:r>
      <w:r>
        <w:rPr>
          <w:rFonts w:hint="eastAsia" w:ascii="宋体" w:hAnsi="宋体" w:cs="宋体"/>
          <w:szCs w:val="21"/>
        </w:rPr>
        <w:t>。</w:t>
      </w:r>
    </w:p>
    <w:p>
      <w:pPr>
        <w:spacing w:line="420" w:lineRule="exact"/>
        <w:ind w:firstLine="420" w:firstLineChars="200"/>
        <w:rPr>
          <w:rFonts w:ascii="宋体" w:hAnsi="宋体" w:cs="宋体"/>
          <w:szCs w:val="21"/>
        </w:rPr>
      </w:pPr>
      <w:r>
        <w:rPr>
          <w:rFonts w:hint="eastAsia" w:ascii="宋体" w:hAnsi="宋体" w:cs="宋体"/>
          <w:szCs w:val="21"/>
        </w:rPr>
        <w:t>2.</w:t>
      </w:r>
      <w:r>
        <w:rPr>
          <w:rFonts w:ascii="宋体" w:hAnsi="宋体" w:cs="宋体"/>
          <w:szCs w:val="21"/>
        </w:rPr>
        <w:t>2</w:t>
      </w:r>
      <w:r>
        <w:rPr>
          <w:rFonts w:hint="eastAsia" w:ascii="宋体" w:hAnsi="宋体" w:cs="宋体"/>
          <w:szCs w:val="21"/>
        </w:rPr>
        <w:t>除不可抗力、非发包人原因外，每延误一天，承包人向发包人支付违约金 1000 元，逾十天以上者，违约金加倍。</w:t>
      </w:r>
    </w:p>
    <w:p>
      <w:pPr>
        <w:snapToGrid w:val="0"/>
        <w:spacing w:line="420" w:lineRule="exact"/>
        <w:ind w:firstLine="422" w:firstLineChars="200"/>
        <w:rPr>
          <w:rFonts w:ascii="宋体" w:hAnsi="宋体" w:cs="宋体"/>
          <w:b/>
          <w:szCs w:val="21"/>
        </w:rPr>
      </w:pPr>
      <w:r>
        <w:rPr>
          <w:rFonts w:hint="eastAsia" w:ascii="宋体" w:hAnsi="宋体" w:cs="宋体"/>
          <w:b/>
          <w:szCs w:val="21"/>
        </w:rPr>
        <w:t>三、质量标准</w:t>
      </w:r>
    </w:p>
    <w:p>
      <w:pPr>
        <w:pStyle w:val="91"/>
        <w:snapToGrid w:val="0"/>
        <w:spacing w:before="0" w:after="0" w:line="420" w:lineRule="exact"/>
        <w:ind w:left="0" w:right="0" w:firstLine="420" w:firstLineChars="200"/>
        <w:rPr>
          <w:rFonts w:ascii="宋体" w:hAnsi="宋体" w:cs="宋体"/>
          <w:sz w:val="21"/>
          <w:szCs w:val="21"/>
        </w:rPr>
      </w:pPr>
      <w:r>
        <w:rPr>
          <w:rFonts w:hint="eastAsia" w:ascii="宋体" w:hAnsi="宋体" w:cs="宋体"/>
          <w:sz w:val="21"/>
          <w:szCs w:val="21"/>
        </w:rPr>
        <w:t>3.1质量要求：要求工程必须一次性验收达到合格标准。如达不到合同约定质量要求，承包方需向发包方支付合同价的5%的违约金。施工过程中由于承包人原因出现质量问题所造成一切经济损失由承包人负责。</w:t>
      </w:r>
    </w:p>
    <w:p>
      <w:pPr>
        <w:snapToGrid w:val="0"/>
        <w:spacing w:line="420" w:lineRule="exact"/>
        <w:ind w:firstLine="422" w:firstLineChars="200"/>
        <w:rPr>
          <w:rFonts w:ascii="宋体" w:hAnsi="宋体" w:cs="宋体"/>
          <w:b/>
          <w:szCs w:val="21"/>
        </w:rPr>
      </w:pPr>
      <w:r>
        <w:rPr>
          <w:rFonts w:hint="eastAsia" w:ascii="宋体" w:hAnsi="宋体" w:cs="宋体"/>
          <w:b/>
          <w:szCs w:val="21"/>
        </w:rPr>
        <w:t>四、合同价款</w:t>
      </w:r>
    </w:p>
    <w:p>
      <w:pPr>
        <w:snapToGrid w:val="0"/>
        <w:spacing w:line="420" w:lineRule="exact"/>
        <w:ind w:firstLine="420" w:firstLineChars="200"/>
        <w:rPr>
          <w:rFonts w:ascii="宋体" w:hAnsi="宋体" w:cs="宋体"/>
          <w:szCs w:val="21"/>
          <w:u w:val="single"/>
        </w:rPr>
      </w:pPr>
      <w:r>
        <w:rPr>
          <w:rFonts w:hint="eastAsia" w:ascii="宋体" w:hAnsi="宋体" w:cs="宋体"/>
          <w:szCs w:val="21"/>
        </w:rPr>
        <w:t>4.1签约合同价为：人民币（大写）</w:t>
      </w:r>
    </w:p>
    <w:p>
      <w:pPr>
        <w:snapToGrid w:val="0"/>
        <w:spacing w:line="420" w:lineRule="exact"/>
        <w:ind w:firstLine="308" w:firstLineChars="147"/>
        <w:rPr>
          <w:rFonts w:ascii="宋体" w:hAnsi="宋体" w:cs="宋体"/>
          <w:szCs w:val="21"/>
        </w:rPr>
      </w:pPr>
      <w:r>
        <w:rPr>
          <w:rFonts w:hint="eastAsia" w:ascii="宋体" w:hAnsi="宋体" w:cs="宋体"/>
          <w:szCs w:val="21"/>
        </w:rPr>
        <w:t>（以上造价为合同价格（预算价），最终造价按审计部门审计造价进行结算。）</w:t>
      </w:r>
    </w:p>
    <w:p>
      <w:pPr>
        <w:snapToGrid w:val="0"/>
        <w:spacing w:line="420" w:lineRule="exact"/>
        <w:ind w:firstLine="420" w:firstLineChars="200"/>
        <w:rPr>
          <w:rFonts w:ascii="宋体" w:hAnsi="宋体" w:cs="宋体"/>
          <w:szCs w:val="21"/>
        </w:rPr>
      </w:pPr>
      <w:r>
        <w:rPr>
          <w:rFonts w:hint="eastAsia" w:ascii="宋体" w:hAnsi="宋体" w:cs="宋体"/>
          <w:szCs w:val="21"/>
        </w:rPr>
        <w:t>4.2工程变更价控制在合同价款（预算价）的10%以内，并且经审计后的结算价不得超过0.5万元。超出0.5万元以外的工程量由承包人承担。</w:t>
      </w:r>
    </w:p>
    <w:p>
      <w:pPr>
        <w:snapToGrid w:val="0"/>
        <w:spacing w:line="420" w:lineRule="exact"/>
        <w:ind w:firstLine="411" w:firstLineChars="196"/>
        <w:rPr>
          <w:rFonts w:ascii="宋体" w:hAnsi="宋体" w:cs="宋体"/>
          <w:szCs w:val="21"/>
        </w:rPr>
      </w:pPr>
      <w:r>
        <w:rPr>
          <w:rFonts w:hint="eastAsia" w:ascii="宋体" w:hAnsi="宋体" w:cs="宋体"/>
          <w:szCs w:val="21"/>
        </w:rPr>
        <w:t>4.3双方约定的工程款支付的方式和时间:</w:t>
      </w:r>
    </w:p>
    <w:p>
      <w:pPr>
        <w:pStyle w:val="91"/>
        <w:snapToGrid w:val="0"/>
        <w:spacing w:before="0" w:after="0" w:line="420" w:lineRule="exact"/>
        <w:ind w:left="0" w:right="0" w:firstLine="420" w:firstLineChars="200"/>
        <w:rPr>
          <w:rFonts w:ascii="宋体" w:hAnsi="宋体" w:cs="宋体"/>
          <w:sz w:val="21"/>
          <w:szCs w:val="21"/>
          <w:u w:val="single"/>
        </w:rPr>
      </w:pPr>
      <w:r>
        <w:rPr>
          <w:rFonts w:hint="eastAsia" w:ascii="宋体" w:hAnsi="宋体" w:cs="宋体"/>
          <w:sz w:val="21"/>
          <w:szCs w:val="21"/>
          <w:u w:val="single"/>
        </w:rPr>
        <w:t>自合同签订后5个工作日，向发包人支付捌仟元履约保证金，合同履约期限结束后，在竣工验收两年后无质量问题且无违约行为退还（无息）。每个0.5万元以下零星工程项目不再单独预留保证金。</w:t>
      </w:r>
    </w:p>
    <w:p>
      <w:pPr>
        <w:spacing w:line="420" w:lineRule="exact"/>
        <w:ind w:firstLine="420" w:firstLineChars="200"/>
        <w:jc w:val="left"/>
        <w:rPr>
          <w:szCs w:val="21"/>
          <w:u w:val="single"/>
        </w:rPr>
      </w:pPr>
      <w:r>
        <w:rPr>
          <w:rFonts w:hint="eastAsia"/>
          <w:szCs w:val="21"/>
          <w:u w:val="single"/>
        </w:rPr>
        <w:t>每个0.5万元以下零星工程竣工验收合格，审计结束，竣工资料齐备移交后，付至审定价的</w:t>
      </w:r>
      <w:r>
        <w:rPr>
          <w:szCs w:val="21"/>
          <w:u w:val="single"/>
        </w:rPr>
        <w:t>100</w:t>
      </w:r>
      <w:r>
        <w:rPr>
          <w:rFonts w:hint="eastAsia"/>
          <w:szCs w:val="21"/>
          <w:u w:val="single"/>
        </w:rPr>
        <w:t>%。</w:t>
      </w:r>
    </w:p>
    <w:p>
      <w:pPr>
        <w:spacing w:line="420" w:lineRule="exact"/>
        <w:ind w:firstLine="435"/>
        <w:rPr>
          <w:rFonts w:ascii="宋体" w:hAnsi="宋体" w:cs="宋体"/>
          <w:szCs w:val="21"/>
        </w:rPr>
      </w:pPr>
      <w:r>
        <w:rPr>
          <w:rFonts w:hint="eastAsia" w:ascii="宋体" w:hAnsi="宋体" w:cs="宋体"/>
          <w:szCs w:val="21"/>
        </w:rPr>
        <w:t>4.4竣工结算审计</w:t>
      </w:r>
    </w:p>
    <w:p>
      <w:pPr>
        <w:spacing w:line="420" w:lineRule="exact"/>
        <w:ind w:firstLine="435"/>
        <w:rPr>
          <w:rFonts w:ascii="宋体" w:hAnsi="宋体" w:cs="宋体"/>
          <w:szCs w:val="21"/>
        </w:rPr>
      </w:pPr>
      <w:r>
        <w:rPr>
          <w:rFonts w:hint="eastAsia" w:ascii="宋体" w:hAnsi="宋体" w:cs="宋体"/>
          <w:szCs w:val="21"/>
        </w:rPr>
        <w:t>1）工程竣工验收合格后1个月内须报送结算审计资料；</w:t>
      </w:r>
    </w:p>
    <w:p>
      <w:pPr>
        <w:spacing w:line="420" w:lineRule="exact"/>
        <w:ind w:firstLine="435"/>
        <w:rPr>
          <w:rFonts w:ascii="宋体" w:hAnsi="宋体" w:cs="宋体"/>
          <w:szCs w:val="21"/>
        </w:rPr>
      </w:pPr>
      <w:r>
        <w:rPr>
          <w:rFonts w:hint="eastAsia" w:ascii="宋体" w:hAnsi="宋体" w:cs="宋体"/>
          <w:szCs w:val="21"/>
        </w:rPr>
        <w:t>2）学校建设项目结算审计，应按下列规定支付审计费用：</w:t>
      </w:r>
    </w:p>
    <w:p>
      <w:pPr>
        <w:spacing w:line="420" w:lineRule="exact"/>
        <w:ind w:firstLine="435"/>
        <w:rPr>
          <w:rFonts w:ascii="宋体" w:hAnsi="宋体" w:cs="宋体"/>
          <w:szCs w:val="21"/>
        </w:rPr>
      </w:pPr>
      <w:r>
        <w:rPr>
          <w:rFonts w:hint="eastAsia" w:ascii="宋体" w:hAnsi="宋体" w:cs="宋体"/>
          <w:szCs w:val="21"/>
        </w:rPr>
        <w:t>①单项工程核减率超过10%的，其审计费用全部由施工单位承担，并由学校从施工单位工程款中扣除（下同）；</w:t>
      </w:r>
    </w:p>
    <w:p>
      <w:pPr>
        <w:spacing w:line="420" w:lineRule="exact"/>
        <w:ind w:firstLine="435"/>
        <w:rPr>
          <w:rFonts w:ascii="宋体" w:hAnsi="宋体" w:cs="宋体"/>
          <w:szCs w:val="21"/>
        </w:rPr>
      </w:pPr>
      <w:r>
        <w:rPr>
          <w:rFonts w:hint="eastAsia" w:ascii="宋体" w:hAnsi="宋体" w:cs="宋体"/>
          <w:szCs w:val="21"/>
        </w:rPr>
        <w:t>②单项工程核减率在8%—10%（含10%）之间的，其审计费用由学校承担20%，施工单位承担80%；</w:t>
      </w:r>
    </w:p>
    <w:p>
      <w:pPr>
        <w:spacing w:line="420" w:lineRule="exact"/>
        <w:ind w:firstLine="435"/>
        <w:rPr>
          <w:rFonts w:ascii="宋体" w:hAnsi="宋体" w:cs="宋体"/>
          <w:szCs w:val="21"/>
        </w:rPr>
      </w:pPr>
      <w:r>
        <w:rPr>
          <w:rFonts w:hint="eastAsia" w:ascii="宋体" w:hAnsi="宋体" w:cs="宋体"/>
          <w:szCs w:val="21"/>
        </w:rPr>
        <w:t>③单项工程核减率在5%—8%（含8%）之间的，其审计费用由施工单位承担20%，学校承担80%；</w:t>
      </w:r>
    </w:p>
    <w:p>
      <w:pPr>
        <w:spacing w:line="420" w:lineRule="exact"/>
        <w:ind w:firstLine="435"/>
        <w:rPr>
          <w:rFonts w:ascii="宋体" w:hAnsi="宋体" w:cs="宋体"/>
          <w:szCs w:val="21"/>
        </w:rPr>
      </w:pPr>
      <w:r>
        <w:rPr>
          <w:rFonts w:hint="eastAsia" w:ascii="宋体" w:hAnsi="宋体" w:cs="宋体"/>
          <w:szCs w:val="21"/>
        </w:rPr>
        <w:t>④单项工程核减率在5%及其以下的，其审计费用由学校承担。</w:t>
      </w:r>
    </w:p>
    <w:p>
      <w:pPr>
        <w:spacing w:line="420" w:lineRule="exact"/>
        <w:ind w:firstLine="435"/>
        <w:rPr>
          <w:rFonts w:ascii="宋体" w:hAnsi="宋体" w:cs="宋体"/>
          <w:szCs w:val="21"/>
        </w:rPr>
      </w:pPr>
      <w:r>
        <w:rPr>
          <w:rFonts w:hint="eastAsia" w:ascii="宋体" w:hAnsi="宋体" w:cs="宋体"/>
          <w:szCs w:val="21"/>
        </w:rPr>
        <w:t>核减率=（送审价—审定价）/送审价，送审价指施工单位送审第一稿结算价。审定价指审计最终核定金额。</w:t>
      </w:r>
    </w:p>
    <w:p>
      <w:pPr>
        <w:snapToGrid w:val="0"/>
        <w:spacing w:line="420" w:lineRule="exact"/>
        <w:ind w:firstLine="422" w:firstLineChars="200"/>
        <w:rPr>
          <w:rFonts w:ascii="宋体" w:hAnsi="宋体" w:cs="宋体"/>
          <w:b/>
          <w:szCs w:val="21"/>
        </w:rPr>
      </w:pPr>
      <w:r>
        <w:rPr>
          <w:rFonts w:hint="eastAsia" w:ascii="宋体" w:hAnsi="宋体" w:cs="宋体"/>
          <w:b/>
          <w:szCs w:val="21"/>
        </w:rPr>
        <w:t>五、双方的责任和义务：</w:t>
      </w:r>
    </w:p>
    <w:p>
      <w:pPr>
        <w:snapToGrid w:val="0"/>
        <w:spacing w:line="420" w:lineRule="exact"/>
        <w:ind w:firstLine="420" w:firstLineChars="200"/>
        <w:rPr>
          <w:rFonts w:ascii="宋体" w:hAnsi="宋体" w:cs="宋体"/>
          <w:szCs w:val="21"/>
        </w:rPr>
      </w:pPr>
      <w:r>
        <w:rPr>
          <w:rFonts w:ascii="宋体" w:hAnsi="宋体" w:cs="宋体"/>
          <w:szCs w:val="21"/>
        </w:rPr>
        <w:t>5.1</w:t>
      </w:r>
      <w:r>
        <w:rPr>
          <w:rFonts w:hint="eastAsia" w:ascii="宋体" w:hAnsi="宋体" w:cs="宋体"/>
          <w:szCs w:val="21"/>
        </w:rPr>
        <w:t>承包人应严格按专业施工规范施工，主管技术人员必须到场，工地应有安全保卫措施，并承担竣工交付前的保险业务。</w:t>
      </w:r>
    </w:p>
    <w:p>
      <w:pPr>
        <w:snapToGrid w:val="0"/>
        <w:spacing w:line="420" w:lineRule="exact"/>
        <w:ind w:firstLine="420" w:firstLineChars="200"/>
        <w:rPr>
          <w:rFonts w:ascii="宋体" w:hAnsi="宋体" w:cs="宋体"/>
          <w:szCs w:val="21"/>
        </w:rPr>
      </w:pPr>
      <w:r>
        <w:rPr>
          <w:rFonts w:ascii="宋体" w:hAnsi="宋体" w:cs="宋体"/>
          <w:szCs w:val="21"/>
        </w:rPr>
        <w:t>5.2</w:t>
      </w:r>
      <w:r>
        <w:rPr>
          <w:rFonts w:hint="eastAsia" w:ascii="宋体" w:hAnsi="宋体" w:cs="宋体"/>
          <w:szCs w:val="21"/>
        </w:rPr>
        <w:t>承包人承担工程建设过程中的所有人身和财产安全责任，发包人概不负责。</w:t>
      </w:r>
    </w:p>
    <w:p>
      <w:pPr>
        <w:snapToGrid w:val="0"/>
        <w:spacing w:line="420" w:lineRule="exact"/>
        <w:ind w:firstLine="420" w:firstLineChars="200"/>
        <w:rPr>
          <w:rFonts w:ascii="宋体" w:hAnsi="宋体" w:cs="宋体"/>
          <w:szCs w:val="21"/>
        </w:rPr>
      </w:pPr>
      <w:r>
        <w:rPr>
          <w:rFonts w:ascii="宋体" w:hAnsi="宋体" w:cs="宋体"/>
          <w:szCs w:val="21"/>
        </w:rPr>
        <w:t>5.3</w:t>
      </w:r>
      <w:r>
        <w:rPr>
          <w:rFonts w:hint="eastAsia" w:ascii="宋体" w:hAnsi="宋体" w:cs="宋体"/>
          <w:szCs w:val="21"/>
        </w:rPr>
        <w:t>承包人采购材料、设备（附清单）必须符合有关规范、设计图纸和施工要求规定的质量要求，有质量保证书及材质试验单等相关质保文件，且经发包人认可。</w:t>
      </w:r>
    </w:p>
    <w:p>
      <w:pPr>
        <w:snapToGrid w:val="0"/>
        <w:spacing w:line="420" w:lineRule="exact"/>
        <w:ind w:firstLine="420" w:firstLineChars="200"/>
        <w:rPr>
          <w:rFonts w:ascii="宋体" w:hAnsi="宋体" w:cs="宋体"/>
          <w:szCs w:val="21"/>
        </w:rPr>
      </w:pPr>
      <w:r>
        <w:rPr>
          <w:rFonts w:ascii="宋体" w:hAnsi="宋体" w:cs="宋体"/>
          <w:szCs w:val="21"/>
        </w:rPr>
        <w:t>5.4</w:t>
      </w:r>
      <w:r>
        <w:rPr>
          <w:rFonts w:hint="eastAsia" w:ascii="宋体" w:hAnsi="宋体" w:cs="宋体"/>
          <w:szCs w:val="21"/>
        </w:rPr>
        <w:t>承包人指派同志负责施工，以保证质量，并接受发包人现场监督。发包人指派同志任工地发包人代表，进行质量、工期、造价控制和施工管理监督。</w:t>
      </w:r>
    </w:p>
    <w:p>
      <w:pPr>
        <w:snapToGrid w:val="0"/>
        <w:spacing w:line="420" w:lineRule="exact"/>
        <w:ind w:firstLine="420" w:firstLineChars="200"/>
        <w:rPr>
          <w:rFonts w:ascii="宋体" w:hAnsi="宋体" w:cs="宋体"/>
          <w:szCs w:val="21"/>
        </w:rPr>
      </w:pPr>
      <w:r>
        <w:rPr>
          <w:rFonts w:ascii="宋体" w:hAnsi="宋体" w:cs="宋体"/>
          <w:szCs w:val="21"/>
        </w:rPr>
        <w:t>5.5</w:t>
      </w:r>
      <w:r>
        <w:rPr>
          <w:rFonts w:hint="eastAsia" w:ascii="宋体" w:hAnsi="宋体" w:cs="宋体"/>
          <w:szCs w:val="21"/>
        </w:rPr>
        <w:t>承包人应保证周围建筑物安全不受施工影响，施工过程中如发现地下管线及其他设施，在发包人代表下达指令前予以保护好。若有损坏，承包人必须无条件及时修复并承担由此发生的各种费用。</w:t>
      </w:r>
    </w:p>
    <w:p>
      <w:pPr>
        <w:snapToGrid w:val="0"/>
        <w:spacing w:line="420" w:lineRule="exact"/>
        <w:ind w:firstLine="420" w:firstLineChars="200"/>
        <w:rPr>
          <w:rFonts w:ascii="宋体" w:hAnsi="宋体" w:cs="宋体"/>
          <w:szCs w:val="21"/>
        </w:rPr>
      </w:pPr>
      <w:r>
        <w:rPr>
          <w:rFonts w:ascii="宋体" w:hAnsi="宋体" w:cs="宋体"/>
          <w:szCs w:val="21"/>
        </w:rPr>
        <w:t>5.6</w:t>
      </w:r>
      <w:r>
        <w:rPr>
          <w:rFonts w:hint="eastAsia" w:ascii="宋体" w:hAnsi="宋体" w:cs="宋体"/>
          <w:szCs w:val="21"/>
        </w:rPr>
        <w:t>隐蔽工程，必须由发包人和审计处相关同志到场验收后方可进行下一步施工。</w:t>
      </w:r>
    </w:p>
    <w:p>
      <w:pPr>
        <w:snapToGrid w:val="0"/>
        <w:spacing w:line="420" w:lineRule="exact"/>
        <w:ind w:firstLine="420" w:firstLineChars="200"/>
        <w:rPr>
          <w:rFonts w:ascii="宋体" w:hAnsi="宋体" w:cs="宋体"/>
          <w:szCs w:val="21"/>
        </w:rPr>
      </w:pPr>
      <w:r>
        <w:rPr>
          <w:rFonts w:ascii="宋体" w:hAnsi="宋体" w:cs="宋体"/>
          <w:szCs w:val="21"/>
        </w:rPr>
        <w:t>5.7</w:t>
      </w:r>
      <w:r>
        <w:rPr>
          <w:rFonts w:hint="eastAsia" w:ascii="宋体" w:hAnsi="宋体" w:cs="宋体"/>
          <w:szCs w:val="21"/>
        </w:rPr>
        <w:t>本工程中发生的所有非定额范围内的用工每项次签证点工在10个工日以内或签证金额在500元以内，由工地发包人代表签认即可（变更不得超过2%），超过以上标准的按学校有关规定执行，凡变更项目必须在发包人同意变更之日起十日内予以签证，否则，发包人认为变更不产生费用和工期延期，无须签证。</w:t>
      </w:r>
    </w:p>
    <w:p>
      <w:pPr>
        <w:snapToGrid w:val="0"/>
        <w:spacing w:line="420" w:lineRule="exact"/>
        <w:ind w:firstLine="420" w:firstLineChars="200"/>
        <w:rPr>
          <w:rFonts w:ascii="宋体" w:hAnsi="宋体" w:cs="宋体"/>
          <w:szCs w:val="21"/>
        </w:rPr>
      </w:pPr>
      <w:r>
        <w:rPr>
          <w:rFonts w:ascii="宋体" w:hAnsi="宋体" w:cs="宋体"/>
          <w:szCs w:val="21"/>
        </w:rPr>
        <w:t>5.8</w:t>
      </w:r>
      <w:r>
        <w:rPr>
          <w:rFonts w:hint="eastAsia" w:ascii="宋体" w:hAnsi="宋体" w:cs="宋体"/>
          <w:szCs w:val="21"/>
        </w:rPr>
        <w:t>达不到约定的质量等级承包人必须返工，直至达到约定的质量等级，返工费用承包人自理，并赔偿由此给发包人造成的损失。</w:t>
      </w:r>
    </w:p>
    <w:p>
      <w:pPr>
        <w:snapToGrid w:val="0"/>
        <w:spacing w:line="420" w:lineRule="exact"/>
        <w:ind w:firstLine="420" w:firstLineChars="200"/>
        <w:rPr>
          <w:rFonts w:ascii="宋体" w:hAnsi="宋体" w:cs="宋体"/>
          <w:szCs w:val="21"/>
        </w:rPr>
      </w:pPr>
      <w:r>
        <w:rPr>
          <w:rFonts w:ascii="宋体" w:hAnsi="宋体" w:cs="宋体"/>
          <w:szCs w:val="21"/>
        </w:rPr>
        <w:t>5.9</w:t>
      </w:r>
      <w:r>
        <w:rPr>
          <w:rFonts w:hint="eastAsia" w:ascii="宋体" w:hAnsi="宋体" w:cs="宋体"/>
          <w:szCs w:val="21"/>
        </w:rPr>
        <w:t>文明施工：承包人必须保证施工场地内的整洁卫生，工作人员的言行，必须符合校园精神文明要求，对施工噪音的控制必须符合扬州市有关规定，在正常教学时间，以不影响教学为前提。</w:t>
      </w:r>
    </w:p>
    <w:p>
      <w:pPr>
        <w:snapToGrid w:val="0"/>
        <w:spacing w:line="420" w:lineRule="exact"/>
        <w:ind w:firstLine="420" w:firstLineChars="200"/>
        <w:rPr>
          <w:rFonts w:ascii="宋体" w:hAnsi="宋体" w:cs="宋体"/>
          <w:szCs w:val="21"/>
        </w:rPr>
      </w:pPr>
      <w:r>
        <w:rPr>
          <w:rFonts w:ascii="宋体" w:hAnsi="宋体" w:cs="宋体"/>
          <w:szCs w:val="21"/>
        </w:rPr>
        <w:t>5.10</w:t>
      </w:r>
      <w:r>
        <w:rPr>
          <w:rFonts w:hint="eastAsia" w:ascii="宋体" w:hAnsi="宋体" w:cs="宋体"/>
          <w:szCs w:val="21"/>
        </w:rPr>
        <w:t>工程竣工后的两年内，承包人承担保修义务。</w:t>
      </w:r>
    </w:p>
    <w:p>
      <w:pPr>
        <w:snapToGrid w:val="0"/>
        <w:spacing w:line="420" w:lineRule="exact"/>
        <w:ind w:firstLine="420" w:firstLineChars="200"/>
        <w:rPr>
          <w:rFonts w:ascii="宋体" w:hAnsi="宋体" w:cs="宋体"/>
          <w:szCs w:val="21"/>
        </w:rPr>
      </w:pPr>
      <w:r>
        <w:rPr>
          <w:rFonts w:hint="eastAsia" w:ascii="宋体" w:hAnsi="宋体" w:cs="宋体"/>
          <w:szCs w:val="21"/>
        </w:rPr>
        <w:t>5</w:t>
      </w:r>
      <w:r>
        <w:rPr>
          <w:rFonts w:ascii="宋体" w:hAnsi="宋体" w:cs="宋体"/>
          <w:szCs w:val="21"/>
        </w:rPr>
        <w:t>.11</w:t>
      </w:r>
      <w:r>
        <w:rPr>
          <w:rFonts w:hint="eastAsia" w:ascii="宋体" w:hAnsi="宋体" w:cs="宋体"/>
          <w:szCs w:val="21"/>
        </w:rPr>
        <w:t>技术资料、图纸提供办法及保密要求：竣工后一个月内承包人向发包人提供两套完整的竣工图及相关资料，并不得将发包人单位相关资料外泄。</w:t>
      </w:r>
    </w:p>
    <w:p>
      <w:pPr>
        <w:snapToGrid w:val="0"/>
        <w:spacing w:line="420" w:lineRule="exact"/>
        <w:ind w:firstLine="420" w:firstLineChars="200"/>
        <w:rPr>
          <w:rFonts w:ascii="宋体" w:hAnsi="宋体" w:cs="宋体"/>
          <w:szCs w:val="21"/>
        </w:rPr>
      </w:pPr>
      <w:r>
        <w:rPr>
          <w:rFonts w:hint="eastAsia" w:ascii="宋体" w:hAnsi="宋体" w:cs="宋体"/>
          <w:szCs w:val="21"/>
        </w:rPr>
        <w:t>5</w:t>
      </w:r>
      <w:r>
        <w:rPr>
          <w:rFonts w:ascii="宋体" w:hAnsi="宋体" w:cs="宋体"/>
          <w:szCs w:val="21"/>
        </w:rPr>
        <w:t>.12</w:t>
      </w:r>
      <w:r>
        <w:rPr>
          <w:rFonts w:hint="eastAsia" w:ascii="宋体" w:hAnsi="宋体" w:cs="宋体"/>
          <w:szCs w:val="21"/>
        </w:rPr>
        <w:t>竣工后一个月内，承包人按要求将结算报告给发包人，承包人未按合同规定时间报决算，停止报名参加维修工程投标，直到结算送达发包人。</w:t>
      </w:r>
    </w:p>
    <w:p>
      <w:pPr>
        <w:snapToGrid w:val="0"/>
        <w:spacing w:line="420" w:lineRule="exact"/>
        <w:ind w:firstLine="422" w:firstLineChars="200"/>
        <w:rPr>
          <w:rFonts w:ascii="宋体" w:hAnsi="宋体" w:cs="宋体"/>
          <w:szCs w:val="21"/>
        </w:rPr>
      </w:pPr>
      <w:r>
        <w:rPr>
          <w:rFonts w:hint="eastAsia" w:ascii="宋体" w:hAnsi="宋体" w:cs="宋体"/>
          <w:b/>
          <w:szCs w:val="21"/>
        </w:rPr>
        <w:t>六、工程分包：</w:t>
      </w:r>
      <w:r>
        <w:rPr>
          <w:rFonts w:hint="eastAsia" w:ascii="宋体" w:hAnsi="宋体" w:cs="宋体"/>
          <w:szCs w:val="21"/>
        </w:rPr>
        <w:t>工程分包必须经发包人同意，否则不得分包给任何个人或单位，若分包被发包人发现，一律取消其承包资格，且今后不得参与发包人的招标项目。</w:t>
      </w:r>
    </w:p>
    <w:p>
      <w:pPr>
        <w:snapToGrid w:val="0"/>
        <w:spacing w:line="420" w:lineRule="exact"/>
        <w:ind w:firstLine="422" w:firstLineChars="200"/>
        <w:rPr>
          <w:rFonts w:ascii="宋体" w:hAnsi="宋体" w:cs="宋体"/>
          <w:szCs w:val="21"/>
        </w:rPr>
      </w:pPr>
      <w:r>
        <w:rPr>
          <w:rFonts w:hint="eastAsia" w:ascii="宋体" w:hAnsi="宋体" w:cs="宋体"/>
          <w:b/>
          <w:szCs w:val="21"/>
        </w:rPr>
        <w:t>七、争议解决方法：</w:t>
      </w:r>
      <w:r>
        <w:rPr>
          <w:rFonts w:hint="eastAsia" w:ascii="宋体" w:hAnsi="宋体" w:cs="宋体"/>
          <w:szCs w:val="21"/>
        </w:rPr>
        <w:t>双方当事人协商解决。协商不成，双方同意由扬州仲裁委员会仲裁。</w:t>
      </w:r>
    </w:p>
    <w:p>
      <w:pPr>
        <w:snapToGrid w:val="0"/>
        <w:spacing w:line="420" w:lineRule="exact"/>
        <w:ind w:firstLine="420" w:firstLineChars="200"/>
        <w:rPr>
          <w:rFonts w:ascii="宋体" w:hAnsi="宋体" w:cs="宋体"/>
          <w:szCs w:val="21"/>
        </w:rPr>
      </w:pPr>
      <w:r>
        <w:rPr>
          <w:rFonts w:hint="eastAsia" w:ascii="宋体" w:hAnsi="宋体" w:cs="宋体"/>
          <w:szCs w:val="21"/>
        </w:rPr>
        <w:t>八、本协议未尽事宜参照招标文件精神执行。</w:t>
      </w:r>
    </w:p>
    <w:p>
      <w:pPr>
        <w:snapToGrid w:val="0"/>
        <w:spacing w:line="420" w:lineRule="exact"/>
        <w:ind w:firstLine="422" w:firstLineChars="200"/>
        <w:rPr>
          <w:rFonts w:ascii="宋体" w:hAnsi="宋体" w:cs="宋体"/>
          <w:b/>
          <w:szCs w:val="21"/>
        </w:rPr>
      </w:pPr>
      <w:r>
        <w:rPr>
          <w:rFonts w:hint="eastAsia" w:ascii="宋体" w:hAnsi="宋体" w:cs="宋体"/>
          <w:b/>
          <w:szCs w:val="21"/>
        </w:rPr>
        <w:t>九、双方需补充的事项：</w:t>
      </w:r>
    </w:p>
    <w:p>
      <w:pPr>
        <w:snapToGrid w:val="0"/>
        <w:spacing w:line="420" w:lineRule="exact"/>
        <w:ind w:firstLine="420" w:firstLineChars="200"/>
        <w:rPr>
          <w:rFonts w:ascii="宋体" w:hAnsi="宋体" w:cs="宋体"/>
          <w:szCs w:val="21"/>
        </w:rPr>
      </w:pPr>
      <w:r>
        <w:rPr>
          <w:rFonts w:ascii="宋体" w:hAnsi="宋体" w:cs="宋体"/>
          <w:szCs w:val="21"/>
        </w:rPr>
        <w:t>9.1</w:t>
      </w:r>
      <w:r>
        <w:rPr>
          <w:rFonts w:hint="eastAsia" w:ascii="宋体" w:hAnsi="宋体" w:cs="宋体"/>
          <w:szCs w:val="21"/>
        </w:rPr>
        <w:t>发包人招标时提供的文件和承包人投标时提供的文件均为约束双方行为的有效文书。</w:t>
      </w:r>
    </w:p>
    <w:p>
      <w:pPr>
        <w:snapToGrid w:val="0"/>
        <w:spacing w:line="420" w:lineRule="exact"/>
        <w:ind w:firstLine="420" w:firstLineChars="200"/>
        <w:rPr>
          <w:rFonts w:ascii="宋体" w:hAnsi="宋体" w:cs="宋体"/>
          <w:szCs w:val="21"/>
        </w:rPr>
      </w:pPr>
      <w:r>
        <w:rPr>
          <w:rFonts w:ascii="宋体" w:hAnsi="宋体" w:cs="宋体"/>
          <w:szCs w:val="21"/>
        </w:rPr>
        <w:t>9.2</w:t>
      </w:r>
      <w:r>
        <w:rPr>
          <w:rFonts w:hint="eastAsia" w:ascii="宋体" w:hAnsi="宋体" w:cs="宋体"/>
          <w:szCs w:val="21"/>
        </w:rPr>
        <w:t>承包人在施工过程中应严格按发包人的施工要求施工，施工用水电费挂表计量，工程竣工验收后一周内结清。</w:t>
      </w:r>
    </w:p>
    <w:p>
      <w:pPr>
        <w:snapToGrid w:val="0"/>
        <w:spacing w:line="420" w:lineRule="exact"/>
        <w:ind w:firstLine="420" w:firstLineChars="200"/>
        <w:rPr>
          <w:rFonts w:ascii="宋体" w:hAnsi="宋体" w:cs="宋体"/>
          <w:szCs w:val="21"/>
        </w:rPr>
      </w:pPr>
      <w:r>
        <w:rPr>
          <w:rFonts w:ascii="宋体" w:hAnsi="宋体" w:cs="宋体"/>
          <w:szCs w:val="21"/>
        </w:rPr>
        <w:t>9.3</w:t>
      </w:r>
      <w:r>
        <w:rPr>
          <w:rFonts w:hint="eastAsia" w:ascii="宋体" w:hAnsi="宋体" w:cs="宋体"/>
          <w:szCs w:val="21"/>
        </w:rPr>
        <w:t>承包人在施工中需做好安全工作，严格执行《建设工程安全生产管理条例》，一切安全责任承包人自负。</w:t>
      </w:r>
    </w:p>
    <w:p>
      <w:pPr>
        <w:snapToGrid w:val="0"/>
        <w:spacing w:line="420" w:lineRule="exact"/>
        <w:ind w:firstLine="420" w:firstLineChars="200"/>
        <w:rPr>
          <w:rFonts w:ascii="宋体" w:hAnsi="宋体" w:cs="宋体"/>
          <w:szCs w:val="21"/>
        </w:rPr>
      </w:pPr>
      <w:r>
        <w:rPr>
          <w:rFonts w:ascii="宋体" w:hAnsi="宋体" w:cs="宋体"/>
          <w:szCs w:val="21"/>
        </w:rPr>
        <w:t>9.4</w:t>
      </w:r>
      <w:r>
        <w:rPr>
          <w:rFonts w:hint="eastAsia" w:ascii="宋体" w:hAnsi="宋体" w:cs="宋体"/>
          <w:szCs w:val="21"/>
        </w:rPr>
        <w:t>各项规费按施工企业承发包计价手册上核定的费率计取，如不能提供，则不予计取；现场安全文明措施费不单独计费，综合在分项报价中；管理费、计划利润费率按工程三类别计取。</w:t>
      </w:r>
    </w:p>
    <w:p>
      <w:pPr>
        <w:spacing w:line="420" w:lineRule="exact"/>
        <w:ind w:firstLine="422" w:firstLineChars="200"/>
        <w:rPr>
          <w:rFonts w:ascii="宋体" w:hAnsi="宋体" w:cs="宋体"/>
          <w:b/>
          <w:szCs w:val="21"/>
        </w:rPr>
      </w:pPr>
      <w:r>
        <w:rPr>
          <w:rFonts w:hint="eastAsia" w:ascii="宋体" w:hAnsi="宋体" w:cs="宋体"/>
          <w:b/>
          <w:szCs w:val="21"/>
        </w:rPr>
        <w:t>十、合同生效</w:t>
      </w:r>
    </w:p>
    <w:p>
      <w:pPr>
        <w:spacing w:line="420" w:lineRule="exact"/>
        <w:ind w:firstLine="420" w:firstLineChars="200"/>
        <w:rPr>
          <w:rFonts w:ascii="宋体" w:hAnsi="宋体" w:cs="宋体"/>
          <w:szCs w:val="21"/>
        </w:rPr>
      </w:pPr>
      <w:r>
        <w:rPr>
          <w:rFonts w:ascii="宋体" w:hAnsi="宋体" w:cs="宋体"/>
          <w:szCs w:val="21"/>
        </w:rPr>
        <w:t>10</w:t>
      </w:r>
      <w:r>
        <w:rPr>
          <w:rFonts w:hint="eastAsia" w:ascii="宋体" w:hAnsi="宋体" w:cs="宋体"/>
          <w:szCs w:val="21"/>
        </w:rPr>
        <w:t>.1合同订立时间：年月日</w:t>
      </w:r>
    </w:p>
    <w:p>
      <w:pPr>
        <w:spacing w:line="420" w:lineRule="exact"/>
        <w:ind w:firstLine="420" w:firstLineChars="200"/>
        <w:rPr>
          <w:rFonts w:ascii="宋体" w:hAnsi="宋体" w:cs="宋体"/>
          <w:szCs w:val="21"/>
        </w:rPr>
      </w:pPr>
      <w:r>
        <w:rPr>
          <w:rFonts w:ascii="宋体" w:hAnsi="宋体" w:cs="宋体"/>
          <w:szCs w:val="21"/>
        </w:rPr>
        <w:t>10</w:t>
      </w:r>
      <w:r>
        <w:rPr>
          <w:rFonts w:hint="eastAsia" w:ascii="宋体" w:hAnsi="宋体" w:cs="宋体"/>
          <w:szCs w:val="21"/>
        </w:rPr>
        <w:t>.2合同订立地点：扬州市职业大学</w:t>
      </w:r>
    </w:p>
    <w:p>
      <w:pPr>
        <w:spacing w:line="420" w:lineRule="exact"/>
        <w:ind w:firstLine="420" w:firstLineChars="200"/>
        <w:rPr>
          <w:rFonts w:ascii="宋体" w:hAnsi="宋体" w:cs="宋体"/>
          <w:szCs w:val="21"/>
        </w:rPr>
      </w:pPr>
      <w:r>
        <w:rPr>
          <w:rFonts w:ascii="宋体" w:hAnsi="宋体" w:cs="宋体"/>
          <w:szCs w:val="21"/>
        </w:rPr>
        <w:t>10</w:t>
      </w:r>
      <w:r>
        <w:rPr>
          <w:rFonts w:hint="eastAsia" w:ascii="宋体" w:hAnsi="宋体" w:cs="宋体"/>
          <w:szCs w:val="21"/>
        </w:rPr>
        <w:t>.3合同经双方法定代表人或授权代表签字并加盖单位公章，并经</w:t>
      </w:r>
      <w:r>
        <w:rPr>
          <w:rFonts w:hint="eastAsia" w:ascii="宋体" w:hAnsi="宋体" w:cs="宋体"/>
          <w:b/>
          <w:szCs w:val="21"/>
          <w:u w:val="single"/>
        </w:rPr>
        <w:t>江苏唯诚建设咨询有限公司</w:t>
      </w:r>
      <w:r>
        <w:rPr>
          <w:rFonts w:hint="eastAsia" w:ascii="宋体" w:hAnsi="宋体" w:cs="宋体"/>
          <w:szCs w:val="21"/>
        </w:rPr>
        <w:t>见证盖章后生效。</w:t>
      </w:r>
    </w:p>
    <w:p>
      <w:pPr>
        <w:spacing w:line="420" w:lineRule="exact"/>
        <w:ind w:firstLine="420" w:firstLineChars="200"/>
        <w:rPr>
          <w:rFonts w:ascii="宋体" w:hAnsi="宋体" w:cs="宋体"/>
          <w:szCs w:val="21"/>
        </w:rPr>
      </w:pPr>
      <w:r>
        <w:rPr>
          <w:rFonts w:ascii="宋体" w:hAnsi="宋体" w:cs="宋体"/>
          <w:szCs w:val="21"/>
        </w:rPr>
        <w:t>10</w:t>
      </w:r>
      <w:r>
        <w:rPr>
          <w:rFonts w:hint="eastAsia" w:ascii="宋体" w:hAnsi="宋体" w:cs="宋体"/>
          <w:szCs w:val="21"/>
        </w:rPr>
        <w:t>.4本合同一式</w:t>
      </w:r>
      <w:r>
        <w:rPr>
          <w:rFonts w:hint="eastAsia" w:ascii="宋体" w:hAnsi="宋体" w:cs="宋体"/>
          <w:szCs w:val="21"/>
          <w:u w:val="single"/>
        </w:rPr>
        <w:t>陆</w:t>
      </w:r>
      <w:r>
        <w:rPr>
          <w:rFonts w:hint="eastAsia" w:ascii="宋体" w:hAnsi="宋体" w:cs="宋体"/>
          <w:szCs w:val="21"/>
        </w:rPr>
        <w:t>份，均具有同等法律效力，发包人执</w:t>
      </w:r>
      <w:r>
        <w:rPr>
          <w:rFonts w:hint="eastAsia" w:ascii="宋体" w:hAnsi="宋体" w:cs="宋体"/>
          <w:szCs w:val="21"/>
          <w:u w:val="single"/>
        </w:rPr>
        <w:t>叁</w:t>
      </w:r>
      <w:r>
        <w:rPr>
          <w:rFonts w:hint="eastAsia" w:ascii="宋体" w:hAnsi="宋体" w:cs="宋体"/>
          <w:szCs w:val="21"/>
        </w:rPr>
        <w:t>份，承包人执贰份、见证方执壹份</w:t>
      </w:r>
    </w:p>
    <w:p>
      <w:pPr>
        <w:tabs>
          <w:tab w:val="left" w:pos="567"/>
        </w:tabs>
        <w:snapToGrid w:val="0"/>
        <w:spacing w:before="100" w:beforeAutospacing="1" w:after="100" w:afterAutospacing="1" w:line="440" w:lineRule="exact"/>
        <w:ind w:firstLine="420"/>
        <w:contextualSpacing/>
        <w:rPr>
          <w:rFonts w:ascii="宋体" w:hAnsi="宋体" w:cs="宋体"/>
          <w:bCs/>
          <w:szCs w:val="21"/>
        </w:rPr>
      </w:pPr>
    </w:p>
    <w:p>
      <w:pPr>
        <w:tabs>
          <w:tab w:val="left" w:pos="567"/>
        </w:tabs>
        <w:snapToGrid w:val="0"/>
        <w:spacing w:before="100" w:beforeAutospacing="1" w:after="100" w:afterAutospacing="1" w:line="440" w:lineRule="exact"/>
        <w:ind w:firstLine="420"/>
        <w:contextualSpacing/>
        <w:rPr>
          <w:rFonts w:ascii="宋体" w:hAnsi="宋体" w:cs="宋体"/>
          <w:szCs w:val="21"/>
        </w:rPr>
      </w:pPr>
      <w:r>
        <w:rPr>
          <w:rFonts w:hint="eastAsia" w:ascii="宋体" w:hAnsi="宋体" w:cs="宋体"/>
          <w:bCs/>
          <w:szCs w:val="21"/>
        </w:rPr>
        <w:t>发 包 人：                 承 包 人：</w:t>
      </w:r>
      <w:r>
        <w:rPr>
          <w:rFonts w:hint="eastAsia" w:ascii="宋体" w:hAnsi="宋体" w:cs="宋体"/>
          <w:szCs w:val="21"/>
        </w:rPr>
        <w:t xml:space="preserve">               见证方：</w:t>
      </w:r>
    </w:p>
    <w:p>
      <w:pPr>
        <w:tabs>
          <w:tab w:val="left" w:pos="-235"/>
        </w:tabs>
        <w:spacing w:line="440" w:lineRule="exact"/>
        <w:ind w:firstLine="420" w:firstLineChars="200"/>
        <w:rPr>
          <w:rFonts w:ascii="宋体" w:hAnsi="宋体" w:cs="宋体"/>
          <w:bCs/>
          <w:szCs w:val="21"/>
        </w:rPr>
      </w:pPr>
    </w:p>
    <w:p>
      <w:pPr>
        <w:tabs>
          <w:tab w:val="left" w:pos="-235"/>
        </w:tabs>
        <w:spacing w:line="440" w:lineRule="exact"/>
        <w:ind w:firstLine="420" w:firstLineChars="200"/>
        <w:rPr>
          <w:rFonts w:ascii="宋体" w:hAnsi="宋体" w:cs="宋体"/>
          <w:bCs/>
          <w:szCs w:val="21"/>
        </w:rPr>
      </w:pPr>
      <w:r>
        <w:rPr>
          <w:rFonts w:hint="eastAsia" w:ascii="宋体" w:hAnsi="宋体" w:cs="宋体"/>
          <w:bCs/>
          <w:szCs w:val="21"/>
        </w:rPr>
        <w:t>（盖 章）                 （盖   章）              （盖   章）</w:t>
      </w:r>
    </w:p>
    <w:p>
      <w:pPr>
        <w:spacing w:before="240" w:after="240"/>
        <w:jc w:val="center"/>
        <w:rPr>
          <w:rFonts w:ascii="宋体" w:hAnsi="宋体" w:cs="宋体"/>
          <w:b/>
          <w:bCs/>
          <w:color w:val="000000"/>
          <w:spacing w:val="30"/>
          <w:szCs w:val="21"/>
        </w:rPr>
      </w:pPr>
      <w:r>
        <w:rPr>
          <w:rFonts w:ascii="宋体" w:hAnsi="宋体" w:cs="宋体"/>
          <w:b/>
          <w:bCs/>
          <w:spacing w:val="30"/>
          <w:szCs w:val="21"/>
        </w:rPr>
        <w:br w:type="page"/>
      </w:r>
    </w:p>
    <w:p>
      <w:pPr>
        <w:spacing w:before="240" w:after="240"/>
        <w:jc w:val="center"/>
        <w:rPr>
          <w:rFonts w:ascii="宋体" w:hAnsi="宋体" w:cs="宋体"/>
          <w:b/>
          <w:bCs/>
          <w:color w:val="000000"/>
          <w:spacing w:val="30"/>
          <w:szCs w:val="21"/>
        </w:rPr>
      </w:pPr>
      <w:r>
        <w:rPr>
          <w:rFonts w:hint="eastAsia" w:ascii="宋体" w:hAnsi="宋体" w:cs="宋体"/>
          <w:b/>
          <w:bCs/>
          <w:color w:val="000000"/>
          <w:spacing w:val="30"/>
          <w:szCs w:val="21"/>
        </w:rPr>
        <w:t>工程质量保修书</w:t>
      </w:r>
    </w:p>
    <w:p>
      <w:pPr>
        <w:pStyle w:val="91"/>
        <w:snapToGrid w:val="0"/>
        <w:spacing w:before="0" w:after="0" w:line="480" w:lineRule="auto"/>
        <w:ind w:left="0" w:right="0"/>
        <w:contextualSpacing/>
        <w:rPr>
          <w:rFonts w:ascii="宋体" w:hAnsi="宋体" w:cs="宋体"/>
          <w:color w:val="000000"/>
          <w:sz w:val="21"/>
          <w:szCs w:val="21"/>
        </w:rPr>
      </w:pPr>
      <w:r>
        <w:rPr>
          <w:rFonts w:hint="eastAsia" w:ascii="宋体" w:hAnsi="宋体" w:cs="宋体"/>
          <w:color w:val="000000"/>
          <w:sz w:val="21"/>
          <w:szCs w:val="21"/>
        </w:rPr>
        <w:t>发包人(甲方)：扬州市职业大学</w:t>
      </w:r>
    </w:p>
    <w:p>
      <w:pPr>
        <w:pStyle w:val="91"/>
        <w:snapToGrid w:val="0"/>
        <w:spacing w:before="0" w:after="0" w:line="480" w:lineRule="auto"/>
        <w:ind w:left="0" w:right="0"/>
        <w:contextualSpacing/>
        <w:rPr>
          <w:rFonts w:ascii="宋体" w:hAnsi="宋体" w:cs="宋体"/>
          <w:b/>
          <w:color w:val="000000"/>
          <w:sz w:val="21"/>
          <w:szCs w:val="21"/>
        </w:rPr>
      </w:pPr>
      <w:r>
        <w:rPr>
          <w:rFonts w:hint="eastAsia" w:ascii="宋体" w:hAnsi="宋体" w:cs="宋体"/>
          <w:color w:val="000000"/>
          <w:sz w:val="21"/>
          <w:szCs w:val="21"/>
        </w:rPr>
        <w:t>承包人（乙方）：</w:t>
      </w:r>
    </w:p>
    <w:p>
      <w:pPr>
        <w:pStyle w:val="91"/>
        <w:snapToGrid w:val="0"/>
        <w:spacing w:before="0" w:after="0" w:line="480" w:lineRule="auto"/>
        <w:ind w:left="0" w:right="0" w:firstLine="420" w:firstLineChars="200"/>
        <w:contextualSpacing/>
        <w:rPr>
          <w:rFonts w:ascii="宋体" w:hAnsi="宋体" w:cs="宋体"/>
          <w:color w:val="000000"/>
          <w:sz w:val="21"/>
          <w:szCs w:val="21"/>
        </w:rPr>
      </w:pPr>
      <w:r>
        <w:rPr>
          <w:rFonts w:hint="eastAsia" w:ascii="宋体" w:hAnsi="宋体" w:cs="宋体"/>
          <w:color w:val="000000"/>
          <w:sz w:val="21"/>
          <w:szCs w:val="21"/>
        </w:rPr>
        <w:t>甲乙双方根据《中华人民共和国建筑法》、《建设工程质量管理条例》和《房屋建筑工程质量保修办法》，经协商一致，对</w:t>
      </w:r>
      <w:r>
        <w:rPr>
          <w:rFonts w:hint="eastAsia" w:ascii="宋体" w:hAnsi="宋体" w:cs="宋体"/>
          <w:b/>
          <w:color w:val="000000"/>
          <w:sz w:val="21"/>
          <w:szCs w:val="21"/>
          <w:u w:val="single"/>
        </w:rPr>
        <w:t>扬州市职业大学2024年度室内外装饰装潢、土建工程零星维修施工单位遴选招标</w:t>
      </w:r>
      <w:r>
        <w:rPr>
          <w:rFonts w:hint="eastAsia" w:ascii="宋体" w:hAnsi="宋体" w:cs="宋体"/>
          <w:color w:val="000000"/>
          <w:sz w:val="21"/>
          <w:szCs w:val="21"/>
        </w:rPr>
        <w:t>签订工程质量保修书。</w:t>
      </w:r>
    </w:p>
    <w:p>
      <w:pPr>
        <w:pStyle w:val="34"/>
        <w:snapToGrid w:val="0"/>
        <w:spacing w:before="0" w:beforeAutospacing="0" w:after="0" w:afterAutospacing="0" w:line="480" w:lineRule="auto"/>
        <w:ind w:firstLine="472" w:firstLineChars="225"/>
        <w:contextualSpacing/>
        <w:rPr>
          <w:color w:val="000000"/>
          <w:sz w:val="21"/>
          <w:szCs w:val="21"/>
        </w:rPr>
      </w:pPr>
      <w:r>
        <w:rPr>
          <w:rFonts w:hint="eastAsia"/>
          <w:color w:val="000000"/>
          <w:sz w:val="21"/>
          <w:szCs w:val="21"/>
        </w:rPr>
        <w:t>一、工程质量保修范围和内容</w:t>
      </w:r>
    </w:p>
    <w:p>
      <w:pPr>
        <w:pStyle w:val="34"/>
        <w:snapToGrid w:val="0"/>
        <w:spacing w:before="0" w:beforeAutospacing="0" w:after="0" w:afterAutospacing="0" w:line="480" w:lineRule="auto"/>
        <w:ind w:firstLine="472" w:firstLineChars="225"/>
        <w:contextualSpacing/>
        <w:rPr>
          <w:color w:val="000000"/>
          <w:sz w:val="21"/>
          <w:szCs w:val="21"/>
          <w:u w:val="single"/>
        </w:rPr>
      </w:pPr>
      <w:r>
        <w:rPr>
          <w:rFonts w:hint="eastAsia"/>
          <w:color w:val="000000"/>
          <w:sz w:val="21"/>
          <w:szCs w:val="21"/>
        </w:rPr>
        <w:t>1、乙方在质量保修期内，按照有关法律、法规、规章的管理规定和双方约定，承担本工程质量保修责任。质量保修范围内包括合同约定的全部承包项目。具体质量保修内容双方约定如下：</w:t>
      </w:r>
      <w:r>
        <w:rPr>
          <w:rFonts w:hint="eastAsia"/>
          <w:color w:val="000000"/>
          <w:sz w:val="21"/>
          <w:szCs w:val="21"/>
          <w:u w:val="single"/>
        </w:rPr>
        <w:t>凡属乙方加工及施工工艺、施工方法及材料质量等质量问题造成的需返工修补的情况。</w:t>
      </w:r>
    </w:p>
    <w:p>
      <w:pPr>
        <w:pStyle w:val="34"/>
        <w:snapToGrid w:val="0"/>
        <w:spacing w:before="0" w:beforeAutospacing="0" w:after="0" w:afterAutospacing="0" w:line="480" w:lineRule="auto"/>
        <w:ind w:left="359" w:leftChars="171" w:firstLine="140" w:firstLineChars="67"/>
        <w:contextualSpacing/>
        <w:rPr>
          <w:color w:val="000000"/>
          <w:sz w:val="21"/>
          <w:szCs w:val="21"/>
        </w:rPr>
      </w:pPr>
      <w:r>
        <w:rPr>
          <w:rFonts w:hint="eastAsia"/>
          <w:color w:val="000000"/>
          <w:sz w:val="21"/>
          <w:szCs w:val="21"/>
        </w:rPr>
        <w:t>二、质量保修期</w:t>
      </w:r>
    </w:p>
    <w:p>
      <w:pPr>
        <w:pStyle w:val="34"/>
        <w:snapToGrid w:val="0"/>
        <w:spacing w:before="0" w:beforeAutospacing="0" w:after="0" w:afterAutospacing="0" w:line="480" w:lineRule="auto"/>
        <w:ind w:left="359" w:leftChars="171" w:firstLine="140" w:firstLineChars="67"/>
        <w:contextualSpacing/>
        <w:rPr>
          <w:color w:val="000000"/>
          <w:sz w:val="21"/>
          <w:szCs w:val="21"/>
        </w:rPr>
      </w:pPr>
      <w:r>
        <w:rPr>
          <w:rFonts w:hint="eastAsia"/>
          <w:color w:val="000000"/>
          <w:sz w:val="21"/>
          <w:szCs w:val="21"/>
        </w:rPr>
        <w:t>1、质量保修期从工程实际竣工之日起开始计算。分单项竣工验收的工程，</w:t>
      </w:r>
    </w:p>
    <w:p>
      <w:pPr>
        <w:pStyle w:val="34"/>
        <w:snapToGrid w:val="0"/>
        <w:spacing w:before="0" w:beforeAutospacing="0" w:after="0" w:afterAutospacing="0" w:line="480" w:lineRule="auto"/>
        <w:contextualSpacing/>
        <w:rPr>
          <w:color w:val="000000"/>
          <w:sz w:val="21"/>
          <w:szCs w:val="21"/>
        </w:rPr>
      </w:pPr>
      <w:r>
        <w:rPr>
          <w:rFonts w:hint="eastAsia"/>
          <w:color w:val="000000"/>
          <w:sz w:val="21"/>
          <w:szCs w:val="21"/>
        </w:rPr>
        <w:t>按单项工程分别计算质量保修期。双方根据《建设工程质量管理条例》及有关规定，约定本工程的质量保修期如下：</w:t>
      </w:r>
    </w:p>
    <w:p>
      <w:pPr>
        <w:pStyle w:val="34"/>
        <w:snapToGrid w:val="0"/>
        <w:spacing w:before="0" w:beforeAutospacing="0" w:after="0" w:afterAutospacing="0" w:line="480" w:lineRule="auto"/>
        <w:ind w:firstLine="420" w:firstLineChars="200"/>
        <w:contextualSpacing/>
        <w:rPr>
          <w:color w:val="000000"/>
          <w:sz w:val="21"/>
          <w:szCs w:val="21"/>
        </w:rPr>
      </w:pPr>
      <w:r>
        <w:rPr>
          <w:rFonts w:hint="eastAsia"/>
          <w:color w:val="000000"/>
          <w:sz w:val="21"/>
          <w:szCs w:val="21"/>
        </w:rPr>
        <w:t>本工程质量保修期为</w:t>
      </w:r>
      <w:r>
        <w:rPr>
          <w:rFonts w:hint="eastAsia"/>
          <w:b/>
          <w:color w:val="000000"/>
          <w:sz w:val="21"/>
          <w:szCs w:val="21"/>
          <w:u w:val="single"/>
        </w:rPr>
        <w:t xml:space="preserve">2年  </w:t>
      </w:r>
      <w:r>
        <w:rPr>
          <w:rFonts w:hint="eastAsia"/>
          <w:color w:val="000000"/>
          <w:sz w:val="21"/>
          <w:szCs w:val="21"/>
        </w:rPr>
        <w:t>，从工程竣工验收合格之日起，2年内因工程质量问题所发生的材料费、保修人工费等均由乙方负责免费维修和更换。</w:t>
      </w:r>
    </w:p>
    <w:p>
      <w:pPr>
        <w:pStyle w:val="34"/>
        <w:snapToGrid w:val="0"/>
        <w:spacing w:before="0" w:beforeAutospacing="0" w:after="0" w:afterAutospacing="0" w:line="480" w:lineRule="auto"/>
        <w:ind w:firstLine="472" w:firstLineChars="225"/>
        <w:contextualSpacing/>
        <w:rPr>
          <w:color w:val="000000"/>
          <w:sz w:val="21"/>
          <w:szCs w:val="21"/>
        </w:rPr>
      </w:pPr>
      <w:r>
        <w:rPr>
          <w:rFonts w:hint="eastAsia"/>
          <w:color w:val="000000"/>
          <w:sz w:val="21"/>
          <w:szCs w:val="21"/>
        </w:rPr>
        <w:t>2、在乙方对质量保证期内出现的质量问题进行维修时，乙方应相应延长维修或更换部分的质量保证期。</w:t>
      </w:r>
    </w:p>
    <w:p>
      <w:pPr>
        <w:pStyle w:val="34"/>
        <w:snapToGrid w:val="0"/>
        <w:spacing w:before="0" w:beforeAutospacing="0" w:after="0" w:afterAutospacing="0" w:line="480" w:lineRule="auto"/>
        <w:ind w:firstLine="472" w:firstLineChars="225"/>
        <w:contextualSpacing/>
        <w:rPr>
          <w:color w:val="000000"/>
          <w:sz w:val="21"/>
          <w:szCs w:val="21"/>
        </w:rPr>
      </w:pPr>
      <w:r>
        <w:rPr>
          <w:rFonts w:hint="eastAsia"/>
          <w:color w:val="000000"/>
          <w:sz w:val="21"/>
          <w:szCs w:val="21"/>
        </w:rPr>
        <w:t>3、质量保证期内因甲方原因或自然灾害而造成的损坏，乙方不承担保修责任，但乙方有义务对此进行维修，维修发生的材料和人工费用由甲方承担。</w:t>
      </w:r>
    </w:p>
    <w:p>
      <w:pPr>
        <w:pStyle w:val="34"/>
        <w:snapToGrid w:val="0"/>
        <w:spacing w:before="0" w:beforeAutospacing="0" w:after="0" w:afterAutospacing="0" w:line="480" w:lineRule="auto"/>
        <w:ind w:firstLine="457" w:firstLineChars="218"/>
        <w:contextualSpacing/>
        <w:rPr>
          <w:color w:val="000000"/>
          <w:sz w:val="21"/>
          <w:szCs w:val="21"/>
        </w:rPr>
      </w:pPr>
      <w:r>
        <w:rPr>
          <w:rFonts w:hint="eastAsia"/>
          <w:color w:val="000000"/>
          <w:sz w:val="21"/>
          <w:szCs w:val="21"/>
        </w:rPr>
        <w:t>三、质量保修责任</w:t>
      </w:r>
    </w:p>
    <w:p>
      <w:pPr>
        <w:pStyle w:val="34"/>
        <w:snapToGrid w:val="0"/>
        <w:spacing w:before="0" w:beforeAutospacing="0" w:after="0" w:afterAutospacing="0" w:line="480" w:lineRule="auto"/>
        <w:ind w:firstLine="457" w:firstLineChars="218"/>
        <w:contextualSpacing/>
        <w:rPr>
          <w:color w:val="000000"/>
          <w:sz w:val="21"/>
          <w:szCs w:val="21"/>
        </w:rPr>
      </w:pPr>
      <w:r>
        <w:rPr>
          <w:rFonts w:hint="eastAsia"/>
          <w:color w:val="000000"/>
          <w:sz w:val="21"/>
          <w:szCs w:val="21"/>
        </w:rPr>
        <w:t>1、属于保修范围、内容的项目，乙方应当在接到保修通知之曰起7天内派人保修。乙方不在约定期限内派人保修的，甲方可以委托他人修理，保修费用从工程尾款内扣除，不足部分承包人需另行支付。</w:t>
      </w:r>
    </w:p>
    <w:p>
      <w:pPr>
        <w:pStyle w:val="34"/>
        <w:snapToGrid w:val="0"/>
        <w:spacing w:before="0" w:beforeAutospacing="0" w:after="0" w:afterAutospacing="0" w:line="480" w:lineRule="auto"/>
        <w:ind w:firstLine="457" w:firstLineChars="218"/>
        <w:contextualSpacing/>
        <w:rPr>
          <w:color w:val="000000"/>
          <w:sz w:val="21"/>
          <w:szCs w:val="21"/>
        </w:rPr>
      </w:pPr>
      <w:r>
        <w:rPr>
          <w:rFonts w:hint="eastAsia"/>
          <w:color w:val="000000"/>
          <w:sz w:val="21"/>
          <w:szCs w:val="21"/>
        </w:rPr>
        <w:t>2、发生紧急抢修事故的，乙方在接到事故通知后，应当立即到达事故现场抢修。非乙方施工质量引起的事故，费用由甲方承担。</w:t>
      </w:r>
    </w:p>
    <w:p>
      <w:pPr>
        <w:pStyle w:val="34"/>
        <w:snapToGrid w:val="0"/>
        <w:spacing w:before="0" w:beforeAutospacing="0" w:after="0" w:afterAutospacing="0" w:line="480" w:lineRule="auto"/>
        <w:ind w:left="523"/>
        <w:contextualSpacing/>
        <w:rPr>
          <w:color w:val="000000"/>
          <w:sz w:val="21"/>
          <w:szCs w:val="21"/>
        </w:rPr>
      </w:pPr>
      <w:r>
        <w:rPr>
          <w:rFonts w:hint="eastAsia"/>
          <w:color w:val="000000"/>
          <w:sz w:val="21"/>
          <w:szCs w:val="21"/>
        </w:rPr>
        <w:t>3、在国家规定的工程合理使用年限内，乙方要确保工程质量。因乙方原因致使工程在合理使用年限内造成人身和财产损害的，乙方应承担损害赔偿责任。</w:t>
      </w:r>
    </w:p>
    <w:p>
      <w:pPr>
        <w:pStyle w:val="34"/>
        <w:snapToGrid w:val="0"/>
        <w:spacing w:before="0" w:beforeAutospacing="0" w:after="0" w:afterAutospacing="0" w:line="480" w:lineRule="auto"/>
        <w:ind w:firstLine="420" w:firstLineChars="200"/>
        <w:contextualSpacing/>
        <w:rPr>
          <w:color w:val="000000"/>
          <w:sz w:val="21"/>
          <w:szCs w:val="21"/>
        </w:rPr>
      </w:pPr>
      <w:r>
        <w:rPr>
          <w:rFonts w:hint="eastAsia"/>
          <w:color w:val="000000"/>
          <w:sz w:val="21"/>
          <w:szCs w:val="21"/>
        </w:rPr>
        <w:t>四、保修费用</w:t>
      </w:r>
    </w:p>
    <w:p>
      <w:pPr>
        <w:pStyle w:val="34"/>
        <w:snapToGrid w:val="0"/>
        <w:spacing w:before="0" w:beforeAutospacing="0" w:after="0" w:afterAutospacing="0" w:line="480" w:lineRule="auto"/>
        <w:ind w:firstLine="420" w:firstLineChars="200"/>
        <w:contextualSpacing/>
        <w:rPr>
          <w:color w:val="000000"/>
          <w:sz w:val="21"/>
          <w:szCs w:val="21"/>
        </w:rPr>
      </w:pPr>
      <w:r>
        <w:rPr>
          <w:rFonts w:hint="eastAsia"/>
          <w:color w:val="000000"/>
          <w:sz w:val="21"/>
          <w:szCs w:val="21"/>
        </w:rPr>
        <w:t>保修费用由造成质量缺陷的责任方承担。</w:t>
      </w:r>
    </w:p>
    <w:p>
      <w:pPr>
        <w:pStyle w:val="34"/>
        <w:snapToGrid w:val="0"/>
        <w:spacing w:before="0" w:beforeAutospacing="0" w:after="0" w:afterAutospacing="0" w:line="480" w:lineRule="auto"/>
        <w:ind w:firstLine="420" w:firstLineChars="200"/>
        <w:contextualSpacing/>
        <w:rPr>
          <w:color w:val="000000"/>
          <w:sz w:val="21"/>
          <w:szCs w:val="21"/>
        </w:rPr>
      </w:pPr>
      <w:r>
        <w:rPr>
          <w:rFonts w:hint="eastAsia"/>
          <w:color w:val="000000"/>
          <w:sz w:val="21"/>
          <w:szCs w:val="21"/>
        </w:rPr>
        <w:t>五、其他</w:t>
      </w:r>
    </w:p>
    <w:p>
      <w:pPr>
        <w:pStyle w:val="34"/>
        <w:snapToGrid w:val="0"/>
        <w:spacing w:before="0" w:beforeAutospacing="0" w:after="0" w:afterAutospacing="0" w:line="480" w:lineRule="auto"/>
        <w:ind w:firstLine="424" w:firstLineChars="202"/>
        <w:contextualSpacing/>
        <w:rPr>
          <w:color w:val="000000"/>
          <w:sz w:val="21"/>
          <w:szCs w:val="21"/>
        </w:rPr>
      </w:pPr>
      <w:r>
        <w:rPr>
          <w:rFonts w:hint="eastAsia"/>
          <w:color w:val="000000"/>
          <w:sz w:val="21"/>
          <w:szCs w:val="21"/>
        </w:rPr>
        <w:t>本工程质量保修书，由施工合同甲方、乙方双方在竣工验收前共同签署，作为施工合同附件其有效期限至保修期满。</w:t>
      </w:r>
    </w:p>
    <w:p>
      <w:pPr>
        <w:snapToGrid w:val="0"/>
        <w:spacing w:before="100" w:beforeAutospacing="1" w:after="100" w:afterAutospacing="1" w:line="440" w:lineRule="exact"/>
        <w:ind w:firstLine="105" w:firstLineChars="50"/>
        <w:contextualSpacing/>
        <w:rPr>
          <w:rFonts w:ascii="宋体" w:hAnsi="宋体" w:cs="宋体"/>
          <w:color w:val="000000"/>
          <w:szCs w:val="21"/>
        </w:rPr>
      </w:pPr>
    </w:p>
    <w:p>
      <w:pPr>
        <w:snapToGrid w:val="0"/>
        <w:spacing w:before="100" w:beforeAutospacing="1" w:after="100" w:afterAutospacing="1" w:line="440" w:lineRule="exact"/>
        <w:ind w:firstLine="315" w:firstLineChars="150"/>
        <w:contextualSpacing/>
        <w:rPr>
          <w:rFonts w:ascii="宋体" w:hAnsi="宋体" w:cs="宋体"/>
          <w:b/>
          <w:color w:val="000000"/>
          <w:szCs w:val="21"/>
        </w:rPr>
      </w:pPr>
      <w:r>
        <w:rPr>
          <w:rFonts w:hint="eastAsia" w:ascii="宋体" w:hAnsi="宋体" w:cs="宋体"/>
          <w:color w:val="000000"/>
          <w:szCs w:val="21"/>
        </w:rPr>
        <w:t xml:space="preserve"> 甲方：（盖章）                         乙方：（盖章）</w:t>
      </w:r>
    </w:p>
    <w:p>
      <w:pPr>
        <w:spacing w:line="440" w:lineRule="exact"/>
        <w:contextualSpacing/>
        <w:rPr>
          <w:rFonts w:ascii="宋体" w:hAnsi="宋体" w:cs="宋体"/>
          <w:color w:val="000000"/>
          <w:szCs w:val="21"/>
        </w:rPr>
      </w:pPr>
    </w:p>
    <w:p>
      <w:pPr>
        <w:spacing w:line="440" w:lineRule="exact"/>
        <w:ind w:firstLine="420" w:firstLineChars="200"/>
        <w:contextualSpacing/>
        <w:rPr>
          <w:rFonts w:ascii="宋体" w:hAnsi="宋体" w:cs="宋体"/>
          <w:bCs/>
          <w:color w:val="000000"/>
          <w:szCs w:val="21"/>
        </w:rPr>
      </w:pPr>
      <w:r>
        <w:rPr>
          <w:rFonts w:hint="eastAsia" w:ascii="宋体" w:hAnsi="宋体" w:cs="宋体"/>
          <w:color w:val="000000"/>
          <w:szCs w:val="21"/>
        </w:rPr>
        <w:t>法定代表人：                          法定代表人：</w:t>
      </w:r>
    </w:p>
    <w:p>
      <w:pPr>
        <w:spacing w:line="440" w:lineRule="exact"/>
        <w:contextualSpacing/>
        <w:rPr>
          <w:rFonts w:ascii="宋体" w:hAnsi="宋体" w:cs="宋体"/>
          <w:bCs/>
          <w:color w:val="000000"/>
          <w:szCs w:val="21"/>
        </w:rPr>
      </w:pPr>
      <w:r>
        <w:rPr>
          <w:rFonts w:hint="eastAsia" w:ascii="宋体" w:hAnsi="宋体" w:cs="宋体"/>
          <w:color w:val="000000"/>
          <w:szCs w:val="21"/>
        </w:rPr>
        <w:t xml:space="preserve">   （或授权签约人）：                    （或授权签约人）：</w:t>
      </w:r>
    </w:p>
    <w:p>
      <w:pPr>
        <w:tabs>
          <w:tab w:val="left" w:pos="4140"/>
          <w:tab w:val="left" w:pos="4680"/>
        </w:tabs>
        <w:rPr>
          <w:sz w:val="28"/>
          <w:szCs w:val="28"/>
        </w:rPr>
      </w:pPr>
    </w:p>
    <w:p>
      <w:pPr>
        <w:tabs>
          <w:tab w:val="left" w:pos="4140"/>
          <w:tab w:val="left" w:pos="4680"/>
        </w:tabs>
        <w:rPr>
          <w:sz w:val="28"/>
          <w:szCs w:val="28"/>
        </w:rPr>
      </w:pPr>
    </w:p>
    <w:p>
      <w:pPr>
        <w:tabs>
          <w:tab w:val="left" w:pos="4140"/>
          <w:tab w:val="left" w:pos="4680"/>
        </w:tabs>
        <w:rPr>
          <w:sz w:val="28"/>
          <w:szCs w:val="28"/>
        </w:rPr>
      </w:pPr>
    </w:p>
    <w:p>
      <w:pPr>
        <w:tabs>
          <w:tab w:val="left" w:pos="4140"/>
          <w:tab w:val="left" w:pos="4680"/>
        </w:tabs>
        <w:rPr>
          <w:sz w:val="28"/>
          <w:szCs w:val="28"/>
        </w:rPr>
      </w:pPr>
    </w:p>
    <w:p>
      <w:pPr>
        <w:tabs>
          <w:tab w:val="left" w:pos="4140"/>
          <w:tab w:val="left" w:pos="4680"/>
        </w:tabs>
        <w:rPr>
          <w:sz w:val="28"/>
          <w:szCs w:val="28"/>
        </w:rPr>
      </w:pPr>
    </w:p>
    <w:p>
      <w:pPr>
        <w:tabs>
          <w:tab w:val="left" w:pos="4140"/>
          <w:tab w:val="left" w:pos="4680"/>
        </w:tabs>
        <w:rPr>
          <w:sz w:val="28"/>
          <w:szCs w:val="28"/>
        </w:rPr>
      </w:pPr>
    </w:p>
    <w:p>
      <w:pPr>
        <w:pStyle w:val="17"/>
        <w:numPr>
          <w:ilvl w:val="0"/>
          <w:numId w:val="0"/>
        </w:numPr>
        <w:rPr>
          <w:sz w:val="28"/>
          <w:szCs w:val="28"/>
        </w:rPr>
      </w:pPr>
    </w:p>
    <w:p>
      <w:pPr>
        <w:pStyle w:val="17"/>
        <w:numPr>
          <w:ilvl w:val="0"/>
          <w:numId w:val="0"/>
        </w:numPr>
        <w:rPr>
          <w:sz w:val="28"/>
          <w:szCs w:val="28"/>
        </w:rPr>
      </w:pPr>
    </w:p>
    <w:p>
      <w:pPr>
        <w:pStyle w:val="17"/>
        <w:numPr>
          <w:ilvl w:val="0"/>
          <w:numId w:val="0"/>
        </w:numPr>
        <w:rPr>
          <w:sz w:val="28"/>
          <w:szCs w:val="28"/>
        </w:rPr>
      </w:pPr>
    </w:p>
    <w:p>
      <w:pPr>
        <w:tabs>
          <w:tab w:val="left" w:pos="4140"/>
          <w:tab w:val="left" w:pos="4680"/>
        </w:tabs>
        <w:rPr>
          <w:sz w:val="28"/>
          <w:szCs w:val="28"/>
        </w:rPr>
      </w:pPr>
    </w:p>
    <w:p>
      <w:pPr>
        <w:tabs>
          <w:tab w:val="left" w:pos="4140"/>
          <w:tab w:val="left" w:pos="4680"/>
        </w:tabs>
        <w:rPr>
          <w:sz w:val="28"/>
          <w:szCs w:val="28"/>
        </w:rPr>
        <w:sectPr>
          <w:headerReference r:id="rId12" w:type="first"/>
          <w:footerReference r:id="rId14" w:type="first"/>
          <w:headerReference r:id="rId11" w:type="default"/>
          <w:footerReference r:id="rId13" w:type="default"/>
          <w:pgSz w:w="11906" w:h="16838"/>
          <w:pgMar w:top="1015" w:right="1196" w:bottom="868" w:left="1259" w:header="851" w:footer="907" w:gutter="0"/>
          <w:cols w:space="720" w:num="1"/>
          <w:titlePg/>
          <w:docGrid w:type="lines" w:linePitch="286" w:charSpace="0"/>
        </w:sectPr>
      </w:pPr>
    </w:p>
    <w:p>
      <w:pPr>
        <w:tabs>
          <w:tab w:val="left" w:pos="4140"/>
          <w:tab w:val="left" w:pos="4680"/>
        </w:tabs>
        <w:rPr>
          <w:sz w:val="28"/>
          <w:szCs w:val="28"/>
        </w:rPr>
      </w:pPr>
      <w:r>
        <w:rPr>
          <w:rFonts w:hint="eastAsia"/>
          <w:sz w:val="28"/>
          <w:szCs w:val="28"/>
        </w:rPr>
        <w:t>附件2</w:t>
      </w:r>
    </w:p>
    <w:p>
      <w:pPr>
        <w:pStyle w:val="34"/>
        <w:spacing w:line="480" w:lineRule="atLeast"/>
        <w:jc w:val="center"/>
        <w:rPr>
          <w:b/>
          <w:bCs/>
          <w:color w:val="000000"/>
          <w:sz w:val="44"/>
          <w:szCs w:val="44"/>
        </w:rPr>
      </w:pPr>
      <w:r>
        <w:rPr>
          <w:rFonts w:hint="eastAsia"/>
          <w:b/>
          <w:bCs/>
          <w:color w:val="000000"/>
          <w:sz w:val="44"/>
          <w:szCs w:val="44"/>
        </w:rPr>
        <w:t>安 全 协 议</w:t>
      </w:r>
    </w:p>
    <w:p>
      <w:pPr>
        <w:pStyle w:val="34"/>
        <w:spacing w:before="0" w:beforeAutospacing="0" w:after="0" w:afterAutospacing="0" w:line="360" w:lineRule="auto"/>
        <w:rPr>
          <w:color w:val="000000"/>
          <w:sz w:val="21"/>
          <w:szCs w:val="21"/>
        </w:rPr>
      </w:pPr>
      <w:r>
        <w:rPr>
          <w:rFonts w:hint="eastAsia"/>
          <w:color w:val="000000"/>
          <w:sz w:val="21"/>
          <w:szCs w:val="21"/>
        </w:rPr>
        <w:t>甲方：扬州市职业大学</w:t>
      </w:r>
    </w:p>
    <w:p>
      <w:pPr>
        <w:pStyle w:val="34"/>
        <w:spacing w:before="0" w:beforeAutospacing="0" w:after="0" w:afterAutospacing="0" w:line="360" w:lineRule="auto"/>
        <w:rPr>
          <w:color w:val="000000"/>
          <w:sz w:val="21"/>
          <w:szCs w:val="21"/>
        </w:rPr>
      </w:pPr>
      <w:r>
        <w:rPr>
          <w:rFonts w:hint="eastAsia"/>
          <w:color w:val="000000"/>
          <w:sz w:val="21"/>
          <w:szCs w:val="21"/>
        </w:rPr>
        <w:t>乙方：</w:t>
      </w:r>
    </w:p>
    <w:p>
      <w:pPr>
        <w:pStyle w:val="34"/>
        <w:spacing w:before="0" w:beforeAutospacing="0" w:after="0" w:afterAutospacing="0" w:line="360" w:lineRule="auto"/>
        <w:ind w:firstLine="420" w:firstLineChars="200"/>
        <w:rPr>
          <w:color w:val="000000"/>
          <w:sz w:val="21"/>
          <w:szCs w:val="21"/>
        </w:rPr>
      </w:pPr>
      <w:r>
        <w:rPr>
          <w:rFonts w:hint="eastAsia"/>
          <w:color w:val="000000"/>
          <w:sz w:val="21"/>
          <w:szCs w:val="21"/>
        </w:rPr>
        <w:t>为了加强承发包工程和临时工的安全管理，深入贯彻“安全第一，预防为主、综合治理”安全生产方针，保证人身、设备安全，确保期间甲方发包给乙方的工程和临时工作顺利进行。根据国家有关法律规定，经甲乙双方平等协商、意见一致，自愿签订如下安全生产协议，并作为工程外包合同的必要补充条件：</w:t>
      </w:r>
    </w:p>
    <w:p>
      <w:pPr>
        <w:pStyle w:val="34"/>
        <w:spacing w:before="0" w:beforeAutospacing="0" w:after="0" w:afterAutospacing="0" w:line="360" w:lineRule="auto"/>
        <w:ind w:firstLine="420" w:firstLineChars="200"/>
        <w:rPr>
          <w:color w:val="000000"/>
          <w:sz w:val="21"/>
          <w:szCs w:val="21"/>
        </w:rPr>
      </w:pPr>
      <w:r>
        <w:rPr>
          <w:rFonts w:hint="eastAsia"/>
          <w:color w:val="000000"/>
          <w:sz w:val="21"/>
          <w:szCs w:val="21"/>
        </w:rPr>
        <w:t>第一条：甲乙双方必须认真贯彻执行国家制定的安全生产政策、法律、法规。</w:t>
      </w:r>
    </w:p>
    <w:p>
      <w:pPr>
        <w:pStyle w:val="34"/>
        <w:spacing w:before="0" w:beforeAutospacing="0" w:after="0" w:afterAutospacing="0" w:line="360" w:lineRule="auto"/>
        <w:ind w:firstLine="420" w:firstLineChars="200"/>
        <w:rPr>
          <w:color w:val="000000"/>
          <w:sz w:val="21"/>
          <w:szCs w:val="21"/>
        </w:rPr>
      </w:pPr>
      <w:r>
        <w:rPr>
          <w:rFonts w:hint="eastAsia"/>
          <w:color w:val="000000"/>
          <w:sz w:val="21"/>
          <w:szCs w:val="21"/>
        </w:rPr>
        <w:t>第二条：甲方承担的安全责任、权利；</w:t>
      </w:r>
    </w:p>
    <w:p>
      <w:pPr>
        <w:pStyle w:val="34"/>
        <w:spacing w:before="0" w:beforeAutospacing="0" w:after="0" w:afterAutospacing="0" w:line="360" w:lineRule="auto"/>
        <w:ind w:firstLine="420" w:firstLineChars="200"/>
        <w:rPr>
          <w:color w:val="000000"/>
          <w:sz w:val="21"/>
          <w:szCs w:val="21"/>
        </w:rPr>
      </w:pPr>
      <w:r>
        <w:rPr>
          <w:rFonts w:hint="eastAsia"/>
          <w:color w:val="000000"/>
          <w:sz w:val="21"/>
          <w:szCs w:val="21"/>
        </w:rPr>
        <w:t>（一） 甲方有权要求乙方必须严格遵守安全生产法律、法规、标准、安全生产规章制度和操作规程，熟练掌握事故防范措施和事故应急处理预案；</w:t>
      </w:r>
    </w:p>
    <w:p>
      <w:pPr>
        <w:pStyle w:val="34"/>
        <w:spacing w:before="0" w:beforeAutospacing="0" w:after="0" w:afterAutospacing="0" w:line="360" w:lineRule="auto"/>
        <w:ind w:firstLine="420" w:firstLineChars="200"/>
        <w:rPr>
          <w:color w:val="000000"/>
          <w:sz w:val="21"/>
          <w:szCs w:val="21"/>
        </w:rPr>
      </w:pPr>
      <w:r>
        <w:rPr>
          <w:rFonts w:hint="eastAsia"/>
          <w:color w:val="000000"/>
          <w:sz w:val="21"/>
          <w:szCs w:val="21"/>
        </w:rPr>
        <w:t>（二） 甲方管理人员有权制止乙方人员违纪作业，并按规定给予处罚；</w:t>
      </w:r>
    </w:p>
    <w:p>
      <w:pPr>
        <w:pStyle w:val="34"/>
        <w:spacing w:before="0" w:beforeAutospacing="0" w:after="0" w:afterAutospacing="0" w:line="360" w:lineRule="auto"/>
        <w:ind w:firstLine="420" w:firstLineChars="200"/>
        <w:rPr>
          <w:color w:val="000000"/>
          <w:sz w:val="21"/>
          <w:szCs w:val="21"/>
        </w:rPr>
      </w:pPr>
      <w:r>
        <w:rPr>
          <w:rFonts w:hint="eastAsia"/>
          <w:color w:val="000000"/>
          <w:sz w:val="21"/>
          <w:szCs w:val="21"/>
        </w:rPr>
        <w:t>（三） 甲方有权对安全意识差、不听安全生产指挥的乙方人员责令退场。</w:t>
      </w:r>
    </w:p>
    <w:p>
      <w:pPr>
        <w:pStyle w:val="34"/>
        <w:spacing w:before="0" w:beforeAutospacing="0" w:after="0" w:afterAutospacing="0" w:line="360" w:lineRule="auto"/>
        <w:ind w:firstLine="420" w:firstLineChars="200"/>
        <w:rPr>
          <w:color w:val="000000"/>
          <w:sz w:val="21"/>
          <w:szCs w:val="21"/>
        </w:rPr>
      </w:pPr>
      <w:r>
        <w:rPr>
          <w:rFonts w:hint="eastAsia"/>
          <w:color w:val="000000"/>
          <w:sz w:val="21"/>
          <w:szCs w:val="21"/>
        </w:rPr>
        <w:t>第四条：乙方的责任、权利；</w:t>
      </w:r>
    </w:p>
    <w:p>
      <w:pPr>
        <w:pStyle w:val="34"/>
        <w:spacing w:before="0" w:beforeAutospacing="0" w:after="0" w:afterAutospacing="0" w:line="360" w:lineRule="auto"/>
        <w:ind w:firstLine="420" w:firstLineChars="200"/>
        <w:rPr>
          <w:color w:val="000000"/>
          <w:sz w:val="21"/>
          <w:szCs w:val="21"/>
        </w:rPr>
      </w:pPr>
      <w:r>
        <w:rPr>
          <w:rFonts w:hint="eastAsia"/>
          <w:color w:val="000000"/>
          <w:sz w:val="21"/>
          <w:szCs w:val="21"/>
        </w:rPr>
        <w:t>（一） 乙方是外包工程、临时工作的安全生产的直接责任人，必须严格执行甲方的有关安全生产的规定、制度；</w:t>
      </w:r>
    </w:p>
    <w:p>
      <w:pPr>
        <w:pStyle w:val="34"/>
        <w:spacing w:before="0" w:beforeAutospacing="0" w:after="0" w:afterAutospacing="0" w:line="360" w:lineRule="auto"/>
        <w:ind w:firstLine="420" w:firstLineChars="200"/>
        <w:rPr>
          <w:color w:val="000000"/>
          <w:sz w:val="21"/>
          <w:szCs w:val="21"/>
        </w:rPr>
      </w:pPr>
      <w:r>
        <w:rPr>
          <w:rFonts w:hint="eastAsia"/>
          <w:color w:val="000000"/>
          <w:sz w:val="21"/>
          <w:szCs w:val="21"/>
        </w:rPr>
        <w:t>（二） 乙方负责为所有乙方工作人员办理医疗及工伤社会保险，并根据需要为从事高度危险工作的人员购买适当的人身意外伤害保险，在施工过程中如发生人身伤亡事故，由乙方承担全部责任；</w:t>
      </w:r>
    </w:p>
    <w:p>
      <w:pPr>
        <w:pStyle w:val="34"/>
        <w:spacing w:before="0" w:beforeAutospacing="0" w:after="0" w:afterAutospacing="0" w:line="360" w:lineRule="auto"/>
        <w:ind w:firstLine="420" w:firstLineChars="200"/>
        <w:rPr>
          <w:color w:val="000000"/>
          <w:sz w:val="21"/>
          <w:szCs w:val="21"/>
        </w:rPr>
      </w:pPr>
      <w:r>
        <w:rPr>
          <w:rFonts w:hint="eastAsia"/>
          <w:color w:val="000000"/>
          <w:sz w:val="21"/>
          <w:szCs w:val="21"/>
        </w:rPr>
        <w:t>（三） 乙方应对工作现场的行为完全负责，乙方工作人员不得违章作业，冒险作业，不能疲劳作业，并按规定做好保护工作；</w:t>
      </w:r>
    </w:p>
    <w:p>
      <w:pPr>
        <w:pStyle w:val="34"/>
        <w:spacing w:before="0" w:beforeAutospacing="0" w:after="0" w:afterAutospacing="0" w:line="360" w:lineRule="auto"/>
        <w:ind w:firstLine="420" w:firstLineChars="200"/>
        <w:rPr>
          <w:color w:val="000000"/>
          <w:sz w:val="21"/>
          <w:szCs w:val="21"/>
        </w:rPr>
      </w:pPr>
      <w:r>
        <w:rPr>
          <w:rFonts w:hint="eastAsia"/>
          <w:color w:val="000000"/>
          <w:sz w:val="21"/>
          <w:szCs w:val="21"/>
        </w:rPr>
        <w:t>（四） 乙方在工程现场人员必须有配备齐全的安全防护用品，不能满足安全工程需要时，人员不得进入工程现场。</w:t>
      </w:r>
    </w:p>
    <w:p>
      <w:pPr>
        <w:pStyle w:val="34"/>
        <w:spacing w:before="0" w:beforeAutospacing="0" w:after="0" w:afterAutospacing="0" w:line="360" w:lineRule="auto"/>
        <w:ind w:firstLine="420" w:firstLineChars="200"/>
        <w:rPr>
          <w:color w:val="000000"/>
          <w:sz w:val="21"/>
          <w:szCs w:val="21"/>
        </w:rPr>
      </w:pPr>
      <w:r>
        <w:rPr>
          <w:rFonts w:hint="eastAsia"/>
          <w:color w:val="000000"/>
          <w:sz w:val="21"/>
          <w:szCs w:val="21"/>
        </w:rPr>
        <w:t>第三条：乙方工作人员必须严格遵守和服从现场安全规定及安全管理，在施工现场必须做到：</w:t>
      </w:r>
    </w:p>
    <w:p>
      <w:pPr>
        <w:pStyle w:val="34"/>
        <w:spacing w:before="0" w:beforeAutospacing="0" w:after="0" w:afterAutospacing="0" w:line="360" w:lineRule="auto"/>
        <w:ind w:firstLine="420" w:firstLineChars="200"/>
        <w:rPr>
          <w:color w:val="000000"/>
          <w:sz w:val="21"/>
          <w:szCs w:val="21"/>
        </w:rPr>
      </w:pPr>
      <w:r>
        <w:rPr>
          <w:rFonts w:hint="eastAsia"/>
          <w:color w:val="000000"/>
          <w:sz w:val="21"/>
          <w:szCs w:val="21"/>
        </w:rPr>
        <w:t>（一） 高空悬空作业必须系好安全带；</w:t>
      </w:r>
    </w:p>
    <w:p>
      <w:pPr>
        <w:pStyle w:val="34"/>
        <w:spacing w:before="0" w:beforeAutospacing="0" w:after="0" w:afterAutospacing="0" w:line="360" w:lineRule="auto"/>
        <w:ind w:firstLine="420" w:firstLineChars="200"/>
        <w:rPr>
          <w:color w:val="000000"/>
          <w:sz w:val="21"/>
          <w:szCs w:val="21"/>
        </w:rPr>
      </w:pPr>
      <w:r>
        <w:rPr>
          <w:rFonts w:hint="eastAsia"/>
          <w:color w:val="000000"/>
          <w:sz w:val="21"/>
          <w:szCs w:val="21"/>
        </w:rPr>
        <w:t>（二） 班前不得喝酒，在禁止吸烟的区域不得吸烟；</w:t>
      </w:r>
    </w:p>
    <w:p>
      <w:pPr>
        <w:pStyle w:val="34"/>
        <w:spacing w:before="0" w:beforeAutospacing="0" w:after="0" w:afterAutospacing="0" w:line="360" w:lineRule="auto"/>
        <w:ind w:firstLine="420" w:firstLineChars="200"/>
        <w:rPr>
          <w:color w:val="000000"/>
          <w:sz w:val="21"/>
          <w:szCs w:val="21"/>
        </w:rPr>
      </w:pPr>
      <w:r>
        <w:rPr>
          <w:rFonts w:hint="eastAsia"/>
          <w:color w:val="000000"/>
          <w:sz w:val="21"/>
          <w:szCs w:val="21"/>
        </w:rPr>
        <w:t>（三） 现场内不得赤脚，不得穿拖鞋、高跟鞋，高空作业不得穿皮鞋和带钉易滑鞋；</w:t>
      </w:r>
    </w:p>
    <w:p>
      <w:pPr>
        <w:pStyle w:val="34"/>
        <w:spacing w:before="0" w:beforeAutospacing="0" w:after="0" w:afterAutospacing="0" w:line="360" w:lineRule="auto"/>
        <w:ind w:firstLine="420" w:firstLineChars="200"/>
        <w:rPr>
          <w:color w:val="000000"/>
          <w:sz w:val="21"/>
          <w:szCs w:val="21"/>
        </w:rPr>
      </w:pPr>
      <w:r>
        <w:rPr>
          <w:rFonts w:hint="eastAsia"/>
          <w:color w:val="000000"/>
          <w:sz w:val="21"/>
          <w:szCs w:val="21"/>
        </w:rPr>
        <w:t>（四） 未经甲方施工负责人批准，不得随便拆除已架设的安全防护设施及安全装置和安全标牌；</w:t>
      </w:r>
    </w:p>
    <w:p>
      <w:pPr>
        <w:pStyle w:val="34"/>
        <w:spacing w:before="0" w:beforeAutospacing="0" w:after="0" w:afterAutospacing="0" w:line="360" w:lineRule="auto"/>
        <w:ind w:firstLine="420" w:firstLineChars="200"/>
        <w:rPr>
          <w:color w:val="000000"/>
          <w:sz w:val="21"/>
          <w:szCs w:val="21"/>
        </w:rPr>
      </w:pPr>
      <w:r>
        <w:rPr>
          <w:rFonts w:hint="eastAsia"/>
          <w:color w:val="000000"/>
          <w:sz w:val="21"/>
          <w:szCs w:val="21"/>
        </w:rPr>
        <w:t>（五） 不得私自乱接乱拉电线，保护工地上临时用电电缆及配电箱的完好，不得用材料、工具等压砸电缆电线，确保用电安全；</w:t>
      </w:r>
    </w:p>
    <w:p>
      <w:pPr>
        <w:pStyle w:val="34"/>
        <w:spacing w:before="0" w:beforeAutospacing="0" w:after="0" w:afterAutospacing="0" w:line="360" w:lineRule="auto"/>
        <w:ind w:firstLine="420" w:firstLineChars="200"/>
        <w:rPr>
          <w:color w:val="000000"/>
          <w:sz w:val="21"/>
          <w:szCs w:val="21"/>
        </w:rPr>
      </w:pPr>
      <w:r>
        <w:rPr>
          <w:rFonts w:hint="eastAsia"/>
          <w:color w:val="000000"/>
          <w:sz w:val="21"/>
          <w:szCs w:val="21"/>
        </w:rPr>
        <w:t>（六） 不得在工程现场烧火；</w:t>
      </w:r>
    </w:p>
    <w:p>
      <w:pPr>
        <w:pStyle w:val="34"/>
        <w:spacing w:before="0" w:beforeAutospacing="0" w:after="0" w:afterAutospacing="0" w:line="360" w:lineRule="auto"/>
        <w:ind w:firstLine="420" w:firstLineChars="200"/>
        <w:rPr>
          <w:color w:val="000000"/>
          <w:sz w:val="21"/>
          <w:szCs w:val="21"/>
        </w:rPr>
      </w:pPr>
      <w:r>
        <w:rPr>
          <w:rFonts w:hint="eastAsia"/>
          <w:color w:val="000000"/>
          <w:sz w:val="21"/>
          <w:szCs w:val="21"/>
        </w:rPr>
        <w:t>（七） 不得从高处向下抛扔任何物资、材料，堆放时不得超过支撑限重的70%；</w:t>
      </w:r>
    </w:p>
    <w:p>
      <w:pPr>
        <w:pStyle w:val="34"/>
        <w:spacing w:before="0" w:beforeAutospacing="0" w:after="0" w:afterAutospacing="0" w:line="360" w:lineRule="auto"/>
        <w:ind w:firstLine="420" w:firstLineChars="200"/>
        <w:rPr>
          <w:color w:val="000000"/>
          <w:sz w:val="21"/>
          <w:szCs w:val="21"/>
        </w:rPr>
      </w:pPr>
      <w:r>
        <w:rPr>
          <w:rFonts w:hint="eastAsia"/>
          <w:color w:val="000000"/>
          <w:sz w:val="21"/>
          <w:szCs w:val="21"/>
        </w:rPr>
        <w:t>（八） 不得在高处临边一米范围内堆放活动材料；</w:t>
      </w:r>
    </w:p>
    <w:p>
      <w:pPr>
        <w:pStyle w:val="34"/>
        <w:spacing w:before="0" w:beforeAutospacing="0" w:after="0" w:afterAutospacing="0" w:line="360" w:lineRule="auto"/>
        <w:ind w:firstLine="420" w:firstLineChars="200"/>
        <w:rPr>
          <w:color w:val="000000"/>
          <w:sz w:val="21"/>
          <w:szCs w:val="21"/>
        </w:rPr>
      </w:pPr>
      <w:r>
        <w:rPr>
          <w:rFonts w:hint="eastAsia"/>
          <w:color w:val="000000"/>
          <w:sz w:val="21"/>
          <w:szCs w:val="21"/>
        </w:rPr>
        <w:t>（九） 不得在操作面上及高处临边竖立放置工具和线材；</w:t>
      </w:r>
    </w:p>
    <w:p>
      <w:pPr>
        <w:pStyle w:val="34"/>
        <w:spacing w:before="0" w:beforeAutospacing="0" w:after="0" w:afterAutospacing="0" w:line="360" w:lineRule="auto"/>
        <w:ind w:firstLine="420" w:firstLineChars="200"/>
        <w:rPr>
          <w:color w:val="000000"/>
          <w:sz w:val="21"/>
          <w:szCs w:val="21"/>
        </w:rPr>
      </w:pPr>
      <w:r>
        <w:rPr>
          <w:rFonts w:hint="eastAsia"/>
          <w:color w:val="000000"/>
          <w:sz w:val="21"/>
          <w:szCs w:val="21"/>
        </w:rPr>
        <w:t>（十） 使用电动工具，必须按操作规程和说明书要求正确佩戴防护用品；</w:t>
      </w:r>
    </w:p>
    <w:p>
      <w:pPr>
        <w:pStyle w:val="34"/>
        <w:spacing w:before="0" w:beforeAutospacing="0" w:after="0" w:afterAutospacing="0" w:line="360" w:lineRule="auto"/>
        <w:ind w:firstLine="420" w:firstLineChars="200"/>
        <w:rPr>
          <w:color w:val="000000"/>
          <w:sz w:val="21"/>
          <w:szCs w:val="21"/>
        </w:rPr>
      </w:pPr>
      <w:r>
        <w:rPr>
          <w:rFonts w:hint="eastAsia"/>
          <w:color w:val="000000"/>
          <w:sz w:val="21"/>
          <w:szCs w:val="21"/>
        </w:rPr>
        <w:t>（十一） 施工过程中必须严格遵守安全操作规程。</w:t>
      </w:r>
    </w:p>
    <w:p>
      <w:pPr>
        <w:pStyle w:val="34"/>
        <w:spacing w:before="0" w:beforeAutospacing="0" w:after="0" w:afterAutospacing="0" w:line="360" w:lineRule="auto"/>
        <w:ind w:firstLine="420" w:firstLineChars="200"/>
        <w:rPr>
          <w:color w:val="000000"/>
          <w:sz w:val="21"/>
          <w:szCs w:val="21"/>
        </w:rPr>
      </w:pPr>
      <w:r>
        <w:rPr>
          <w:rFonts w:hint="eastAsia"/>
          <w:color w:val="000000"/>
          <w:sz w:val="21"/>
          <w:szCs w:val="21"/>
        </w:rPr>
        <w:t>第四条：安全责任</w:t>
      </w:r>
    </w:p>
    <w:p>
      <w:pPr>
        <w:pStyle w:val="34"/>
        <w:spacing w:before="0" w:beforeAutospacing="0" w:after="0" w:afterAutospacing="0" w:line="360" w:lineRule="auto"/>
        <w:ind w:firstLine="420" w:firstLineChars="200"/>
        <w:rPr>
          <w:color w:val="000000"/>
          <w:sz w:val="21"/>
          <w:szCs w:val="21"/>
        </w:rPr>
      </w:pPr>
      <w:r>
        <w:rPr>
          <w:rFonts w:hint="eastAsia"/>
          <w:color w:val="000000"/>
          <w:sz w:val="21"/>
          <w:szCs w:val="21"/>
        </w:rPr>
        <w:t>（一） 本协议约定期间 由于乙方造成安全事故的，乙方负全部责任，并由乙方承担造成的经济损失和刑事责任；</w:t>
      </w:r>
    </w:p>
    <w:p>
      <w:pPr>
        <w:pStyle w:val="34"/>
        <w:spacing w:before="0" w:beforeAutospacing="0" w:after="0" w:afterAutospacing="0" w:line="360" w:lineRule="auto"/>
        <w:ind w:firstLine="420" w:firstLineChars="200"/>
        <w:rPr>
          <w:color w:val="000000"/>
          <w:sz w:val="21"/>
          <w:szCs w:val="21"/>
        </w:rPr>
      </w:pPr>
      <w:r>
        <w:rPr>
          <w:rFonts w:hint="eastAsia"/>
          <w:color w:val="000000"/>
          <w:sz w:val="21"/>
          <w:szCs w:val="21"/>
        </w:rPr>
        <w:t>（二） 本协议约定期间如因乙方或乙方工作人员过错给甲方造成损失，由乙方负责向甲方赔偿，甲方有权直接从乙方工程款中将相关损失赔偿款进行抵扣。</w:t>
      </w:r>
    </w:p>
    <w:p>
      <w:pPr>
        <w:pStyle w:val="34"/>
        <w:spacing w:before="0" w:beforeAutospacing="0" w:after="0" w:afterAutospacing="0" w:line="360" w:lineRule="auto"/>
        <w:ind w:firstLine="420" w:firstLineChars="200"/>
        <w:rPr>
          <w:color w:val="000000"/>
          <w:sz w:val="21"/>
          <w:szCs w:val="21"/>
        </w:rPr>
      </w:pPr>
      <w:r>
        <w:rPr>
          <w:rFonts w:hint="eastAsia"/>
          <w:color w:val="000000"/>
          <w:sz w:val="21"/>
          <w:szCs w:val="21"/>
        </w:rPr>
        <w:t>第五条：本协议自签订之日起生效，一式四份，甲乙双方各二份。</w:t>
      </w:r>
    </w:p>
    <w:p>
      <w:pPr>
        <w:pStyle w:val="34"/>
        <w:spacing w:before="0" w:beforeAutospacing="0" w:after="0" w:afterAutospacing="0" w:line="360" w:lineRule="auto"/>
        <w:ind w:firstLine="420" w:firstLineChars="200"/>
        <w:rPr>
          <w:color w:val="000000"/>
          <w:sz w:val="21"/>
          <w:szCs w:val="21"/>
        </w:rPr>
      </w:pPr>
    </w:p>
    <w:p>
      <w:pPr>
        <w:pStyle w:val="34"/>
        <w:spacing w:before="0" w:beforeAutospacing="0" w:after="0" w:afterAutospacing="0" w:line="360" w:lineRule="auto"/>
        <w:ind w:firstLine="630" w:firstLineChars="300"/>
        <w:rPr>
          <w:color w:val="000000"/>
          <w:sz w:val="21"/>
          <w:szCs w:val="21"/>
        </w:rPr>
      </w:pPr>
      <w:r>
        <w:rPr>
          <w:rFonts w:hint="eastAsia"/>
          <w:color w:val="000000"/>
          <w:sz w:val="21"/>
          <w:szCs w:val="21"/>
        </w:rPr>
        <w:t>甲方： （签章）                      乙方：（签章）</w:t>
      </w:r>
    </w:p>
    <w:p>
      <w:pPr>
        <w:pStyle w:val="34"/>
        <w:spacing w:before="0" w:beforeAutospacing="0" w:after="0" w:afterAutospacing="0" w:line="360" w:lineRule="auto"/>
        <w:ind w:firstLine="630" w:firstLineChars="300"/>
        <w:rPr>
          <w:color w:val="000000"/>
          <w:sz w:val="21"/>
          <w:szCs w:val="21"/>
        </w:rPr>
      </w:pPr>
      <w:r>
        <w:rPr>
          <w:rFonts w:hint="eastAsia"/>
          <w:color w:val="000000"/>
          <w:sz w:val="21"/>
          <w:szCs w:val="21"/>
        </w:rPr>
        <w:t>甲方负责人：（签章）                 乙方负责人：（签章）</w:t>
      </w:r>
    </w:p>
    <w:p>
      <w:pPr>
        <w:pStyle w:val="34"/>
        <w:spacing w:before="0" w:beforeAutospacing="0" w:after="0" w:afterAutospacing="0" w:line="360" w:lineRule="auto"/>
        <w:ind w:firstLine="420" w:firstLineChars="200"/>
        <w:rPr>
          <w:color w:val="000000"/>
          <w:sz w:val="21"/>
          <w:szCs w:val="21"/>
        </w:rPr>
      </w:pPr>
      <w:r>
        <w:rPr>
          <w:rFonts w:hint="eastAsia"/>
          <w:color w:val="000000"/>
          <w:sz w:val="21"/>
          <w:szCs w:val="21"/>
        </w:rPr>
        <w:t xml:space="preserve">  年  月  日                             年   月   日</w:t>
      </w:r>
    </w:p>
    <w:p>
      <w:pPr>
        <w:tabs>
          <w:tab w:val="left" w:pos="4140"/>
          <w:tab w:val="left" w:pos="4680"/>
        </w:tabs>
        <w:ind w:firstLine="1120" w:firstLineChars="400"/>
        <w:rPr>
          <w:sz w:val="28"/>
          <w:szCs w:val="28"/>
        </w:rPr>
      </w:pPr>
    </w:p>
    <w:p>
      <w:pPr>
        <w:tabs>
          <w:tab w:val="left" w:pos="4140"/>
          <w:tab w:val="left" w:pos="4680"/>
        </w:tabs>
        <w:rPr>
          <w:sz w:val="28"/>
          <w:szCs w:val="28"/>
        </w:rPr>
      </w:pPr>
    </w:p>
    <w:p>
      <w:pPr>
        <w:tabs>
          <w:tab w:val="left" w:pos="4140"/>
          <w:tab w:val="left" w:pos="4680"/>
        </w:tabs>
        <w:rPr>
          <w:sz w:val="28"/>
          <w:szCs w:val="28"/>
        </w:rPr>
      </w:pPr>
    </w:p>
    <w:p>
      <w:pPr>
        <w:tabs>
          <w:tab w:val="left" w:pos="4140"/>
          <w:tab w:val="left" w:pos="4680"/>
        </w:tabs>
        <w:rPr>
          <w:sz w:val="28"/>
          <w:szCs w:val="28"/>
        </w:rPr>
      </w:pPr>
    </w:p>
    <w:p>
      <w:pPr>
        <w:pStyle w:val="17"/>
        <w:numPr>
          <w:ilvl w:val="0"/>
          <w:numId w:val="0"/>
        </w:numPr>
        <w:rPr>
          <w:sz w:val="28"/>
          <w:szCs w:val="28"/>
        </w:rPr>
      </w:pPr>
    </w:p>
    <w:p>
      <w:pPr>
        <w:pStyle w:val="17"/>
        <w:numPr>
          <w:ilvl w:val="0"/>
          <w:numId w:val="0"/>
        </w:numPr>
        <w:rPr>
          <w:sz w:val="28"/>
          <w:szCs w:val="28"/>
        </w:rPr>
      </w:pPr>
    </w:p>
    <w:p>
      <w:pPr>
        <w:pStyle w:val="17"/>
        <w:numPr>
          <w:ilvl w:val="0"/>
          <w:numId w:val="0"/>
        </w:numPr>
        <w:rPr>
          <w:sz w:val="28"/>
          <w:szCs w:val="28"/>
        </w:rPr>
      </w:pPr>
    </w:p>
    <w:p>
      <w:pPr>
        <w:tabs>
          <w:tab w:val="left" w:pos="4140"/>
          <w:tab w:val="left" w:pos="4680"/>
        </w:tabs>
        <w:rPr>
          <w:sz w:val="28"/>
          <w:szCs w:val="28"/>
        </w:rPr>
      </w:pPr>
    </w:p>
    <w:p>
      <w:pPr>
        <w:pStyle w:val="17"/>
        <w:numPr>
          <w:ilvl w:val="0"/>
          <w:numId w:val="0"/>
        </w:numPr>
        <w:jc w:val="center"/>
        <w:rPr>
          <w:rFonts w:ascii="宋体" w:hAnsi="宋体" w:cs="Arial"/>
          <w:bCs/>
          <w:sz w:val="36"/>
          <w:szCs w:val="36"/>
        </w:rPr>
      </w:pPr>
      <w:r>
        <w:rPr>
          <w:rFonts w:hint="eastAsia"/>
          <w:b/>
          <w:szCs w:val="21"/>
        </w:rPr>
        <w:br w:type="page"/>
      </w:r>
      <w:r>
        <w:rPr>
          <w:rFonts w:hint="eastAsia" w:ascii="宋体" w:hAnsi="宋体" w:cs="Arial"/>
          <w:b/>
          <w:sz w:val="36"/>
          <w:szCs w:val="36"/>
        </w:rPr>
        <w:t>第四章项目需求</w:t>
      </w:r>
      <w:bookmarkStart w:id="55" w:name="_Toc61149622"/>
      <w:bookmarkStart w:id="56" w:name="_Toc23828480"/>
      <w:bookmarkStart w:id="57" w:name="_Toc26554097"/>
    </w:p>
    <w:p>
      <w:pPr>
        <w:spacing w:line="580" w:lineRule="exact"/>
        <w:ind w:left="420" w:leftChars="200"/>
        <w:rPr>
          <w:rFonts w:ascii="仿宋" w:hAnsi="仿宋" w:cs="仿宋"/>
          <w:sz w:val="32"/>
          <w:szCs w:val="32"/>
        </w:rPr>
      </w:pPr>
      <w:r>
        <w:rPr>
          <w:rFonts w:hint="eastAsia" w:ascii="宋体" w:hAnsi="宋体" w:cs="宋体"/>
          <w:b/>
          <w:bCs/>
          <w:snapToGrid w:val="0"/>
          <w:szCs w:val="21"/>
        </w:rPr>
        <w:t>一、项目基本情况及要求</w:t>
      </w:r>
    </w:p>
    <w:p>
      <w:pPr>
        <w:tabs>
          <w:tab w:val="left" w:pos="0"/>
          <w:tab w:val="left" w:pos="993"/>
          <w:tab w:val="left" w:pos="1134"/>
        </w:tabs>
        <w:adjustRightInd w:val="0"/>
        <w:snapToGrid w:val="0"/>
        <w:ind w:firstLine="420" w:firstLineChars="200"/>
        <w:rPr>
          <w:rFonts w:ascii="宋体" w:hAnsi="宋体"/>
          <w:szCs w:val="21"/>
        </w:rPr>
      </w:pPr>
      <w:r>
        <w:rPr>
          <w:rFonts w:hint="eastAsia" w:ascii="宋体" w:hAnsi="宋体" w:cs="宋体"/>
          <w:snapToGrid w:val="0"/>
          <w:szCs w:val="21"/>
        </w:rPr>
        <w:t xml:space="preserve">1、 </w:t>
      </w:r>
      <w:r>
        <w:rPr>
          <w:rFonts w:hint="eastAsia" w:ascii="宋体" w:hAnsi="宋体"/>
          <w:szCs w:val="21"/>
        </w:rPr>
        <w:t>采购内容分两个包（包一：专业土建、包二：室内装饰）</w:t>
      </w:r>
    </w:p>
    <w:p>
      <w:pPr>
        <w:tabs>
          <w:tab w:val="left" w:pos="0"/>
          <w:tab w:val="left" w:pos="993"/>
          <w:tab w:val="left" w:pos="1134"/>
        </w:tabs>
        <w:adjustRightInd w:val="0"/>
        <w:snapToGrid w:val="0"/>
        <w:ind w:firstLine="420" w:firstLineChars="200"/>
        <w:rPr>
          <w:rFonts w:ascii="宋体" w:hAnsi="宋体"/>
          <w:szCs w:val="21"/>
        </w:rPr>
      </w:pPr>
      <w:r>
        <w:rPr>
          <w:rFonts w:hint="eastAsia" w:ascii="宋体" w:hAnsi="宋体" w:cs="宋体"/>
        </w:rPr>
        <w:t>注：可单独投一个包，也可以投多个包，开标顺序按照包一、包二的顺序，可兼投兼中。</w:t>
      </w:r>
    </w:p>
    <w:p>
      <w:pPr>
        <w:tabs>
          <w:tab w:val="left" w:pos="0"/>
          <w:tab w:val="left" w:pos="993"/>
          <w:tab w:val="left" w:pos="1134"/>
        </w:tabs>
        <w:adjustRightInd w:val="0"/>
        <w:snapToGrid w:val="0"/>
        <w:spacing w:line="360" w:lineRule="auto"/>
        <w:ind w:firstLine="420" w:firstLineChars="200"/>
        <w:rPr>
          <w:rFonts w:ascii="宋体" w:hAnsi="宋体" w:cs="宋体"/>
          <w:b/>
          <w:bCs/>
          <w:snapToGrid w:val="0"/>
          <w:szCs w:val="21"/>
        </w:rPr>
      </w:pPr>
      <w:r>
        <w:rPr>
          <w:rFonts w:hint="eastAsia" w:ascii="宋体" w:hAnsi="宋体" w:cs="宋体"/>
          <w:snapToGrid w:val="0"/>
          <w:szCs w:val="21"/>
        </w:rPr>
        <w:t>2、维修技术要求</w:t>
      </w:r>
    </w:p>
    <w:p>
      <w:pPr>
        <w:tabs>
          <w:tab w:val="left" w:pos="0"/>
          <w:tab w:val="left" w:pos="993"/>
          <w:tab w:val="left" w:pos="1134"/>
        </w:tabs>
        <w:adjustRightInd w:val="0"/>
        <w:snapToGrid w:val="0"/>
        <w:spacing w:line="360" w:lineRule="auto"/>
        <w:ind w:firstLine="420" w:firstLineChars="200"/>
        <w:rPr>
          <w:rFonts w:ascii="宋体" w:hAnsi="宋体" w:cs="宋体"/>
          <w:snapToGrid w:val="0"/>
          <w:szCs w:val="21"/>
        </w:rPr>
      </w:pPr>
      <w:r>
        <w:rPr>
          <w:rFonts w:hint="eastAsia" w:ascii="宋体" w:hAnsi="宋体" w:cs="宋体"/>
          <w:snapToGrid w:val="0"/>
          <w:szCs w:val="21"/>
        </w:rPr>
        <w:t>2.1、符合设计要求及国家相关规范，详见工程量清单。</w:t>
      </w:r>
    </w:p>
    <w:p>
      <w:pPr>
        <w:tabs>
          <w:tab w:val="left" w:pos="0"/>
          <w:tab w:val="left" w:pos="993"/>
          <w:tab w:val="left" w:pos="1134"/>
        </w:tabs>
        <w:adjustRightInd w:val="0"/>
        <w:snapToGrid w:val="0"/>
        <w:spacing w:line="360" w:lineRule="auto"/>
        <w:ind w:firstLine="420" w:firstLineChars="200"/>
        <w:rPr>
          <w:rFonts w:ascii="宋体" w:hAnsi="宋体" w:cs="宋体"/>
          <w:snapToGrid w:val="0"/>
          <w:szCs w:val="21"/>
        </w:rPr>
      </w:pPr>
      <w:r>
        <w:rPr>
          <w:rFonts w:hint="eastAsia" w:ascii="宋体" w:hAnsi="宋体" w:cs="宋体"/>
          <w:snapToGrid w:val="0"/>
          <w:szCs w:val="21"/>
        </w:rPr>
        <w:t>2.2、所用材料、构件、设备应提供合格证书，及按相关规定进行现场抽检，不合格的不准使用，如违规使用，一切责任由成交方承担。</w:t>
      </w:r>
    </w:p>
    <w:p>
      <w:pPr>
        <w:tabs>
          <w:tab w:val="left" w:pos="0"/>
          <w:tab w:val="left" w:pos="993"/>
          <w:tab w:val="left" w:pos="1134"/>
        </w:tabs>
        <w:adjustRightInd w:val="0"/>
        <w:snapToGrid w:val="0"/>
        <w:spacing w:line="360" w:lineRule="auto"/>
        <w:ind w:firstLine="420" w:firstLineChars="200"/>
        <w:rPr>
          <w:rFonts w:ascii="宋体" w:hAnsi="宋体" w:cs="宋体"/>
          <w:snapToGrid w:val="0"/>
          <w:szCs w:val="21"/>
        </w:rPr>
      </w:pPr>
      <w:r>
        <w:rPr>
          <w:rFonts w:hint="eastAsia" w:ascii="宋体" w:hAnsi="宋体" w:cs="宋体"/>
          <w:snapToGrid w:val="0"/>
          <w:szCs w:val="21"/>
        </w:rPr>
        <w:t>2.3维修时效及要求：接到报修电话，1小时到达现场，遇到紧急情况需按学校要求配合维修。每个项目需满足学校进度、质量、安全、文明施工要求，出现问题由施工企业自行承担相关责任。</w:t>
      </w:r>
    </w:p>
    <w:p>
      <w:pPr>
        <w:tabs>
          <w:tab w:val="left" w:pos="0"/>
          <w:tab w:val="left" w:pos="993"/>
          <w:tab w:val="left" w:pos="1134"/>
        </w:tabs>
        <w:adjustRightInd w:val="0"/>
        <w:snapToGrid w:val="0"/>
        <w:spacing w:line="360" w:lineRule="auto"/>
        <w:ind w:firstLine="422" w:firstLineChars="200"/>
        <w:rPr>
          <w:rFonts w:ascii="宋体" w:hAnsi="宋体" w:cs="宋体"/>
          <w:i/>
          <w:iCs/>
          <w:snapToGrid w:val="0"/>
          <w:szCs w:val="21"/>
          <w:u w:val="single"/>
        </w:rPr>
      </w:pPr>
      <w:r>
        <w:rPr>
          <w:rFonts w:hint="eastAsia" w:ascii="宋体" w:hAnsi="宋体" w:cs="宋体"/>
          <w:b/>
          <w:bCs/>
          <w:snapToGrid w:val="0"/>
          <w:szCs w:val="21"/>
        </w:rPr>
        <w:t>二、其它部分：</w:t>
      </w:r>
    </w:p>
    <w:p>
      <w:pPr>
        <w:pStyle w:val="20"/>
        <w:tabs>
          <w:tab w:val="left" w:pos="-993"/>
          <w:tab w:val="left" w:pos="-284"/>
          <w:tab w:val="left" w:pos="0"/>
        </w:tabs>
        <w:spacing w:line="360" w:lineRule="auto"/>
        <w:ind w:firstLine="420" w:firstLineChars="200"/>
        <w:rPr>
          <w:rFonts w:hint="default" w:hAnsi="宋体" w:cs="宋体"/>
          <w:i/>
          <w:iCs/>
          <w:snapToGrid w:val="0"/>
          <w:kern w:val="0"/>
          <w:u w:val="single"/>
        </w:rPr>
      </w:pPr>
      <w:r>
        <w:rPr>
          <w:rFonts w:hAnsi="宋体" w:cs="宋体"/>
          <w:i/>
          <w:iCs/>
          <w:snapToGrid w:val="0"/>
          <w:kern w:val="0"/>
          <w:u w:val="single"/>
        </w:rPr>
        <w:t>1、投标人应将下列不可竞争费用按照规定的标准计取，不得降低标准计取：</w:t>
      </w:r>
      <w:r>
        <w:rPr>
          <w:rFonts w:hAnsi="宋体" w:cs="宋体"/>
          <w:i/>
          <w:iCs/>
          <w:snapToGrid w:val="0"/>
          <w:u w:val="single"/>
        </w:rPr>
        <w:t>（1）</w:t>
      </w:r>
      <w:r>
        <w:rPr>
          <w:rFonts w:hAnsi="宋体" w:cs="宋体"/>
          <w:i/>
          <w:iCs/>
          <w:snapToGrid w:val="0"/>
          <w:kern w:val="0"/>
          <w:u w:val="single"/>
        </w:rPr>
        <w:t>现场安全、文明施工措施费；</w:t>
      </w:r>
      <w:r>
        <w:rPr>
          <w:rFonts w:hAnsi="宋体" w:cs="宋体"/>
          <w:i/>
          <w:iCs/>
          <w:snapToGrid w:val="0"/>
          <w:u w:val="single"/>
        </w:rPr>
        <w:t>（2）</w:t>
      </w:r>
      <w:r>
        <w:rPr>
          <w:rFonts w:hAnsi="宋体" w:cs="宋体"/>
          <w:i/>
          <w:iCs/>
          <w:snapToGrid w:val="0"/>
          <w:kern w:val="0"/>
          <w:u w:val="single"/>
        </w:rPr>
        <w:t>规费、税金；</w:t>
      </w:r>
      <w:r>
        <w:rPr>
          <w:rFonts w:hAnsi="宋体" w:cs="宋体"/>
          <w:i/>
          <w:iCs/>
          <w:snapToGrid w:val="0"/>
          <w:u w:val="single"/>
        </w:rPr>
        <w:t>（3）</w:t>
      </w:r>
      <w:r>
        <w:rPr>
          <w:rFonts w:hAnsi="宋体" w:cs="宋体"/>
          <w:i/>
          <w:iCs/>
          <w:snapToGrid w:val="0"/>
          <w:kern w:val="0"/>
          <w:u w:val="single"/>
        </w:rPr>
        <w:t>省级以上财政、税收、物价等部门批准的税金及行政性规费；</w:t>
      </w:r>
      <w:r>
        <w:rPr>
          <w:rFonts w:hAnsi="宋体" w:cs="宋体"/>
          <w:i/>
          <w:iCs/>
          <w:snapToGrid w:val="0"/>
          <w:u w:val="single"/>
        </w:rPr>
        <w:t>（4）</w:t>
      </w:r>
      <w:r>
        <w:rPr>
          <w:rFonts w:hAnsi="宋体" w:cs="宋体"/>
          <w:i/>
          <w:iCs/>
          <w:snapToGrid w:val="0"/>
          <w:kern w:val="0"/>
          <w:u w:val="single"/>
        </w:rPr>
        <w:t>其他按照法律、法规规定的不可竞争费用；</w:t>
      </w:r>
      <w:r>
        <w:rPr>
          <w:rFonts w:hAnsi="宋体" w:cs="宋体"/>
          <w:i/>
          <w:iCs/>
          <w:snapToGrid w:val="0"/>
          <w:u w:val="single"/>
        </w:rPr>
        <w:t>（5）材料</w:t>
      </w:r>
      <w:r>
        <w:rPr>
          <w:rFonts w:hAnsi="宋体" w:cs="宋体"/>
          <w:i/>
          <w:iCs/>
          <w:snapToGrid w:val="0"/>
          <w:kern w:val="0"/>
          <w:u w:val="single"/>
        </w:rPr>
        <w:t>暂估价格（6）专业工程暂估价；（7）暂列金额。</w:t>
      </w:r>
    </w:p>
    <w:p>
      <w:pPr>
        <w:pStyle w:val="20"/>
        <w:tabs>
          <w:tab w:val="left" w:pos="-993"/>
          <w:tab w:val="left" w:pos="-284"/>
          <w:tab w:val="left" w:pos="0"/>
        </w:tabs>
        <w:spacing w:line="360" w:lineRule="auto"/>
        <w:ind w:firstLine="420" w:firstLineChars="200"/>
        <w:rPr>
          <w:rFonts w:hint="default" w:hAnsi="宋体" w:cs="宋体"/>
          <w:i/>
          <w:iCs/>
          <w:snapToGrid w:val="0"/>
          <w:kern w:val="0"/>
          <w:u w:val="single"/>
        </w:rPr>
      </w:pPr>
      <w:r>
        <w:rPr>
          <w:rFonts w:hAnsi="宋体" w:cs="宋体"/>
          <w:i/>
          <w:iCs/>
          <w:snapToGrid w:val="0"/>
          <w:kern w:val="0"/>
          <w:u w:val="single"/>
        </w:rPr>
        <w:t>2、属可竞争费用由供应商自主报价的，须满足下列要求：供应商根据企业定额报价的项目，其人工、</w:t>
      </w:r>
    </w:p>
    <w:p>
      <w:pPr>
        <w:pStyle w:val="20"/>
        <w:tabs>
          <w:tab w:val="left" w:pos="-993"/>
          <w:tab w:val="left" w:pos="-284"/>
          <w:tab w:val="left" w:pos="0"/>
        </w:tabs>
        <w:spacing w:line="360" w:lineRule="auto"/>
        <w:rPr>
          <w:rFonts w:hint="default" w:hAnsi="宋体" w:cs="宋体"/>
          <w:b/>
          <w:bCs/>
          <w:i/>
          <w:iCs/>
          <w:snapToGrid w:val="0"/>
          <w:kern w:val="0"/>
          <w:u w:val="single"/>
        </w:rPr>
      </w:pPr>
      <w:r>
        <w:rPr>
          <w:rFonts w:hAnsi="宋体" w:cs="宋体"/>
          <w:i/>
          <w:iCs/>
          <w:snapToGrid w:val="0"/>
          <w:kern w:val="0"/>
          <w:u w:val="single"/>
        </w:rPr>
        <w:t>材料、机械消耗量远低于市场平均水平时，应附有详细分析资料；工程主要材料单价远低于同期扬州市造价管理部门发布的市场信息价的最低价格时，应附有材料供货单位的书面供应承诺。书面材料中要列出供货单位对材料的品牌、规格、质量等级、单价、数量等内容的承诺，并提供相关票据文件等证明材料；施工组织措施费用、管理费、利润远低于计国家及省计价规范标准时，应提供详细的分析资料。</w:t>
      </w:r>
      <w:r>
        <w:rPr>
          <w:rFonts w:hAnsi="宋体" w:cs="宋体"/>
          <w:b/>
          <w:bCs/>
          <w:i/>
          <w:iCs/>
          <w:snapToGrid w:val="0"/>
          <w:kern w:val="0"/>
          <w:u w:val="single"/>
        </w:rPr>
        <w:t>注：具体计价依据根据现行《江苏省房屋修缮工程计价表》、《江苏省建筑与装饰工程计价表》、《江苏省安装工程计价表》及相关费用定额按优先顺序确定施工价格。材料计取单价参照扬州市当季造价信息。结算以审计结果为准。</w:t>
      </w:r>
    </w:p>
    <w:p>
      <w:pPr>
        <w:pStyle w:val="20"/>
        <w:tabs>
          <w:tab w:val="left" w:pos="-993"/>
          <w:tab w:val="left" w:pos="-284"/>
          <w:tab w:val="left" w:pos="0"/>
        </w:tabs>
        <w:spacing w:line="360" w:lineRule="auto"/>
        <w:ind w:firstLine="420" w:firstLineChars="200"/>
        <w:rPr>
          <w:rFonts w:hint="default" w:hAnsi="宋体" w:cs="宋体"/>
          <w:snapToGrid w:val="0"/>
          <w:kern w:val="0"/>
        </w:rPr>
      </w:pPr>
      <w:r>
        <w:rPr>
          <w:rFonts w:hAnsi="宋体" w:cs="宋体"/>
          <w:snapToGrid w:val="0"/>
          <w:kern w:val="0"/>
        </w:rPr>
        <w:t>3、成交供应商必须服从现场管理，对工序和材料及时报验，原材料及配件必须符合国家标准，经复试合格后方可使用。</w:t>
      </w:r>
    </w:p>
    <w:p>
      <w:pPr>
        <w:pStyle w:val="20"/>
        <w:tabs>
          <w:tab w:val="left" w:pos="-993"/>
          <w:tab w:val="left" w:pos="-284"/>
          <w:tab w:val="left" w:pos="0"/>
        </w:tabs>
        <w:spacing w:line="360" w:lineRule="auto"/>
        <w:ind w:firstLine="420" w:firstLineChars="200"/>
        <w:rPr>
          <w:rFonts w:hint="default" w:hAnsi="宋体" w:cs="宋体"/>
          <w:snapToGrid w:val="0"/>
          <w:kern w:val="0"/>
        </w:rPr>
      </w:pPr>
      <w:r>
        <w:rPr>
          <w:rFonts w:hAnsi="宋体" w:cs="宋体"/>
          <w:snapToGrid w:val="0"/>
          <w:kern w:val="0"/>
        </w:rPr>
        <w:t>4、建设过程中产生的垃圾及时清运，费用由成交人承担；建设工程不能影响整体美观，不能影响其他设施、设备的使用及功能，不能影响采购人正常工作开展。</w:t>
      </w:r>
    </w:p>
    <w:p>
      <w:pPr>
        <w:pStyle w:val="20"/>
        <w:tabs>
          <w:tab w:val="left" w:pos="-993"/>
          <w:tab w:val="left" w:pos="-284"/>
          <w:tab w:val="left" w:pos="0"/>
        </w:tabs>
        <w:spacing w:line="360" w:lineRule="auto"/>
        <w:ind w:firstLine="420" w:firstLineChars="200"/>
        <w:rPr>
          <w:rFonts w:hint="default" w:hAnsi="宋体" w:cs="宋体"/>
          <w:snapToGrid w:val="0"/>
          <w:kern w:val="0"/>
        </w:rPr>
      </w:pPr>
      <w:r>
        <w:rPr>
          <w:rFonts w:hAnsi="宋体" w:cs="宋体"/>
          <w:snapToGrid w:val="0"/>
          <w:kern w:val="0"/>
        </w:rPr>
        <w:t>5、施工过程中，供应商需采取措施保护现场及周边相关财务、物品、设施等，因供应商的不规范操作、误操作等原因造成相关设施的损坏、设备的停用等后果均由供应商承担，由供应商原样修复并自行承担相关费用。</w:t>
      </w:r>
    </w:p>
    <w:p>
      <w:pPr>
        <w:pStyle w:val="20"/>
        <w:tabs>
          <w:tab w:val="left" w:pos="-993"/>
          <w:tab w:val="left" w:pos="-284"/>
          <w:tab w:val="left" w:pos="0"/>
        </w:tabs>
        <w:spacing w:line="360" w:lineRule="auto"/>
        <w:ind w:firstLine="420" w:firstLineChars="200"/>
        <w:rPr>
          <w:rFonts w:hint="default" w:hAnsi="宋体" w:cs="宋体"/>
          <w:snapToGrid w:val="0"/>
          <w:kern w:val="0"/>
        </w:rPr>
      </w:pPr>
      <w:r>
        <w:rPr>
          <w:rFonts w:hAnsi="宋体" w:cs="宋体"/>
          <w:snapToGrid w:val="0"/>
          <w:kern w:val="0"/>
        </w:rPr>
        <w:t>6、</w:t>
      </w:r>
      <w:r>
        <w:rPr>
          <w:rFonts w:hint="default" w:hAnsi="宋体" w:cs="宋体"/>
          <w:snapToGrid w:val="0"/>
          <w:kern w:val="0"/>
        </w:rPr>
        <w:t>供应商需积极主动地配合采购人进行施工完毕后验收，确保通过检测和验收，若出现检测不合格或验收不合格的情况，供应商需要重新返工直至检测通过并且验收合格，由此导致的返工费等相关其他费用，由供应商自行承担，并且采购人有权从工程款中扣除。</w:t>
      </w:r>
    </w:p>
    <w:p>
      <w:pPr>
        <w:spacing w:line="360" w:lineRule="auto"/>
        <w:ind w:firstLine="420" w:firstLineChars="200"/>
        <w:rPr>
          <w:szCs w:val="21"/>
        </w:rPr>
      </w:pPr>
      <w:r>
        <w:rPr>
          <w:rFonts w:hint="eastAsia" w:hAnsi="宋体" w:cs="宋体"/>
          <w:snapToGrid w:val="0"/>
          <w:kern w:val="0"/>
        </w:rPr>
        <w:t>7</w:t>
      </w:r>
      <w:r>
        <w:rPr>
          <w:rFonts w:hAnsi="宋体" w:cs="宋体"/>
          <w:snapToGrid w:val="0"/>
          <w:kern w:val="0"/>
        </w:rPr>
        <w:t>、单价和总价均应包括但不限于所有设备、材料、税金、包装费、运杂费、保险费、卸力费、安装调试费、资料费、保修期内维修费用等直至完全交付采购人使用的所有费用。</w:t>
      </w:r>
    </w:p>
    <w:p>
      <w:pPr>
        <w:pStyle w:val="20"/>
        <w:tabs>
          <w:tab w:val="left" w:pos="-993"/>
          <w:tab w:val="left" w:pos="-284"/>
          <w:tab w:val="left" w:pos="0"/>
        </w:tabs>
        <w:spacing w:line="360" w:lineRule="auto"/>
        <w:ind w:firstLine="720" w:firstLineChars="200"/>
        <w:rPr>
          <w:rFonts w:hint="default" w:hAnsi="宋体" w:cs="Arial"/>
          <w:bCs/>
          <w:sz w:val="36"/>
          <w:szCs w:val="36"/>
        </w:rPr>
        <w:sectPr>
          <w:headerReference r:id="rId16" w:type="first"/>
          <w:footerReference r:id="rId18" w:type="first"/>
          <w:headerReference r:id="rId15" w:type="default"/>
          <w:footerReference r:id="rId17" w:type="default"/>
          <w:pgSz w:w="11906" w:h="16838"/>
          <w:pgMar w:top="1015" w:right="1196" w:bottom="868" w:left="1259" w:header="851" w:footer="907" w:gutter="0"/>
          <w:cols w:space="720" w:num="1"/>
          <w:titlePg/>
          <w:docGrid w:type="lines" w:linePitch="286" w:charSpace="0"/>
        </w:sectPr>
      </w:pPr>
    </w:p>
    <w:p>
      <w:pPr>
        <w:pStyle w:val="5"/>
        <w:spacing w:before="400" w:after="400" w:line="360" w:lineRule="auto"/>
        <w:rPr>
          <w:szCs w:val="21"/>
        </w:rPr>
      </w:pPr>
      <w:r>
        <w:rPr>
          <w:rFonts w:hint="eastAsia" w:ascii="宋体" w:hAnsi="宋体" w:eastAsia="宋体" w:cs="Arial"/>
          <w:bCs/>
          <w:sz w:val="36"/>
          <w:szCs w:val="36"/>
        </w:rPr>
        <w:t>第五章 评审方法和评审标准</w:t>
      </w:r>
    </w:p>
    <w:p>
      <w:pPr>
        <w:pStyle w:val="95"/>
        <w:numPr>
          <w:ilvl w:val="0"/>
          <w:numId w:val="5"/>
        </w:numPr>
        <w:spacing w:before="0" w:after="0"/>
        <w:ind w:firstLine="420"/>
        <w:rPr>
          <w:rFonts w:ascii="Times New Roman" w:hAnsi="Times New Roman"/>
          <w:kern w:val="2"/>
          <w:sz w:val="21"/>
          <w:szCs w:val="21"/>
        </w:rPr>
      </w:pPr>
      <w:r>
        <w:rPr>
          <w:rFonts w:hint="eastAsia" w:ascii="Times New Roman" w:hAnsi="Times New Roman"/>
          <w:kern w:val="2"/>
          <w:sz w:val="21"/>
          <w:szCs w:val="21"/>
        </w:rPr>
        <w:t>本项目采用综合评分法，评委会将对确定为实质性响应谈判文件要求的投标文件进行评价和比较。评标结果按评审后得分由高到低顺序排列。得分相同的，按投标报价由低到高顺序排列。得分且投标报价相同的并列，投标文件满足谈判文件全部实质性要求，且按照评审因素的量化指标评审得分最高的投标人为排名第一的成交候选人。</w:t>
      </w:r>
    </w:p>
    <w:p>
      <w:pPr>
        <w:ind w:left="630"/>
        <w:rPr>
          <w:b/>
          <w:bCs/>
          <w:szCs w:val="21"/>
        </w:rPr>
      </w:pPr>
      <w:r>
        <w:rPr>
          <w:rFonts w:hint="eastAsia"/>
          <w:b/>
          <w:bCs/>
          <w:szCs w:val="21"/>
        </w:rPr>
        <w:t>二、评分标准</w:t>
      </w:r>
    </w:p>
    <w:tbl>
      <w:tblPr>
        <w:tblStyle w:val="39"/>
        <w:tblW w:w="9720" w:type="dxa"/>
        <w:tblInd w:w="93" w:type="dxa"/>
        <w:tblLayout w:type="autofit"/>
        <w:tblCellMar>
          <w:top w:w="0" w:type="dxa"/>
          <w:left w:w="108" w:type="dxa"/>
          <w:bottom w:w="0" w:type="dxa"/>
          <w:right w:w="108" w:type="dxa"/>
        </w:tblCellMar>
      </w:tblPr>
      <w:tblGrid>
        <w:gridCol w:w="1433"/>
        <w:gridCol w:w="8287"/>
      </w:tblGrid>
      <w:tr>
        <w:tblPrEx>
          <w:tblCellMar>
            <w:top w:w="0" w:type="dxa"/>
            <w:left w:w="108" w:type="dxa"/>
            <w:bottom w:w="0" w:type="dxa"/>
            <w:right w:w="108" w:type="dxa"/>
          </w:tblCellMar>
        </w:tblPrEx>
        <w:trPr>
          <w:trHeight w:val="739" w:hRule="atLeast"/>
        </w:trPr>
        <w:tc>
          <w:tcPr>
            <w:tcW w:w="1433" w:type="dxa"/>
            <w:tcBorders>
              <w:top w:val="single" w:color="auto" w:sz="4" w:space="0"/>
              <w:left w:val="single" w:color="auto" w:sz="4" w:space="0"/>
              <w:bottom w:val="nil"/>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评分项目</w:t>
            </w:r>
          </w:p>
        </w:tc>
        <w:tc>
          <w:tcPr>
            <w:tcW w:w="8287" w:type="dxa"/>
            <w:tcBorders>
              <w:top w:val="single" w:color="auto" w:sz="4" w:space="0"/>
              <w:left w:val="nil"/>
              <w:bottom w:val="nil"/>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评分标准</w:t>
            </w:r>
          </w:p>
        </w:tc>
      </w:tr>
      <w:tr>
        <w:tblPrEx>
          <w:tblCellMar>
            <w:top w:w="0" w:type="dxa"/>
            <w:left w:w="108" w:type="dxa"/>
            <w:bottom w:w="0" w:type="dxa"/>
            <w:right w:w="108" w:type="dxa"/>
          </w:tblCellMar>
        </w:tblPrEx>
        <w:trPr>
          <w:trHeight w:val="1134" w:hRule="atLeast"/>
        </w:trPr>
        <w:tc>
          <w:tcPr>
            <w:tcW w:w="14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投标报价     （</w:t>
            </w:r>
            <w:r>
              <w:rPr>
                <w:rFonts w:hint="eastAsia" w:asciiTheme="minorEastAsia" w:hAnsiTheme="minorEastAsia" w:eastAsiaTheme="minorEastAsia" w:cstheme="minorEastAsia"/>
                <w:kern w:val="0"/>
                <w:szCs w:val="21"/>
              </w:rPr>
              <w:t>50分</w:t>
            </w:r>
            <w:r>
              <w:rPr>
                <w:rFonts w:hint="eastAsia" w:asciiTheme="minorEastAsia" w:hAnsiTheme="minorEastAsia" w:eastAsiaTheme="minorEastAsia" w:cstheme="minorEastAsia"/>
                <w:color w:val="000000"/>
                <w:kern w:val="0"/>
                <w:szCs w:val="21"/>
              </w:rPr>
              <w:t>）</w:t>
            </w:r>
          </w:p>
        </w:tc>
        <w:tc>
          <w:tcPr>
            <w:tcW w:w="8287" w:type="dxa"/>
            <w:tcBorders>
              <w:top w:val="single" w:color="auto" w:sz="4" w:space="0"/>
              <w:left w:val="nil"/>
              <w:bottom w:val="single" w:color="auto" w:sz="4" w:space="0"/>
              <w:right w:val="single" w:color="auto" w:sz="4" w:space="0"/>
            </w:tcBorders>
            <w:vAlign w:val="center"/>
          </w:tcPr>
          <w:p>
            <w:pPr>
              <w:pStyle w:val="116"/>
              <w:spacing w:before="93" w:after="0" w:line="219" w:lineRule="exact"/>
              <w:ind w:left="226"/>
              <w:jc w:val="left"/>
              <w:rPr>
                <w:rFonts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满足谈判文件要求的最低报价为评标基准价，得满分50分。其余报价其它报价得分＝（基准价/投标报价）×50×100％（保留两位小数）。</w:t>
            </w:r>
          </w:p>
        </w:tc>
      </w:tr>
      <w:tr>
        <w:tblPrEx>
          <w:tblCellMar>
            <w:top w:w="0" w:type="dxa"/>
            <w:left w:w="108" w:type="dxa"/>
            <w:bottom w:w="0" w:type="dxa"/>
            <w:right w:w="108" w:type="dxa"/>
          </w:tblCellMar>
        </w:tblPrEx>
        <w:trPr>
          <w:trHeight w:val="4358" w:hRule="atLeast"/>
        </w:trPr>
        <w:tc>
          <w:tcPr>
            <w:tcW w:w="1433" w:type="dxa"/>
            <w:tcBorders>
              <w:left w:val="single" w:color="auto" w:sz="4" w:space="0"/>
              <w:bottom w:val="single" w:color="auto" w:sz="4" w:space="0"/>
              <w:right w:val="single" w:color="auto" w:sz="4" w:space="0"/>
            </w:tcBorders>
            <w:vAlign w:val="center"/>
          </w:tcPr>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服务方案</w:t>
            </w:r>
          </w:p>
          <w:p>
            <w:pPr>
              <w:widowControl/>
              <w:jc w:val="center"/>
              <w:rPr>
                <w:rFonts w:asciiTheme="minorEastAsia" w:hAnsiTheme="minorEastAsia" w:eastAsiaTheme="minorEastAsia" w:cstheme="minorEastAsia"/>
                <w:color w:val="000000"/>
                <w:kern w:val="0"/>
                <w:szCs w:val="21"/>
              </w:rPr>
            </w:pPr>
            <w:r>
              <w:rPr>
                <w:rFonts w:hint="eastAsia" w:asciiTheme="minorEastAsia" w:hAnsiTheme="minorEastAsia" w:eastAsiaTheme="minorEastAsia" w:cstheme="minorEastAsia"/>
                <w:color w:val="000000"/>
                <w:kern w:val="0"/>
                <w:szCs w:val="21"/>
              </w:rPr>
              <w:t>（40分）</w:t>
            </w:r>
          </w:p>
        </w:tc>
        <w:tc>
          <w:tcPr>
            <w:tcW w:w="8287" w:type="dxa"/>
            <w:tcBorders>
              <w:top w:val="nil"/>
              <w:left w:val="nil"/>
              <w:bottom w:val="single" w:color="auto" w:sz="4" w:space="0"/>
              <w:right w:val="single" w:color="auto" w:sz="4" w:space="0"/>
            </w:tcBorders>
            <w:vAlign w:val="center"/>
          </w:tcPr>
          <w:p>
            <w:pPr>
              <w:spacing w:line="320" w:lineRule="exact"/>
              <w:rPr>
                <w:rFonts w:ascii="宋体" w:hAnsi="宋体" w:cs="宋体"/>
                <w:szCs w:val="21"/>
              </w:rPr>
            </w:pPr>
            <w:r>
              <w:rPr>
                <w:rFonts w:hint="eastAsia" w:ascii="宋体" w:hAnsi="宋体" w:cs="宋体"/>
                <w:szCs w:val="21"/>
              </w:rPr>
              <w:t>（1）施工安排；措施科学、详细、可实施性强的得6分；措施较科学、详细、可实施性强的得4分；措施科学、详细、可实施性一般的得2分；方案不完整、响应度及技术可行性较低或不提供的不得分。</w:t>
            </w:r>
          </w:p>
          <w:p>
            <w:pPr>
              <w:spacing w:line="320" w:lineRule="exact"/>
              <w:rPr>
                <w:rFonts w:ascii="宋体" w:hAnsi="宋体" w:cs="宋体"/>
                <w:szCs w:val="21"/>
              </w:rPr>
            </w:pPr>
            <w:r>
              <w:rPr>
                <w:rFonts w:hint="eastAsia" w:ascii="宋体" w:hAnsi="宋体" w:cs="宋体"/>
                <w:szCs w:val="21"/>
              </w:rPr>
              <w:t>（2）保证工程质量的技术组织措施；措施科学、详细、可实施性强的得6分；措施较科学、详细、可实施性强的得4分；措施科学、详细、可实施性一般的得2分；方案不完整、响应度及技术可行性较低或不提供的不得分。</w:t>
            </w:r>
          </w:p>
          <w:p>
            <w:pPr>
              <w:spacing w:line="320" w:lineRule="exact"/>
              <w:rPr>
                <w:rFonts w:ascii="宋体" w:hAnsi="宋体" w:cs="宋体"/>
                <w:szCs w:val="21"/>
              </w:rPr>
            </w:pPr>
            <w:r>
              <w:rPr>
                <w:rFonts w:hint="eastAsia" w:ascii="宋体" w:hAnsi="宋体" w:cs="宋体"/>
                <w:szCs w:val="21"/>
              </w:rPr>
              <w:t>（3）保证工期措施；措施科学、详细、可实施性强的得6分；措施较科学、详细、可实施性强的得4分；措施科学、详细、可实施性一般的得2分；方案不完整、响应度及技术可行性较低或不提供的不得分。</w:t>
            </w:r>
          </w:p>
          <w:p>
            <w:pPr>
              <w:spacing w:line="320" w:lineRule="exact"/>
              <w:rPr>
                <w:rFonts w:ascii="宋体" w:hAnsi="宋体" w:cs="宋体"/>
                <w:szCs w:val="21"/>
              </w:rPr>
            </w:pPr>
            <w:r>
              <w:rPr>
                <w:rFonts w:hint="eastAsia" w:ascii="宋体" w:hAnsi="宋体" w:cs="宋体"/>
                <w:szCs w:val="21"/>
              </w:rPr>
              <w:t>（4）保证安全施工措施(包括突发事件的应对及处理措施)；措施科学、详细、可实施性强的得6分；措施较科学、详细、可实施性强的得4分；措施科学、详细、可实施性一般的得2分；方案不完整、响应度及技术可行性较低或不提供的不得分。</w:t>
            </w:r>
          </w:p>
          <w:p>
            <w:pPr>
              <w:spacing w:line="320" w:lineRule="exact"/>
              <w:rPr>
                <w:rFonts w:ascii="宋体" w:hAnsi="宋体" w:cs="宋体"/>
                <w:szCs w:val="21"/>
              </w:rPr>
            </w:pPr>
            <w:r>
              <w:rPr>
                <w:rFonts w:hint="eastAsia" w:ascii="宋体" w:hAnsi="宋体" w:cs="宋体"/>
                <w:szCs w:val="21"/>
              </w:rPr>
              <w:t>（5）文明施工，减少污染和噪音的措施；措施科学、详细、可实施性强的得6分；措施较科学、详细、可实施性强的得4分；措施科学、详细、可实施性一般的得2分；方案不完整、响应度及技术可行性较低或不提供的不得分。</w:t>
            </w:r>
          </w:p>
          <w:p>
            <w:pPr>
              <w:pStyle w:val="48"/>
              <w:rPr>
                <w:rFonts w:hAnsi="宋体"/>
                <w:color w:val="auto"/>
                <w:kern w:val="2"/>
                <w:sz w:val="21"/>
                <w:szCs w:val="21"/>
              </w:rPr>
            </w:pPr>
            <w:r>
              <w:rPr>
                <w:rFonts w:hint="eastAsia" w:hAnsi="宋体"/>
                <w:color w:val="auto"/>
                <w:kern w:val="2"/>
                <w:sz w:val="21"/>
                <w:szCs w:val="21"/>
              </w:rPr>
              <w:t>（6）应急项目的配合程度、保障措施；措施科学、详细、可实施性强的得5分；措施较科学、详细、可实施性强的得3分；措施科学、详细、可实施性一般的得1分；方案不完整、响应度及技术可行性较低或不提供的不得分。</w:t>
            </w:r>
          </w:p>
          <w:p>
            <w:pPr>
              <w:pStyle w:val="48"/>
              <w:rPr>
                <w:rFonts w:asciiTheme="minorEastAsia" w:hAnsiTheme="minorEastAsia" w:eastAsiaTheme="minorEastAsia" w:cstheme="minorEastAsia"/>
                <w:sz w:val="21"/>
                <w:szCs w:val="21"/>
              </w:rPr>
            </w:pPr>
            <w:r>
              <w:rPr>
                <w:rFonts w:hint="eastAsia" w:hAnsi="宋体"/>
                <w:color w:val="auto"/>
                <w:kern w:val="2"/>
                <w:sz w:val="21"/>
                <w:szCs w:val="21"/>
              </w:rPr>
              <w:t>（7）驻点服务措施；措施科学、详细、可实施性强的得5分；措施较科学、详细、可实施性强的得3分；措施科学、详细、可实施性一般的得1分；方案不完整、响应度及技术可行性较低或不提供的不得分。</w:t>
            </w:r>
          </w:p>
        </w:tc>
      </w:tr>
      <w:tr>
        <w:tblPrEx>
          <w:tblCellMar>
            <w:top w:w="0" w:type="dxa"/>
            <w:left w:w="108" w:type="dxa"/>
            <w:bottom w:w="0" w:type="dxa"/>
            <w:right w:w="108" w:type="dxa"/>
          </w:tblCellMar>
        </w:tblPrEx>
        <w:trPr>
          <w:trHeight w:val="1007" w:hRule="atLeast"/>
        </w:trPr>
        <w:tc>
          <w:tcPr>
            <w:tcW w:w="1433" w:type="dxa"/>
            <w:tcBorders>
              <w:top w:val="nil"/>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inorEastAsia"/>
                <w:snapToGrid w:val="0"/>
                <w:kern w:val="0"/>
                <w:szCs w:val="21"/>
              </w:rPr>
            </w:pPr>
            <w:r>
              <w:rPr>
                <w:rFonts w:hint="eastAsia" w:asciiTheme="minorEastAsia" w:hAnsiTheme="minorEastAsia" w:eastAsiaTheme="minorEastAsia" w:cstheme="minorEastAsia"/>
                <w:snapToGrid w:val="0"/>
                <w:kern w:val="0"/>
                <w:szCs w:val="21"/>
              </w:rPr>
              <w:t>服务承诺</w:t>
            </w:r>
          </w:p>
          <w:p>
            <w:pPr>
              <w:spacing w:line="300" w:lineRule="exac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napToGrid w:val="0"/>
                <w:kern w:val="0"/>
                <w:szCs w:val="21"/>
              </w:rPr>
              <w:t>（10分）</w:t>
            </w:r>
          </w:p>
        </w:tc>
        <w:tc>
          <w:tcPr>
            <w:tcW w:w="8287" w:type="dxa"/>
            <w:tcBorders>
              <w:top w:val="nil"/>
              <w:left w:val="nil"/>
              <w:bottom w:val="single" w:color="auto" w:sz="4" w:space="0"/>
              <w:right w:val="single" w:color="auto" w:sz="4" w:space="0"/>
            </w:tcBorders>
            <w:vAlign w:val="center"/>
          </w:tcPr>
          <w:p>
            <w:pPr>
              <w:spacing w:line="320" w:lineRule="exact"/>
              <w:contextualSpacing/>
              <w:rPr>
                <w:rFonts w:ascii="宋体" w:hAnsi="宋体" w:cs="宋体"/>
                <w:szCs w:val="21"/>
              </w:rPr>
            </w:pPr>
            <w:r>
              <w:rPr>
                <w:rFonts w:hint="eastAsia" w:ascii="宋体" w:hAnsi="宋体" w:cs="宋体"/>
                <w:szCs w:val="21"/>
              </w:rPr>
              <w:t>（1）维修质量、作业安全、维修保护承诺，一份得2分，满分6分。</w:t>
            </w:r>
          </w:p>
          <w:p>
            <w:pPr>
              <w:pStyle w:val="2"/>
              <w:rPr>
                <w:rFonts w:ascii="宋体" w:hAnsi="宋体" w:eastAsia="宋体" w:cs="宋体"/>
                <w:sz w:val="21"/>
                <w:szCs w:val="21"/>
              </w:rPr>
            </w:pPr>
            <w:r>
              <w:rPr>
                <w:rFonts w:hint="eastAsia" w:ascii="宋体" w:hAnsi="宋体" w:eastAsia="宋体" w:cs="宋体"/>
                <w:sz w:val="21"/>
                <w:szCs w:val="21"/>
              </w:rPr>
              <w:t>（2）维修响应承诺：维修响应（修好）：≤12小时的得2分，12－24小时的得1分，≥24小时得0分</w:t>
            </w:r>
          </w:p>
          <w:p>
            <w:pPr>
              <w:spacing w:line="300" w:lineRule="exact"/>
              <w:rPr>
                <w:rFonts w:asciiTheme="minorEastAsia" w:hAnsiTheme="minorEastAsia" w:cstheme="minorEastAsia"/>
                <w:szCs w:val="21"/>
              </w:rPr>
            </w:pPr>
            <w:r>
              <w:rPr>
                <w:rFonts w:hint="eastAsia" w:ascii="宋体" w:hAnsi="宋体" w:cs="宋体"/>
                <w:szCs w:val="21"/>
              </w:rPr>
              <w:t xml:space="preserve">（3）应急抢修响应承诺：需半小时内到达现场配合抢修，如不能按时到达现场抢修将按考核标准作淘汰制。（2分） </w:t>
            </w:r>
            <w:r>
              <w:rPr>
                <w:rFonts w:hint="eastAsia" w:ascii="宋体" w:hAnsi="宋体" w:cs="宋体"/>
                <w:b/>
                <w:bCs/>
                <w:szCs w:val="21"/>
              </w:rPr>
              <w:t xml:space="preserve"> 注：均须提供相应承诺函加盖投标人公章，未提供不得分。</w:t>
            </w:r>
          </w:p>
        </w:tc>
      </w:tr>
    </w:tbl>
    <w:p>
      <w:pPr>
        <w:ind w:left="630"/>
        <w:rPr>
          <w:b/>
          <w:bCs/>
          <w:szCs w:val="21"/>
        </w:rPr>
      </w:pPr>
    </w:p>
    <w:p>
      <w:pPr>
        <w:pStyle w:val="5"/>
        <w:spacing w:line="360" w:lineRule="auto"/>
        <w:rPr>
          <w:rFonts w:ascii="宋体" w:hAnsi="宋体" w:eastAsia="宋体" w:cs="Arial"/>
          <w:bCs/>
          <w:szCs w:val="44"/>
        </w:rPr>
      </w:pPr>
    </w:p>
    <w:p>
      <w:pPr>
        <w:pStyle w:val="5"/>
        <w:spacing w:line="360" w:lineRule="auto"/>
        <w:rPr>
          <w:rFonts w:ascii="宋体" w:hAnsi="宋体" w:eastAsia="宋体" w:cs="Arial"/>
          <w:bCs/>
          <w:szCs w:val="44"/>
        </w:rPr>
      </w:pPr>
      <w:r>
        <w:rPr>
          <w:rFonts w:hint="eastAsia" w:ascii="宋体" w:hAnsi="宋体" w:eastAsia="宋体" w:cs="Arial"/>
          <w:bCs/>
          <w:szCs w:val="44"/>
        </w:rPr>
        <w:t>第六章  竞争性谈判响应文件格式</w:t>
      </w:r>
    </w:p>
    <w:p>
      <w:pPr>
        <w:pStyle w:val="5"/>
        <w:spacing w:line="360" w:lineRule="auto"/>
        <w:rPr>
          <w:rFonts w:ascii="宋体" w:hAnsi="宋体" w:eastAsia="宋体" w:cs="Arial"/>
          <w:bCs/>
          <w:szCs w:val="44"/>
        </w:rPr>
      </w:pPr>
    </w:p>
    <w:p>
      <w:pPr>
        <w:pStyle w:val="5"/>
        <w:spacing w:line="360" w:lineRule="auto"/>
        <w:rPr>
          <w:rFonts w:ascii="宋体" w:hAnsi="宋体" w:eastAsia="宋体" w:cs="Arial"/>
          <w:bCs/>
          <w:szCs w:val="44"/>
        </w:rPr>
      </w:pPr>
    </w:p>
    <w:p>
      <w:pPr>
        <w:pStyle w:val="5"/>
        <w:spacing w:line="480" w:lineRule="auto"/>
        <w:rPr>
          <w:rFonts w:ascii="宋体" w:hAnsi="宋体" w:eastAsia="宋体" w:cs="Arial"/>
          <w:bCs/>
          <w:szCs w:val="44"/>
        </w:rPr>
      </w:pPr>
      <w:r>
        <w:rPr>
          <w:rFonts w:hint="eastAsia" w:ascii="宋体" w:hAnsi="宋体" w:eastAsia="宋体" w:cs="Arial"/>
          <w:bCs/>
          <w:szCs w:val="44"/>
        </w:rPr>
        <w:t>竞争性谈判响应文件</w:t>
      </w:r>
    </w:p>
    <w:p>
      <w:pPr>
        <w:pStyle w:val="5"/>
        <w:spacing w:line="480" w:lineRule="auto"/>
        <w:rPr>
          <w:rFonts w:ascii="宋体" w:hAnsi="宋体" w:eastAsia="宋体" w:cs="Arial"/>
          <w:bCs/>
          <w:szCs w:val="44"/>
        </w:rPr>
      </w:pPr>
    </w:p>
    <w:p>
      <w:pPr>
        <w:pStyle w:val="5"/>
        <w:spacing w:line="480" w:lineRule="auto"/>
        <w:jc w:val="left"/>
        <w:rPr>
          <w:rFonts w:ascii="宋体" w:hAnsi="宋体" w:eastAsia="宋体" w:cs="Arial"/>
          <w:bCs/>
          <w:szCs w:val="44"/>
        </w:rPr>
      </w:pPr>
      <w:r>
        <w:rPr>
          <w:rFonts w:hint="eastAsia" w:ascii="宋体" w:hAnsi="宋体" w:eastAsia="宋体" w:cs="Arial"/>
          <w:bCs/>
          <w:szCs w:val="44"/>
        </w:rPr>
        <w:t xml:space="preserve">              （正本或副本）</w:t>
      </w:r>
    </w:p>
    <w:p>
      <w:pPr>
        <w:pStyle w:val="5"/>
        <w:spacing w:line="480" w:lineRule="auto"/>
        <w:rPr>
          <w:rFonts w:ascii="宋体" w:hAnsi="宋体" w:eastAsia="宋体" w:cs="Arial"/>
          <w:bCs/>
          <w:szCs w:val="44"/>
        </w:rPr>
      </w:pPr>
    </w:p>
    <w:p>
      <w:pPr>
        <w:pStyle w:val="5"/>
        <w:spacing w:line="480" w:lineRule="auto"/>
        <w:rPr>
          <w:rFonts w:ascii="宋体" w:hAnsi="宋体" w:eastAsia="宋体" w:cs="Arial"/>
          <w:bCs/>
          <w:szCs w:val="44"/>
        </w:rPr>
      </w:pPr>
    </w:p>
    <w:p>
      <w:pPr>
        <w:pStyle w:val="5"/>
        <w:spacing w:line="480" w:lineRule="auto"/>
        <w:ind w:firstLine="993" w:firstLineChars="309"/>
        <w:jc w:val="left"/>
        <w:rPr>
          <w:rFonts w:ascii="宋体" w:hAnsi="宋体" w:eastAsia="宋体" w:cs="Arial"/>
          <w:bCs/>
          <w:sz w:val="32"/>
          <w:szCs w:val="32"/>
        </w:rPr>
      </w:pPr>
      <w:r>
        <w:rPr>
          <w:rFonts w:hint="eastAsia" w:ascii="宋体" w:hAnsi="宋体" w:eastAsia="宋体" w:cs="Arial"/>
          <w:bCs/>
          <w:sz w:val="32"/>
          <w:szCs w:val="32"/>
        </w:rPr>
        <w:t>项目名称：</w:t>
      </w:r>
    </w:p>
    <w:p>
      <w:pPr>
        <w:pStyle w:val="5"/>
        <w:spacing w:line="480" w:lineRule="auto"/>
        <w:ind w:firstLine="993" w:firstLineChars="309"/>
        <w:jc w:val="left"/>
        <w:rPr>
          <w:rFonts w:ascii="宋体" w:hAnsi="宋体" w:eastAsia="宋体" w:cs="Arial"/>
          <w:bCs/>
          <w:sz w:val="32"/>
          <w:szCs w:val="32"/>
        </w:rPr>
      </w:pPr>
      <w:r>
        <w:rPr>
          <w:rFonts w:hint="eastAsia" w:ascii="宋体" w:hAnsi="宋体" w:eastAsia="宋体" w:cs="Arial"/>
          <w:bCs/>
          <w:sz w:val="32"/>
          <w:szCs w:val="32"/>
        </w:rPr>
        <w:t>项目编号：</w:t>
      </w:r>
    </w:p>
    <w:p>
      <w:pPr>
        <w:pStyle w:val="5"/>
        <w:spacing w:line="480" w:lineRule="auto"/>
        <w:ind w:firstLine="993" w:firstLineChars="309"/>
        <w:jc w:val="left"/>
        <w:rPr>
          <w:rFonts w:ascii="宋体" w:hAnsi="宋体" w:eastAsia="宋体" w:cs="Arial"/>
          <w:bCs/>
          <w:sz w:val="32"/>
          <w:szCs w:val="32"/>
        </w:rPr>
      </w:pPr>
      <w:r>
        <w:rPr>
          <w:rFonts w:hint="eastAsia" w:ascii="宋体" w:hAnsi="宋体" w:eastAsia="宋体" w:cs="Arial"/>
          <w:bCs/>
          <w:sz w:val="32"/>
          <w:szCs w:val="32"/>
        </w:rPr>
        <w:t xml:space="preserve">谈判供应商名称：               </w:t>
      </w:r>
    </w:p>
    <w:p>
      <w:pPr>
        <w:pStyle w:val="5"/>
        <w:spacing w:line="480" w:lineRule="auto"/>
        <w:ind w:firstLine="993" w:firstLineChars="309"/>
        <w:jc w:val="left"/>
        <w:rPr>
          <w:rFonts w:ascii="宋体" w:hAnsi="宋体" w:eastAsia="宋体" w:cs="Arial"/>
          <w:bCs/>
          <w:sz w:val="32"/>
          <w:szCs w:val="32"/>
        </w:rPr>
      </w:pPr>
      <w:r>
        <w:rPr>
          <w:rFonts w:hint="eastAsia" w:ascii="宋体" w:hAnsi="宋体" w:eastAsia="宋体" w:cs="Arial"/>
          <w:bCs/>
          <w:sz w:val="32"/>
          <w:szCs w:val="32"/>
        </w:rPr>
        <w:t>日期：</w:t>
      </w:r>
    </w:p>
    <w:p>
      <w:pPr>
        <w:pStyle w:val="5"/>
        <w:spacing w:line="360" w:lineRule="auto"/>
        <w:rPr>
          <w:rFonts w:ascii="宋体" w:hAnsi="宋体" w:eastAsia="宋体" w:cs="Arial"/>
          <w:bCs/>
          <w:szCs w:val="44"/>
        </w:rPr>
      </w:pPr>
    </w:p>
    <w:p>
      <w:pPr>
        <w:pStyle w:val="5"/>
        <w:spacing w:line="360" w:lineRule="auto"/>
        <w:rPr>
          <w:rFonts w:ascii="宋体" w:hAnsi="宋体" w:eastAsia="宋体" w:cs="Arial"/>
          <w:bCs/>
          <w:szCs w:val="44"/>
        </w:rPr>
      </w:pPr>
    </w:p>
    <w:p>
      <w:pPr>
        <w:pStyle w:val="5"/>
        <w:spacing w:line="360" w:lineRule="auto"/>
        <w:rPr>
          <w:rFonts w:ascii="宋体" w:hAnsi="宋体" w:eastAsia="宋体" w:cs="Arial"/>
          <w:bCs/>
          <w:szCs w:val="44"/>
        </w:rPr>
      </w:pPr>
    </w:p>
    <w:p>
      <w:pPr>
        <w:pStyle w:val="5"/>
        <w:spacing w:line="360" w:lineRule="auto"/>
        <w:rPr>
          <w:rFonts w:ascii="宋体" w:hAnsi="宋体" w:eastAsia="宋体" w:cs="Arial"/>
          <w:bCs/>
          <w:szCs w:val="44"/>
        </w:rPr>
      </w:pPr>
    </w:p>
    <w:p>
      <w:pPr>
        <w:pStyle w:val="5"/>
        <w:spacing w:line="360" w:lineRule="auto"/>
        <w:rPr>
          <w:rFonts w:ascii="宋体" w:hAnsi="宋体" w:eastAsia="宋体"/>
          <w:sz w:val="28"/>
          <w:szCs w:val="28"/>
        </w:rPr>
      </w:pPr>
      <w:r>
        <w:rPr>
          <w:rFonts w:ascii="宋体" w:hAnsi="宋体" w:eastAsia="宋体" w:cs="Arial"/>
          <w:bCs/>
          <w:szCs w:val="44"/>
        </w:rPr>
        <w:br w:type="page"/>
      </w:r>
      <w:bookmarkStart w:id="58" w:name="_Toc24878535"/>
      <w:bookmarkStart w:id="59" w:name="_Toc23828483"/>
      <w:bookmarkStart w:id="60" w:name="_Toc120614284"/>
      <w:bookmarkStart w:id="61" w:name="_Toc22356583"/>
      <w:bookmarkStart w:id="62" w:name="_Toc49090582"/>
      <w:bookmarkStart w:id="63" w:name="_Toc120614291"/>
      <w:bookmarkStart w:id="64" w:name="_Toc513029281"/>
      <w:bookmarkStart w:id="65" w:name="_Toc26554103"/>
      <w:r>
        <w:rPr>
          <w:rFonts w:hint="eastAsia" w:ascii="宋体" w:hAnsi="宋体" w:eastAsia="宋体"/>
          <w:sz w:val="28"/>
          <w:szCs w:val="28"/>
        </w:rPr>
        <w:t>评分索引表</w:t>
      </w:r>
    </w:p>
    <w:tbl>
      <w:tblPr>
        <w:tblStyle w:val="3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shd w:val="clear" w:color="auto" w:fill="auto"/>
          </w:tcPr>
          <w:p>
            <w:pPr>
              <w:pStyle w:val="61"/>
              <w:shd w:val="clear" w:color="auto" w:fill="FFFFFF"/>
              <w:spacing w:line="360" w:lineRule="auto"/>
              <w:ind w:left="420"/>
              <w:jc w:val="center"/>
              <w:rPr>
                <w:rFonts w:ascii="宋体" w:hAnsi="宋体"/>
                <w:b/>
                <w:bCs/>
                <w:sz w:val="21"/>
                <w:szCs w:val="21"/>
                <w:lang w:eastAsia="zh-CN"/>
              </w:rPr>
            </w:pPr>
            <w:r>
              <w:rPr>
                <w:rFonts w:hint="eastAsia" w:ascii="宋体" w:hAnsi="宋体"/>
                <w:b/>
                <w:sz w:val="21"/>
                <w:szCs w:val="21"/>
              </w:rPr>
              <w:t>评分项目</w:t>
            </w:r>
          </w:p>
        </w:tc>
        <w:tc>
          <w:tcPr>
            <w:tcW w:w="3570" w:type="dxa"/>
            <w:shd w:val="clear" w:color="auto" w:fill="auto"/>
          </w:tcPr>
          <w:p>
            <w:pPr>
              <w:spacing w:line="360" w:lineRule="auto"/>
              <w:jc w:val="center"/>
              <w:rPr>
                <w:rFonts w:ascii="宋体" w:hAnsi="宋体"/>
                <w:b/>
                <w:szCs w:val="21"/>
              </w:rPr>
            </w:pPr>
            <w:r>
              <w:rPr>
                <w:rFonts w:hint="eastAsia" w:ascii="宋体" w:hAnsi="宋体"/>
                <w:b/>
                <w:kern w:val="0"/>
                <w:szCs w:val="21"/>
                <w:lang w:bidi="en-US"/>
              </w:rPr>
              <w:t>在响应文件中的页码位置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70" w:type="dxa"/>
            <w:shd w:val="clear" w:color="auto" w:fill="auto"/>
          </w:tcPr>
          <w:p>
            <w:pPr>
              <w:pStyle w:val="61"/>
              <w:shd w:val="clear" w:color="auto" w:fill="FFFFFF"/>
              <w:spacing w:line="360" w:lineRule="auto"/>
              <w:ind w:left="420"/>
              <w:jc w:val="both"/>
              <w:rPr>
                <w:rFonts w:ascii="宋体" w:hAnsi="宋体"/>
                <w:b/>
                <w:sz w:val="21"/>
                <w:szCs w:val="21"/>
                <w:lang w:eastAsia="zh-CN"/>
              </w:rPr>
            </w:pPr>
          </w:p>
        </w:tc>
        <w:tc>
          <w:tcPr>
            <w:tcW w:w="3570" w:type="dxa"/>
            <w:shd w:val="clear" w:color="auto" w:fill="auto"/>
          </w:tcPr>
          <w:p>
            <w:pPr>
              <w:spacing w:line="360" w:lineRule="auto"/>
              <w:rPr>
                <w:rFonts w:ascii="宋体" w:hAnsi="宋体"/>
                <w:b/>
                <w:kern w:val="0"/>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240" w:type="dxa"/>
            <w:gridSpan w:val="2"/>
            <w:shd w:val="clear" w:color="auto" w:fill="auto"/>
          </w:tcPr>
          <w:p>
            <w:pPr>
              <w:pStyle w:val="61"/>
              <w:shd w:val="clear" w:color="auto" w:fill="FFFFFF"/>
              <w:spacing w:line="360" w:lineRule="auto"/>
              <w:ind w:left="420"/>
              <w:jc w:val="both"/>
              <w:rPr>
                <w:rFonts w:ascii="宋体" w:hAnsi="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shd w:val="clear" w:color="auto" w:fill="auto"/>
          </w:tcPr>
          <w:p>
            <w:pPr>
              <w:pStyle w:val="61"/>
              <w:shd w:val="clear" w:color="auto" w:fill="FFFFFF"/>
              <w:spacing w:line="360" w:lineRule="auto"/>
              <w:ind w:left="420"/>
              <w:rPr>
                <w:rFonts w:ascii="宋体" w:hAnsi="宋体"/>
                <w:sz w:val="21"/>
                <w:szCs w:val="21"/>
                <w:lang w:eastAsia="zh-CN"/>
              </w:rPr>
            </w:pPr>
          </w:p>
        </w:tc>
        <w:tc>
          <w:tcPr>
            <w:tcW w:w="3570" w:type="dxa"/>
            <w:shd w:val="clear" w:color="auto" w:fill="auto"/>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shd w:val="clear" w:color="auto" w:fill="auto"/>
          </w:tcPr>
          <w:p>
            <w:pPr>
              <w:pStyle w:val="61"/>
              <w:shd w:val="clear" w:color="auto" w:fill="FFFFFF"/>
              <w:spacing w:line="360" w:lineRule="auto"/>
              <w:ind w:left="420"/>
              <w:rPr>
                <w:rFonts w:ascii="宋体" w:hAnsi="宋体"/>
                <w:sz w:val="21"/>
                <w:szCs w:val="21"/>
                <w:lang w:eastAsia="zh-CN"/>
              </w:rPr>
            </w:pPr>
          </w:p>
        </w:tc>
        <w:tc>
          <w:tcPr>
            <w:tcW w:w="3570" w:type="dxa"/>
            <w:shd w:val="clear" w:color="auto" w:fill="auto"/>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shd w:val="clear" w:color="auto" w:fill="auto"/>
          </w:tcPr>
          <w:p>
            <w:pPr>
              <w:pStyle w:val="61"/>
              <w:shd w:val="clear" w:color="auto" w:fill="FFFFFF"/>
              <w:spacing w:line="360" w:lineRule="auto"/>
              <w:ind w:left="420"/>
              <w:rPr>
                <w:rFonts w:ascii="宋体" w:hAnsi="宋体"/>
                <w:sz w:val="21"/>
                <w:szCs w:val="21"/>
                <w:lang w:eastAsia="zh-CN"/>
              </w:rPr>
            </w:pPr>
          </w:p>
        </w:tc>
        <w:tc>
          <w:tcPr>
            <w:tcW w:w="3570" w:type="dxa"/>
            <w:shd w:val="clear" w:color="auto" w:fill="auto"/>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shd w:val="clear" w:color="auto" w:fill="auto"/>
          </w:tcPr>
          <w:p>
            <w:pPr>
              <w:pStyle w:val="61"/>
              <w:shd w:val="clear" w:color="auto" w:fill="FFFFFF"/>
              <w:spacing w:line="360" w:lineRule="auto"/>
              <w:ind w:left="420"/>
              <w:rPr>
                <w:rFonts w:ascii="宋体" w:hAnsi="宋体"/>
                <w:sz w:val="21"/>
                <w:szCs w:val="21"/>
                <w:lang w:eastAsia="zh-CN"/>
              </w:rPr>
            </w:pPr>
          </w:p>
        </w:tc>
        <w:tc>
          <w:tcPr>
            <w:tcW w:w="3570" w:type="dxa"/>
            <w:shd w:val="clear" w:color="auto" w:fill="auto"/>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shd w:val="clear" w:color="auto" w:fill="auto"/>
          </w:tcPr>
          <w:p>
            <w:pPr>
              <w:pStyle w:val="61"/>
              <w:shd w:val="clear" w:color="auto" w:fill="FFFFFF"/>
              <w:spacing w:line="360" w:lineRule="auto"/>
              <w:ind w:left="420"/>
              <w:rPr>
                <w:rFonts w:ascii="宋体" w:hAnsi="宋体"/>
                <w:sz w:val="21"/>
                <w:szCs w:val="21"/>
                <w:lang w:eastAsia="zh-CN"/>
              </w:rPr>
            </w:pPr>
          </w:p>
        </w:tc>
        <w:tc>
          <w:tcPr>
            <w:tcW w:w="3570" w:type="dxa"/>
            <w:shd w:val="clear" w:color="auto" w:fill="auto"/>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240" w:type="dxa"/>
            <w:gridSpan w:val="2"/>
            <w:shd w:val="clear" w:color="auto" w:fill="auto"/>
          </w:tcPr>
          <w:p>
            <w:pPr>
              <w:pStyle w:val="61"/>
              <w:shd w:val="clear" w:color="auto" w:fill="FFFFFF"/>
              <w:spacing w:line="360" w:lineRule="auto"/>
              <w:ind w:left="420"/>
              <w:jc w:val="both"/>
              <w:rPr>
                <w:rFonts w:ascii="宋体" w:hAnsi="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70" w:type="dxa"/>
            <w:shd w:val="clear" w:color="auto" w:fill="auto"/>
          </w:tcPr>
          <w:p>
            <w:pPr>
              <w:pStyle w:val="61"/>
              <w:shd w:val="clear" w:color="auto" w:fill="FFFFFF"/>
              <w:spacing w:line="360" w:lineRule="auto"/>
              <w:ind w:left="420"/>
              <w:rPr>
                <w:rFonts w:ascii="宋体" w:hAnsi="宋体"/>
                <w:sz w:val="21"/>
                <w:szCs w:val="21"/>
                <w:lang w:eastAsia="zh-CN"/>
              </w:rPr>
            </w:pPr>
          </w:p>
        </w:tc>
        <w:tc>
          <w:tcPr>
            <w:tcW w:w="3570" w:type="dxa"/>
            <w:shd w:val="clear" w:color="auto" w:fill="auto"/>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670" w:type="dxa"/>
            <w:shd w:val="clear" w:color="auto" w:fill="auto"/>
          </w:tcPr>
          <w:p>
            <w:pPr>
              <w:pStyle w:val="61"/>
              <w:shd w:val="clear" w:color="auto" w:fill="FFFFFF"/>
              <w:spacing w:line="360" w:lineRule="auto"/>
              <w:ind w:left="420"/>
              <w:rPr>
                <w:rFonts w:ascii="宋体" w:hAnsi="宋体"/>
                <w:sz w:val="21"/>
                <w:szCs w:val="21"/>
                <w:lang w:eastAsia="zh-CN"/>
              </w:rPr>
            </w:pPr>
          </w:p>
        </w:tc>
        <w:tc>
          <w:tcPr>
            <w:tcW w:w="3570" w:type="dxa"/>
            <w:shd w:val="clear" w:color="auto" w:fill="auto"/>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70" w:type="dxa"/>
            <w:shd w:val="clear" w:color="auto" w:fill="auto"/>
          </w:tcPr>
          <w:p>
            <w:pPr>
              <w:pStyle w:val="61"/>
              <w:shd w:val="clear" w:color="auto" w:fill="FFFFFF"/>
              <w:spacing w:line="360" w:lineRule="auto"/>
              <w:ind w:left="420"/>
              <w:rPr>
                <w:rFonts w:ascii="宋体" w:hAnsi="宋体"/>
                <w:sz w:val="21"/>
                <w:szCs w:val="21"/>
                <w:lang w:eastAsia="zh-CN"/>
              </w:rPr>
            </w:pPr>
          </w:p>
        </w:tc>
        <w:tc>
          <w:tcPr>
            <w:tcW w:w="3570" w:type="dxa"/>
            <w:shd w:val="clear" w:color="auto" w:fill="auto"/>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70" w:type="dxa"/>
            <w:shd w:val="clear" w:color="auto" w:fill="auto"/>
          </w:tcPr>
          <w:p>
            <w:pPr>
              <w:pStyle w:val="61"/>
              <w:shd w:val="clear" w:color="auto" w:fill="FFFFFF"/>
              <w:spacing w:line="360" w:lineRule="auto"/>
              <w:ind w:left="420"/>
              <w:rPr>
                <w:rFonts w:ascii="宋体" w:hAnsi="宋体"/>
                <w:sz w:val="21"/>
                <w:szCs w:val="21"/>
                <w:lang w:eastAsia="zh-CN"/>
              </w:rPr>
            </w:pPr>
          </w:p>
        </w:tc>
        <w:tc>
          <w:tcPr>
            <w:tcW w:w="3570" w:type="dxa"/>
            <w:shd w:val="clear" w:color="auto" w:fill="auto"/>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670" w:type="dxa"/>
            <w:shd w:val="clear" w:color="auto" w:fill="auto"/>
          </w:tcPr>
          <w:p>
            <w:pPr>
              <w:pStyle w:val="61"/>
              <w:shd w:val="clear" w:color="auto" w:fill="FFFFFF"/>
              <w:spacing w:line="360" w:lineRule="auto"/>
              <w:ind w:left="420"/>
              <w:rPr>
                <w:rFonts w:ascii="宋体" w:hAnsi="宋体"/>
                <w:sz w:val="21"/>
                <w:szCs w:val="21"/>
                <w:lang w:eastAsia="zh-CN"/>
              </w:rPr>
            </w:pPr>
          </w:p>
        </w:tc>
        <w:tc>
          <w:tcPr>
            <w:tcW w:w="3570" w:type="dxa"/>
            <w:shd w:val="clear" w:color="auto" w:fill="auto"/>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9240" w:type="dxa"/>
            <w:gridSpan w:val="2"/>
            <w:shd w:val="clear" w:color="auto" w:fill="auto"/>
          </w:tcPr>
          <w:p>
            <w:pPr>
              <w:pStyle w:val="61"/>
              <w:shd w:val="clear" w:color="auto" w:fill="FFFFFF"/>
              <w:spacing w:line="360" w:lineRule="auto"/>
              <w:ind w:left="420"/>
              <w:jc w:val="both"/>
              <w:rPr>
                <w:rFonts w:ascii="宋体" w:hAnsi="宋体"/>
                <w:b/>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shd w:val="clear" w:color="auto" w:fill="auto"/>
          </w:tcPr>
          <w:p>
            <w:pPr>
              <w:pStyle w:val="61"/>
              <w:shd w:val="clear" w:color="auto" w:fill="FFFFFF"/>
              <w:spacing w:line="360" w:lineRule="auto"/>
              <w:ind w:left="420"/>
              <w:rPr>
                <w:rFonts w:ascii="宋体" w:hAnsi="宋体"/>
                <w:b/>
                <w:bCs/>
                <w:sz w:val="21"/>
                <w:szCs w:val="21"/>
                <w:lang w:eastAsia="zh-CN"/>
              </w:rPr>
            </w:pPr>
          </w:p>
        </w:tc>
        <w:tc>
          <w:tcPr>
            <w:tcW w:w="3570" w:type="dxa"/>
            <w:shd w:val="clear" w:color="auto" w:fill="auto"/>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shd w:val="clear" w:color="auto" w:fill="auto"/>
          </w:tcPr>
          <w:p>
            <w:pPr>
              <w:pStyle w:val="61"/>
              <w:shd w:val="clear" w:color="auto" w:fill="FFFFFF"/>
              <w:spacing w:line="360" w:lineRule="auto"/>
              <w:ind w:left="420"/>
              <w:rPr>
                <w:rFonts w:ascii="宋体" w:hAnsi="宋体"/>
                <w:sz w:val="21"/>
                <w:szCs w:val="21"/>
                <w:lang w:eastAsia="zh-CN"/>
              </w:rPr>
            </w:pPr>
          </w:p>
        </w:tc>
        <w:tc>
          <w:tcPr>
            <w:tcW w:w="3570" w:type="dxa"/>
            <w:shd w:val="clear" w:color="auto" w:fill="auto"/>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shd w:val="clear" w:color="auto" w:fill="auto"/>
          </w:tcPr>
          <w:p>
            <w:pPr>
              <w:pStyle w:val="61"/>
              <w:shd w:val="clear" w:color="auto" w:fill="FFFFFF"/>
              <w:spacing w:line="360" w:lineRule="auto"/>
              <w:ind w:left="420"/>
              <w:rPr>
                <w:rFonts w:ascii="宋体" w:hAnsi="宋体"/>
                <w:b/>
                <w:bCs/>
                <w:sz w:val="21"/>
                <w:szCs w:val="21"/>
                <w:lang w:eastAsia="zh-CN"/>
              </w:rPr>
            </w:pPr>
          </w:p>
        </w:tc>
        <w:tc>
          <w:tcPr>
            <w:tcW w:w="3570" w:type="dxa"/>
            <w:shd w:val="clear" w:color="auto" w:fill="auto"/>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9240" w:type="dxa"/>
            <w:gridSpan w:val="2"/>
            <w:shd w:val="clear" w:color="auto" w:fill="auto"/>
          </w:tcPr>
          <w:p>
            <w:pPr>
              <w:pStyle w:val="61"/>
              <w:shd w:val="clear" w:color="auto" w:fill="FFFFFF"/>
              <w:spacing w:line="360" w:lineRule="auto"/>
              <w:ind w:left="420"/>
              <w:jc w:val="both"/>
              <w:rPr>
                <w:rFonts w:ascii="宋体" w:hAnsi="宋体"/>
                <w:b/>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670" w:type="dxa"/>
            <w:shd w:val="clear" w:color="auto" w:fill="auto"/>
          </w:tcPr>
          <w:p>
            <w:pPr>
              <w:pStyle w:val="61"/>
              <w:shd w:val="clear" w:color="auto" w:fill="FFFFFF"/>
              <w:spacing w:line="360" w:lineRule="auto"/>
              <w:ind w:left="0" w:firstLine="420" w:firstLineChars="200"/>
              <w:rPr>
                <w:rFonts w:ascii="宋体" w:hAnsi="宋体"/>
                <w:sz w:val="21"/>
                <w:szCs w:val="21"/>
                <w:lang w:eastAsia="zh-CN"/>
              </w:rPr>
            </w:pPr>
          </w:p>
        </w:tc>
        <w:tc>
          <w:tcPr>
            <w:tcW w:w="3570" w:type="dxa"/>
            <w:shd w:val="clear" w:color="auto" w:fill="auto"/>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670" w:type="dxa"/>
            <w:tcBorders>
              <w:bottom w:val="single" w:color="auto" w:sz="4" w:space="0"/>
            </w:tcBorders>
            <w:shd w:val="clear" w:color="auto" w:fill="auto"/>
          </w:tcPr>
          <w:p>
            <w:pPr>
              <w:pStyle w:val="61"/>
              <w:shd w:val="clear" w:color="auto" w:fill="FFFFFF"/>
              <w:spacing w:line="360" w:lineRule="auto"/>
              <w:ind w:left="0" w:firstLine="420" w:firstLineChars="200"/>
              <w:rPr>
                <w:rFonts w:ascii="宋体" w:hAnsi="宋体"/>
                <w:sz w:val="21"/>
                <w:szCs w:val="21"/>
                <w:lang w:eastAsia="zh-CN"/>
              </w:rPr>
            </w:pPr>
          </w:p>
        </w:tc>
        <w:tc>
          <w:tcPr>
            <w:tcW w:w="3570" w:type="dxa"/>
            <w:tcBorders>
              <w:bottom w:val="single" w:color="auto" w:sz="4" w:space="0"/>
            </w:tcBorders>
            <w:shd w:val="clear" w:color="auto" w:fill="auto"/>
          </w:tcPr>
          <w:p>
            <w:pPr>
              <w:spacing w:line="360" w:lineRule="auto"/>
              <w:rPr>
                <w:rFonts w:ascii="宋体" w:hAnsi="宋体"/>
                <w:szCs w:val="21"/>
              </w:rPr>
            </w:pPr>
          </w:p>
        </w:tc>
      </w:tr>
    </w:tbl>
    <w:p>
      <w:pPr>
        <w:spacing w:line="360" w:lineRule="auto"/>
        <w:rPr>
          <w:rFonts w:ascii="宋体" w:hAnsi="宋体"/>
          <w:color w:val="FF0000"/>
        </w:rPr>
      </w:pPr>
    </w:p>
    <w:p>
      <w:pPr>
        <w:spacing w:line="360" w:lineRule="auto"/>
        <w:jc w:val="center"/>
        <w:rPr>
          <w:rFonts w:ascii="宋体" w:hAnsi="宋体"/>
          <w:b/>
          <w:bCs/>
          <w:szCs w:val="21"/>
        </w:rPr>
      </w:pPr>
      <w:r>
        <w:rPr>
          <w:rFonts w:ascii="宋体" w:hAnsi="宋体"/>
          <w:b/>
          <w:color w:val="000000"/>
          <w:sz w:val="32"/>
          <w:szCs w:val="32"/>
        </w:rPr>
        <w:br w:type="page"/>
      </w:r>
      <w:r>
        <w:rPr>
          <w:rFonts w:hint="eastAsia" w:ascii="宋体" w:hAnsi="宋体"/>
          <w:b/>
          <w:bCs/>
          <w:szCs w:val="21"/>
        </w:rPr>
        <w:t>响应文件主要目录</w:t>
      </w:r>
    </w:p>
    <w:p>
      <w:pPr>
        <w:spacing w:line="360" w:lineRule="auto"/>
        <w:jc w:val="center"/>
        <w:rPr>
          <w:rFonts w:ascii="宋体" w:hAnsi="宋体"/>
          <w:b/>
          <w:bCs/>
          <w:szCs w:val="21"/>
        </w:rPr>
      </w:pPr>
    </w:p>
    <w:p>
      <w:pPr>
        <w:spacing w:line="360" w:lineRule="auto"/>
        <w:ind w:firstLine="420" w:firstLineChars="200"/>
        <w:rPr>
          <w:rFonts w:ascii="宋体" w:hAnsi="宋体"/>
          <w:szCs w:val="21"/>
        </w:rPr>
      </w:pPr>
      <w:r>
        <w:rPr>
          <w:rFonts w:hint="eastAsia" w:ascii="宋体" w:hAnsi="宋体"/>
          <w:szCs w:val="21"/>
        </w:rPr>
        <w:t>一、资格性和符合性检查响应对照表</w:t>
      </w:r>
    </w:p>
    <w:p>
      <w:pPr>
        <w:spacing w:line="360" w:lineRule="auto"/>
        <w:ind w:firstLine="422" w:firstLineChars="200"/>
        <w:rPr>
          <w:rFonts w:ascii="宋体" w:hAnsi="宋体"/>
          <w:bCs/>
          <w:szCs w:val="21"/>
        </w:rPr>
      </w:pPr>
      <w:r>
        <w:rPr>
          <w:rFonts w:hint="eastAsia" w:ascii="宋体" w:hAnsi="宋体"/>
          <w:b/>
          <w:bCs/>
          <w:szCs w:val="21"/>
        </w:rPr>
        <w:t>二</w:t>
      </w:r>
      <w:r>
        <w:rPr>
          <w:rFonts w:hint="eastAsia" w:ascii="宋体" w:hAnsi="宋体"/>
          <w:szCs w:val="21"/>
        </w:rPr>
        <w:t>、</w:t>
      </w:r>
      <w:r>
        <w:rPr>
          <w:rFonts w:hint="eastAsia" w:ascii="宋体" w:hAnsi="宋体"/>
          <w:bCs/>
          <w:szCs w:val="21"/>
        </w:rPr>
        <w:t>资信证明文件</w:t>
      </w:r>
    </w:p>
    <w:p>
      <w:pPr>
        <w:spacing w:line="360" w:lineRule="auto"/>
        <w:ind w:firstLine="420" w:firstLineChars="200"/>
        <w:rPr>
          <w:rFonts w:ascii="宋体" w:hAnsi="宋体"/>
          <w:szCs w:val="21"/>
        </w:rPr>
      </w:pPr>
      <w:r>
        <w:rPr>
          <w:rFonts w:hint="eastAsia" w:ascii="宋体" w:hAnsi="宋体"/>
          <w:szCs w:val="21"/>
        </w:rPr>
        <w:t>三、谈判响应函</w:t>
      </w:r>
    </w:p>
    <w:p>
      <w:pPr>
        <w:spacing w:line="360" w:lineRule="auto"/>
        <w:ind w:firstLine="420" w:firstLineChars="200"/>
        <w:rPr>
          <w:rFonts w:ascii="宋体" w:hAnsi="宋体"/>
          <w:szCs w:val="21"/>
        </w:rPr>
      </w:pPr>
      <w:r>
        <w:rPr>
          <w:rFonts w:hint="eastAsia" w:ascii="宋体" w:hAnsi="宋体"/>
          <w:szCs w:val="21"/>
        </w:rPr>
        <w:t>四、谈判响应报价表（详工程量清单）</w:t>
      </w:r>
    </w:p>
    <w:p>
      <w:pPr>
        <w:spacing w:line="360" w:lineRule="auto"/>
        <w:ind w:firstLine="420" w:firstLineChars="200"/>
        <w:rPr>
          <w:rFonts w:ascii="宋体" w:hAnsi="宋体"/>
          <w:szCs w:val="21"/>
        </w:rPr>
      </w:pPr>
      <w:r>
        <w:rPr>
          <w:rFonts w:hint="eastAsia" w:ascii="宋体" w:hAnsi="宋体"/>
          <w:szCs w:val="21"/>
        </w:rPr>
        <w:t>五、项目需求响应方案</w:t>
      </w:r>
    </w:p>
    <w:p>
      <w:pPr>
        <w:spacing w:line="360" w:lineRule="auto"/>
        <w:ind w:firstLine="420" w:firstLineChars="200"/>
        <w:rPr>
          <w:rFonts w:ascii="宋体" w:hAnsi="宋体"/>
          <w:szCs w:val="21"/>
        </w:rPr>
      </w:pPr>
      <w:r>
        <w:rPr>
          <w:rFonts w:hint="eastAsia" w:ascii="宋体" w:hAnsi="宋体"/>
          <w:szCs w:val="21"/>
        </w:rPr>
        <w:t>六</w:t>
      </w:r>
      <w:r>
        <w:rPr>
          <w:rFonts w:hint="eastAsia" w:ascii="宋体" w:hAnsi="宋体" w:cs="Courier New"/>
          <w:szCs w:val="21"/>
        </w:rPr>
        <w:t>、</w:t>
      </w:r>
      <w:r>
        <w:rPr>
          <w:rFonts w:ascii="宋体" w:hAnsi="宋体" w:cs="Courier New"/>
          <w:szCs w:val="21"/>
        </w:rPr>
        <w:t>……</w:t>
      </w:r>
    </w:p>
    <w:p>
      <w:pPr>
        <w:pStyle w:val="5"/>
        <w:spacing w:line="360" w:lineRule="auto"/>
        <w:rPr>
          <w:rFonts w:ascii="宋体" w:hAnsi="宋体"/>
          <w:b w:val="0"/>
          <w:color w:val="000000"/>
          <w:sz w:val="32"/>
          <w:szCs w:val="32"/>
        </w:rPr>
      </w:pPr>
    </w:p>
    <w:p>
      <w:pPr>
        <w:spacing w:line="360" w:lineRule="auto"/>
        <w:jc w:val="center"/>
        <w:rPr>
          <w:rFonts w:ascii="宋体" w:hAnsi="宋体"/>
          <w:b/>
          <w:color w:val="000000"/>
          <w:szCs w:val="21"/>
        </w:rPr>
      </w:pPr>
    </w:p>
    <w:p>
      <w:pPr>
        <w:spacing w:line="360" w:lineRule="auto"/>
        <w:jc w:val="center"/>
        <w:rPr>
          <w:rFonts w:ascii="宋体" w:hAnsi="宋体"/>
          <w:b/>
          <w:color w:val="000000"/>
          <w:szCs w:val="21"/>
        </w:rPr>
      </w:pPr>
    </w:p>
    <w:p>
      <w:pPr>
        <w:spacing w:line="360" w:lineRule="auto"/>
        <w:jc w:val="center"/>
        <w:rPr>
          <w:rFonts w:ascii="宋体" w:hAnsi="宋体"/>
          <w:b/>
          <w:color w:val="000000"/>
          <w:szCs w:val="21"/>
        </w:rPr>
      </w:pPr>
    </w:p>
    <w:p>
      <w:pPr>
        <w:spacing w:line="360" w:lineRule="auto"/>
        <w:jc w:val="center"/>
        <w:rPr>
          <w:rFonts w:ascii="宋体" w:hAnsi="宋体"/>
          <w:b/>
          <w:color w:val="000000"/>
          <w:szCs w:val="21"/>
        </w:rPr>
      </w:pPr>
    </w:p>
    <w:p>
      <w:pPr>
        <w:spacing w:line="360" w:lineRule="auto"/>
        <w:jc w:val="center"/>
        <w:rPr>
          <w:rFonts w:ascii="宋体" w:hAnsi="宋体"/>
          <w:b/>
          <w:color w:val="000000"/>
          <w:szCs w:val="21"/>
        </w:rPr>
      </w:pPr>
    </w:p>
    <w:p>
      <w:pPr>
        <w:spacing w:line="360" w:lineRule="auto"/>
        <w:jc w:val="center"/>
        <w:rPr>
          <w:rFonts w:ascii="宋体" w:hAnsi="宋体"/>
          <w:b/>
          <w:color w:val="000000"/>
          <w:szCs w:val="21"/>
        </w:rPr>
      </w:pPr>
    </w:p>
    <w:p>
      <w:pPr>
        <w:spacing w:line="360" w:lineRule="auto"/>
        <w:jc w:val="center"/>
        <w:rPr>
          <w:rFonts w:ascii="宋体" w:hAnsi="宋体"/>
          <w:b/>
          <w:color w:val="000000"/>
          <w:szCs w:val="21"/>
        </w:rPr>
      </w:pPr>
    </w:p>
    <w:p>
      <w:pPr>
        <w:spacing w:line="360" w:lineRule="auto"/>
        <w:jc w:val="center"/>
        <w:rPr>
          <w:rFonts w:ascii="宋体" w:hAnsi="宋体"/>
          <w:b/>
          <w:color w:val="000000"/>
          <w:szCs w:val="21"/>
        </w:rPr>
      </w:pPr>
    </w:p>
    <w:p>
      <w:pPr>
        <w:spacing w:line="360" w:lineRule="auto"/>
        <w:jc w:val="center"/>
        <w:rPr>
          <w:rFonts w:ascii="宋体" w:hAnsi="宋体"/>
          <w:b/>
          <w:color w:val="000000"/>
          <w:szCs w:val="21"/>
        </w:rPr>
      </w:pPr>
    </w:p>
    <w:p>
      <w:pPr>
        <w:spacing w:line="360" w:lineRule="auto"/>
        <w:jc w:val="center"/>
        <w:rPr>
          <w:rFonts w:ascii="宋体" w:hAnsi="宋体"/>
          <w:b/>
          <w:color w:val="000000"/>
          <w:szCs w:val="21"/>
        </w:rPr>
      </w:pPr>
    </w:p>
    <w:p>
      <w:pPr>
        <w:spacing w:line="360" w:lineRule="auto"/>
        <w:jc w:val="center"/>
        <w:rPr>
          <w:rFonts w:ascii="宋体" w:hAnsi="宋体"/>
          <w:b/>
          <w:color w:val="000000"/>
          <w:szCs w:val="21"/>
        </w:rPr>
      </w:pPr>
    </w:p>
    <w:p>
      <w:pPr>
        <w:spacing w:line="360" w:lineRule="auto"/>
        <w:jc w:val="center"/>
        <w:rPr>
          <w:rFonts w:ascii="宋体" w:hAnsi="宋体"/>
          <w:b/>
          <w:color w:val="000000"/>
          <w:szCs w:val="21"/>
        </w:rPr>
      </w:pPr>
    </w:p>
    <w:p>
      <w:pPr>
        <w:spacing w:line="360" w:lineRule="auto"/>
        <w:jc w:val="center"/>
        <w:rPr>
          <w:rFonts w:ascii="宋体" w:hAnsi="宋体"/>
          <w:b/>
          <w:color w:val="000000"/>
          <w:szCs w:val="21"/>
        </w:rPr>
      </w:pPr>
    </w:p>
    <w:p>
      <w:pPr>
        <w:spacing w:line="360" w:lineRule="auto"/>
        <w:jc w:val="center"/>
        <w:rPr>
          <w:rFonts w:ascii="宋体" w:hAnsi="宋体"/>
          <w:b/>
          <w:color w:val="000000"/>
          <w:szCs w:val="21"/>
        </w:rPr>
      </w:pPr>
    </w:p>
    <w:p>
      <w:pPr>
        <w:spacing w:line="360" w:lineRule="auto"/>
        <w:jc w:val="center"/>
        <w:rPr>
          <w:rFonts w:ascii="宋体" w:hAnsi="宋体"/>
          <w:b/>
          <w:color w:val="000000"/>
          <w:szCs w:val="21"/>
        </w:rPr>
      </w:pPr>
    </w:p>
    <w:p>
      <w:pPr>
        <w:spacing w:line="360" w:lineRule="auto"/>
        <w:jc w:val="center"/>
        <w:rPr>
          <w:rFonts w:ascii="宋体" w:hAnsi="宋体"/>
          <w:b/>
          <w:color w:val="000000"/>
          <w:szCs w:val="21"/>
        </w:rPr>
      </w:pPr>
    </w:p>
    <w:p>
      <w:pPr>
        <w:spacing w:line="360" w:lineRule="auto"/>
        <w:jc w:val="center"/>
        <w:rPr>
          <w:rFonts w:ascii="宋体" w:hAnsi="宋体"/>
          <w:b/>
          <w:color w:val="000000"/>
          <w:szCs w:val="21"/>
        </w:rPr>
      </w:pPr>
    </w:p>
    <w:p>
      <w:pPr>
        <w:spacing w:line="360" w:lineRule="auto"/>
        <w:jc w:val="center"/>
        <w:rPr>
          <w:rFonts w:ascii="宋体" w:hAnsi="宋体"/>
          <w:b/>
          <w:color w:val="000000"/>
          <w:szCs w:val="21"/>
        </w:rPr>
      </w:pPr>
    </w:p>
    <w:p>
      <w:pPr>
        <w:spacing w:line="360" w:lineRule="auto"/>
        <w:jc w:val="center"/>
        <w:rPr>
          <w:rFonts w:ascii="宋体" w:hAnsi="宋体"/>
          <w:b/>
          <w:color w:val="000000"/>
          <w:szCs w:val="21"/>
        </w:rPr>
      </w:pPr>
    </w:p>
    <w:p>
      <w:pPr>
        <w:spacing w:line="360" w:lineRule="auto"/>
        <w:jc w:val="center"/>
        <w:rPr>
          <w:rFonts w:ascii="宋体" w:hAnsi="宋体"/>
          <w:b/>
          <w:color w:val="000000"/>
          <w:szCs w:val="21"/>
        </w:rPr>
      </w:pPr>
    </w:p>
    <w:p>
      <w:pPr>
        <w:spacing w:line="360" w:lineRule="auto"/>
        <w:jc w:val="center"/>
        <w:rPr>
          <w:rFonts w:ascii="宋体" w:hAnsi="宋体"/>
          <w:b/>
          <w:color w:val="000000"/>
          <w:szCs w:val="21"/>
        </w:rPr>
      </w:pPr>
    </w:p>
    <w:p>
      <w:pPr>
        <w:spacing w:line="360" w:lineRule="auto"/>
        <w:jc w:val="center"/>
        <w:rPr>
          <w:rFonts w:ascii="宋体" w:hAnsi="宋体"/>
          <w:b/>
          <w:color w:val="000000"/>
          <w:szCs w:val="21"/>
        </w:rPr>
      </w:pPr>
    </w:p>
    <w:p>
      <w:pPr>
        <w:spacing w:line="360" w:lineRule="auto"/>
        <w:jc w:val="center"/>
        <w:rPr>
          <w:rFonts w:ascii="宋体" w:hAnsi="宋体"/>
          <w:b/>
          <w:color w:val="000000"/>
          <w:szCs w:val="21"/>
        </w:rPr>
      </w:pPr>
    </w:p>
    <w:p>
      <w:pPr>
        <w:spacing w:line="360" w:lineRule="auto"/>
        <w:jc w:val="center"/>
        <w:rPr>
          <w:rFonts w:ascii="宋体" w:hAnsi="宋体"/>
          <w:b/>
          <w:color w:val="000000"/>
          <w:szCs w:val="21"/>
        </w:rPr>
      </w:pPr>
      <w:r>
        <w:rPr>
          <w:rFonts w:hint="eastAsia" w:ascii="宋体" w:hAnsi="宋体"/>
          <w:b/>
          <w:color w:val="000000"/>
          <w:szCs w:val="21"/>
        </w:rPr>
        <w:t>一、资格性和符合性检查响应对照表</w:t>
      </w:r>
    </w:p>
    <w:p>
      <w:pPr>
        <w:spacing w:line="360" w:lineRule="auto"/>
        <w:ind w:firstLine="309"/>
        <w:rPr>
          <w:rFonts w:ascii="宋体" w:hAnsi="宋体"/>
          <w:color w:val="000000"/>
          <w:szCs w:val="21"/>
        </w:rPr>
      </w:pPr>
      <w:r>
        <w:rPr>
          <w:rFonts w:hint="eastAsia" w:ascii="宋体" w:hAnsi="宋体"/>
          <w:color w:val="000000"/>
          <w:szCs w:val="21"/>
        </w:rPr>
        <w:t>谈判供应商全称（加盖公章）：</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pPr>
              <w:snapToGrid w:val="0"/>
              <w:spacing w:line="360" w:lineRule="auto"/>
              <w:jc w:val="center"/>
              <w:rPr>
                <w:rFonts w:ascii="宋体" w:hAnsi="宋体"/>
                <w:color w:val="000000"/>
                <w:szCs w:val="21"/>
              </w:rPr>
            </w:pPr>
            <w:r>
              <w:rPr>
                <w:rFonts w:hint="eastAsia" w:ascii="宋体" w:hAnsi="宋体"/>
                <w:color w:val="000000"/>
                <w:szCs w:val="21"/>
              </w:rPr>
              <w:t>序号</w:t>
            </w:r>
          </w:p>
        </w:tc>
        <w:tc>
          <w:tcPr>
            <w:tcW w:w="5447" w:type="dxa"/>
            <w:vAlign w:val="center"/>
          </w:tcPr>
          <w:p>
            <w:pPr>
              <w:snapToGrid w:val="0"/>
              <w:spacing w:line="360" w:lineRule="auto"/>
              <w:jc w:val="center"/>
              <w:rPr>
                <w:rFonts w:ascii="宋体" w:hAnsi="宋体"/>
                <w:color w:val="000000"/>
                <w:szCs w:val="21"/>
              </w:rPr>
            </w:pPr>
            <w:r>
              <w:rPr>
                <w:rFonts w:hint="eastAsia" w:ascii="宋体" w:hAnsi="宋体"/>
                <w:color w:val="000000"/>
                <w:szCs w:val="21"/>
              </w:rPr>
              <w:t>资格和符合性检查响应内容</w:t>
            </w:r>
          </w:p>
        </w:tc>
        <w:tc>
          <w:tcPr>
            <w:tcW w:w="1680" w:type="dxa"/>
            <w:vAlign w:val="center"/>
          </w:tcPr>
          <w:p>
            <w:pPr>
              <w:snapToGrid w:val="0"/>
              <w:spacing w:line="360" w:lineRule="auto"/>
              <w:jc w:val="center"/>
              <w:rPr>
                <w:rFonts w:ascii="宋体" w:hAnsi="宋体"/>
                <w:color w:val="000000"/>
                <w:szCs w:val="21"/>
              </w:rPr>
            </w:pPr>
            <w:r>
              <w:rPr>
                <w:rFonts w:hint="eastAsia" w:ascii="宋体" w:hAnsi="宋体"/>
                <w:color w:val="000000"/>
                <w:szCs w:val="21"/>
              </w:rPr>
              <w:t>是否响应</w:t>
            </w:r>
          </w:p>
          <w:p>
            <w:pPr>
              <w:snapToGrid w:val="0"/>
              <w:spacing w:line="360" w:lineRule="auto"/>
              <w:jc w:val="center"/>
              <w:rPr>
                <w:rFonts w:ascii="宋体" w:hAnsi="宋体"/>
                <w:color w:val="000000"/>
                <w:szCs w:val="21"/>
              </w:rPr>
            </w:pPr>
            <w:r>
              <w:rPr>
                <w:rFonts w:hint="eastAsia" w:ascii="宋体" w:hAnsi="宋体"/>
                <w:color w:val="000000"/>
                <w:szCs w:val="21"/>
              </w:rPr>
              <w:t>（填是或者否）</w:t>
            </w:r>
          </w:p>
        </w:tc>
        <w:tc>
          <w:tcPr>
            <w:tcW w:w="1785" w:type="dxa"/>
            <w:vAlign w:val="center"/>
          </w:tcPr>
          <w:p>
            <w:pPr>
              <w:snapToGrid w:val="0"/>
              <w:spacing w:line="360" w:lineRule="auto"/>
              <w:jc w:val="center"/>
              <w:rPr>
                <w:rFonts w:ascii="宋体" w:hAnsi="宋体"/>
                <w:color w:val="000000"/>
                <w:szCs w:val="21"/>
              </w:rPr>
            </w:pPr>
            <w:r>
              <w:rPr>
                <w:rFonts w:hint="eastAsia" w:ascii="宋体" w:hAnsi="宋体"/>
                <w:color w:val="000000"/>
                <w:szCs w:val="21"/>
              </w:rPr>
              <w:t>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spacing w:line="360" w:lineRule="auto"/>
              <w:rPr>
                <w:rFonts w:ascii="宋体" w:hAnsi="宋体"/>
                <w:i/>
                <w:color w:val="000000"/>
                <w:szCs w:val="21"/>
                <w:u w:val="single"/>
              </w:rPr>
            </w:pPr>
            <w:r>
              <w:rPr>
                <w:rFonts w:hint="eastAsia" w:ascii="宋体" w:hAnsi="宋体"/>
                <w:i/>
                <w:color w:val="000000"/>
                <w:szCs w:val="21"/>
                <w:u w:val="single"/>
              </w:rPr>
              <w:t>1</w:t>
            </w:r>
          </w:p>
        </w:tc>
        <w:tc>
          <w:tcPr>
            <w:tcW w:w="5447" w:type="dxa"/>
            <w:vAlign w:val="center"/>
          </w:tcPr>
          <w:p>
            <w:pPr>
              <w:spacing w:line="360" w:lineRule="auto"/>
              <w:rPr>
                <w:rFonts w:ascii="宋体" w:hAnsi="宋体"/>
                <w:i/>
                <w:iCs/>
                <w:color w:val="000000"/>
                <w:szCs w:val="21"/>
                <w:u w:val="single"/>
              </w:rPr>
            </w:pPr>
          </w:p>
        </w:tc>
        <w:tc>
          <w:tcPr>
            <w:tcW w:w="1680" w:type="dxa"/>
            <w:vAlign w:val="center"/>
          </w:tcPr>
          <w:p>
            <w:pPr>
              <w:spacing w:line="360" w:lineRule="auto"/>
              <w:rPr>
                <w:rFonts w:ascii="宋体" w:hAnsi="宋体"/>
                <w:color w:val="000000"/>
                <w:szCs w:val="21"/>
              </w:rPr>
            </w:pPr>
          </w:p>
        </w:tc>
        <w:tc>
          <w:tcPr>
            <w:tcW w:w="1785" w:type="dxa"/>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spacing w:line="360" w:lineRule="auto"/>
              <w:rPr>
                <w:rFonts w:ascii="宋体" w:hAnsi="宋体"/>
                <w:i/>
                <w:color w:val="000000"/>
                <w:szCs w:val="21"/>
                <w:u w:val="single"/>
              </w:rPr>
            </w:pPr>
            <w:r>
              <w:rPr>
                <w:rFonts w:hint="eastAsia" w:ascii="宋体" w:hAnsi="宋体"/>
                <w:i/>
                <w:color w:val="000000"/>
                <w:szCs w:val="21"/>
                <w:u w:val="single"/>
              </w:rPr>
              <w:t>2</w:t>
            </w:r>
          </w:p>
        </w:tc>
        <w:tc>
          <w:tcPr>
            <w:tcW w:w="5447" w:type="dxa"/>
            <w:vAlign w:val="center"/>
          </w:tcPr>
          <w:p>
            <w:pPr>
              <w:spacing w:line="360" w:lineRule="auto"/>
              <w:rPr>
                <w:rFonts w:ascii="宋体" w:hAnsi="宋体"/>
                <w:i/>
                <w:iCs/>
                <w:color w:val="000000"/>
                <w:szCs w:val="21"/>
                <w:u w:val="single"/>
              </w:rPr>
            </w:pPr>
          </w:p>
        </w:tc>
        <w:tc>
          <w:tcPr>
            <w:tcW w:w="1680" w:type="dxa"/>
            <w:vAlign w:val="center"/>
          </w:tcPr>
          <w:p>
            <w:pPr>
              <w:spacing w:line="360" w:lineRule="auto"/>
              <w:rPr>
                <w:rFonts w:ascii="宋体" w:hAnsi="宋体"/>
                <w:color w:val="000000"/>
                <w:szCs w:val="21"/>
              </w:rPr>
            </w:pPr>
          </w:p>
        </w:tc>
        <w:tc>
          <w:tcPr>
            <w:tcW w:w="1785" w:type="dxa"/>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vAlign w:val="center"/>
          </w:tcPr>
          <w:p>
            <w:pPr>
              <w:spacing w:line="360" w:lineRule="auto"/>
              <w:rPr>
                <w:rFonts w:ascii="宋体" w:hAnsi="宋体"/>
                <w:i/>
                <w:color w:val="000000"/>
                <w:szCs w:val="21"/>
                <w:u w:val="single"/>
              </w:rPr>
            </w:pPr>
            <w:r>
              <w:rPr>
                <w:rFonts w:hint="eastAsia" w:ascii="宋体" w:hAnsi="宋体"/>
                <w:i/>
                <w:color w:val="000000"/>
                <w:szCs w:val="21"/>
                <w:u w:val="single"/>
              </w:rPr>
              <w:t>3</w:t>
            </w:r>
          </w:p>
        </w:tc>
        <w:tc>
          <w:tcPr>
            <w:tcW w:w="5447" w:type="dxa"/>
            <w:vAlign w:val="center"/>
          </w:tcPr>
          <w:p>
            <w:pPr>
              <w:spacing w:line="360" w:lineRule="auto"/>
              <w:rPr>
                <w:rFonts w:ascii="宋体" w:hAnsi="宋体"/>
                <w:i/>
                <w:iCs/>
                <w:color w:val="000000"/>
                <w:szCs w:val="21"/>
                <w:u w:val="single"/>
              </w:rPr>
            </w:pPr>
          </w:p>
        </w:tc>
        <w:tc>
          <w:tcPr>
            <w:tcW w:w="1680" w:type="dxa"/>
            <w:vAlign w:val="center"/>
          </w:tcPr>
          <w:p>
            <w:pPr>
              <w:spacing w:line="360" w:lineRule="auto"/>
              <w:rPr>
                <w:rFonts w:ascii="宋体" w:hAnsi="宋体"/>
                <w:color w:val="000000"/>
                <w:szCs w:val="21"/>
              </w:rPr>
            </w:pPr>
          </w:p>
        </w:tc>
        <w:tc>
          <w:tcPr>
            <w:tcW w:w="1785" w:type="dxa"/>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6" w:hRule="atLeast"/>
        </w:trPr>
        <w:tc>
          <w:tcPr>
            <w:tcW w:w="646" w:type="dxa"/>
            <w:vAlign w:val="center"/>
          </w:tcPr>
          <w:p>
            <w:pPr>
              <w:spacing w:line="360" w:lineRule="auto"/>
              <w:rPr>
                <w:rFonts w:ascii="宋体" w:hAnsi="宋体"/>
                <w:i/>
                <w:color w:val="000000"/>
                <w:szCs w:val="21"/>
                <w:u w:val="single"/>
              </w:rPr>
            </w:pPr>
            <w:r>
              <w:rPr>
                <w:rFonts w:hint="eastAsia" w:ascii="宋体" w:hAnsi="宋体"/>
                <w:i/>
                <w:color w:val="000000"/>
                <w:szCs w:val="21"/>
                <w:u w:val="single"/>
              </w:rPr>
              <w:t>4</w:t>
            </w:r>
          </w:p>
        </w:tc>
        <w:tc>
          <w:tcPr>
            <w:tcW w:w="5447" w:type="dxa"/>
            <w:vAlign w:val="center"/>
          </w:tcPr>
          <w:p>
            <w:pPr>
              <w:spacing w:line="360" w:lineRule="auto"/>
              <w:rPr>
                <w:rFonts w:ascii="宋体" w:hAnsi="宋体"/>
                <w:i/>
                <w:iCs/>
                <w:color w:val="000000"/>
                <w:szCs w:val="21"/>
                <w:u w:val="single"/>
              </w:rPr>
            </w:pPr>
          </w:p>
        </w:tc>
        <w:tc>
          <w:tcPr>
            <w:tcW w:w="1680" w:type="dxa"/>
            <w:vAlign w:val="center"/>
          </w:tcPr>
          <w:p>
            <w:pPr>
              <w:spacing w:line="360" w:lineRule="auto"/>
              <w:rPr>
                <w:rFonts w:ascii="宋体" w:hAnsi="宋体"/>
                <w:color w:val="000000"/>
                <w:szCs w:val="21"/>
              </w:rPr>
            </w:pPr>
          </w:p>
        </w:tc>
        <w:tc>
          <w:tcPr>
            <w:tcW w:w="1785" w:type="dxa"/>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646" w:type="dxa"/>
            <w:vAlign w:val="center"/>
          </w:tcPr>
          <w:p>
            <w:pPr>
              <w:spacing w:line="360" w:lineRule="auto"/>
              <w:rPr>
                <w:rFonts w:ascii="宋体" w:hAnsi="宋体"/>
                <w:i/>
                <w:color w:val="000000"/>
                <w:szCs w:val="21"/>
                <w:u w:val="single"/>
              </w:rPr>
            </w:pPr>
            <w:r>
              <w:rPr>
                <w:rFonts w:hint="eastAsia" w:ascii="宋体" w:hAnsi="宋体"/>
                <w:i/>
                <w:color w:val="000000"/>
                <w:szCs w:val="21"/>
                <w:u w:val="single"/>
              </w:rPr>
              <w:t>5</w:t>
            </w:r>
          </w:p>
        </w:tc>
        <w:tc>
          <w:tcPr>
            <w:tcW w:w="5447" w:type="dxa"/>
            <w:vAlign w:val="center"/>
          </w:tcPr>
          <w:p>
            <w:pPr>
              <w:snapToGrid w:val="0"/>
              <w:spacing w:line="360" w:lineRule="auto"/>
              <w:rPr>
                <w:rFonts w:ascii="宋体" w:hAnsi="宋体"/>
                <w:i/>
                <w:iCs/>
                <w:color w:val="000000"/>
                <w:szCs w:val="21"/>
                <w:u w:val="single"/>
              </w:rPr>
            </w:pPr>
          </w:p>
        </w:tc>
        <w:tc>
          <w:tcPr>
            <w:tcW w:w="1680" w:type="dxa"/>
            <w:vAlign w:val="center"/>
          </w:tcPr>
          <w:p>
            <w:pPr>
              <w:spacing w:line="360" w:lineRule="auto"/>
              <w:rPr>
                <w:rFonts w:ascii="宋体" w:hAnsi="宋体"/>
                <w:color w:val="000000"/>
                <w:szCs w:val="21"/>
              </w:rPr>
            </w:pPr>
          </w:p>
        </w:tc>
        <w:tc>
          <w:tcPr>
            <w:tcW w:w="1785" w:type="dxa"/>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vAlign w:val="center"/>
          </w:tcPr>
          <w:p>
            <w:pPr>
              <w:spacing w:line="360" w:lineRule="auto"/>
              <w:rPr>
                <w:rFonts w:ascii="宋体" w:hAnsi="宋体"/>
                <w:i/>
                <w:color w:val="000000"/>
                <w:szCs w:val="21"/>
                <w:u w:val="single"/>
              </w:rPr>
            </w:pPr>
            <w:r>
              <w:rPr>
                <w:rFonts w:hint="eastAsia" w:ascii="宋体" w:hAnsi="宋体"/>
                <w:i/>
                <w:color w:val="000000"/>
                <w:szCs w:val="21"/>
                <w:u w:val="single"/>
              </w:rPr>
              <w:t>6</w:t>
            </w:r>
          </w:p>
        </w:tc>
        <w:tc>
          <w:tcPr>
            <w:tcW w:w="5447" w:type="dxa"/>
            <w:vAlign w:val="center"/>
          </w:tcPr>
          <w:p>
            <w:pPr>
              <w:snapToGrid w:val="0"/>
              <w:spacing w:line="360" w:lineRule="auto"/>
              <w:rPr>
                <w:rFonts w:ascii="宋体" w:hAnsi="宋体"/>
                <w:i/>
                <w:iCs/>
                <w:color w:val="000000"/>
                <w:szCs w:val="21"/>
                <w:u w:val="single"/>
              </w:rPr>
            </w:pPr>
          </w:p>
        </w:tc>
        <w:tc>
          <w:tcPr>
            <w:tcW w:w="1680" w:type="dxa"/>
            <w:vAlign w:val="center"/>
          </w:tcPr>
          <w:p>
            <w:pPr>
              <w:spacing w:line="360" w:lineRule="auto"/>
              <w:rPr>
                <w:rFonts w:ascii="宋体" w:hAnsi="宋体"/>
                <w:color w:val="000000"/>
                <w:szCs w:val="21"/>
              </w:rPr>
            </w:pPr>
          </w:p>
        </w:tc>
        <w:tc>
          <w:tcPr>
            <w:tcW w:w="1785" w:type="dxa"/>
            <w:vAlign w:val="center"/>
          </w:tcPr>
          <w:p>
            <w:pPr>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vAlign w:val="center"/>
          </w:tcPr>
          <w:p>
            <w:pPr>
              <w:spacing w:line="360" w:lineRule="auto"/>
              <w:rPr>
                <w:rFonts w:ascii="宋体" w:hAnsi="宋体"/>
                <w:i/>
                <w:color w:val="000000"/>
                <w:szCs w:val="21"/>
                <w:u w:val="single"/>
              </w:rPr>
            </w:pPr>
            <w:r>
              <w:rPr>
                <w:rFonts w:hint="eastAsia" w:ascii="宋体" w:hAnsi="宋体"/>
                <w:i/>
                <w:color w:val="000000"/>
                <w:szCs w:val="21"/>
                <w:u w:val="single"/>
              </w:rPr>
              <w:t>7</w:t>
            </w:r>
          </w:p>
        </w:tc>
        <w:tc>
          <w:tcPr>
            <w:tcW w:w="5447" w:type="dxa"/>
            <w:vAlign w:val="center"/>
          </w:tcPr>
          <w:p>
            <w:pPr>
              <w:snapToGrid w:val="0"/>
              <w:spacing w:line="360" w:lineRule="auto"/>
              <w:rPr>
                <w:rFonts w:ascii="宋体" w:hAnsi="宋体"/>
                <w:i/>
                <w:iCs/>
                <w:color w:val="000000"/>
                <w:szCs w:val="21"/>
                <w:u w:val="single"/>
              </w:rPr>
            </w:pPr>
            <w:r>
              <w:rPr>
                <w:rFonts w:hint="eastAsia" w:ascii="宋体" w:hAnsi="宋体"/>
                <w:i/>
                <w:iCs/>
                <w:color w:val="000000"/>
                <w:szCs w:val="21"/>
                <w:u w:val="single"/>
              </w:rPr>
              <w:t>谈判文件中的其他实质性要求</w:t>
            </w:r>
          </w:p>
        </w:tc>
        <w:tc>
          <w:tcPr>
            <w:tcW w:w="1680" w:type="dxa"/>
            <w:vAlign w:val="center"/>
          </w:tcPr>
          <w:p>
            <w:pPr>
              <w:spacing w:line="360" w:lineRule="auto"/>
              <w:rPr>
                <w:rFonts w:ascii="宋体" w:hAnsi="宋体"/>
                <w:color w:val="000000"/>
                <w:szCs w:val="21"/>
              </w:rPr>
            </w:pPr>
          </w:p>
        </w:tc>
        <w:tc>
          <w:tcPr>
            <w:tcW w:w="1785" w:type="dxa"/>
            <w:vAlign w:val="center"/>
          </w:tcPr>
          <w:p>
            <w:pPr>
              <w:spacing w:line="360" w:lineRule="auto"/>
              <w:rPr>
                <w:rFonts w:ascii="宋体" w:hAnsi="宋体"/>
                <w:color w:val="000000"/>
                <w:szCs w:val="21"/>
              </w:rPr>
            </w:pPr>
          </w:p>
        </w:tc>
      </w:tr>
    </w:tbl>
    <w:p>
      <w:pPr>
        <w:spacing w:line="360" w:lineRule="auto"/>
        <w:ind w:firstLine="420" w:firstLineChars="200"/>
        <w:rPr>
          <w:rFonts w:ascii="宋体" w:hAnsi="宋体"/>
          <w:szCs w:val="21"/>
        </w:rPr>
      </w:pPr>
    </w:p>
    <w:p>
      <w:pPr>
        <w:snapToGrid w:val="0"/>
        <w:spacing w:before="50" w:after="50" w:line="360" w:lineRule="auto"/>
        <w:rPr>
          <w:rFonts w:ascii="宋体" w:hAnsi="宋体"/>
          <w:szCs w:val="21"/>
        </w:rPr>
      </w:pPr>
    </w:p>
    <w:p>
      <w:pPr>
        <w:snapToGrid w:val="0"/>
        <w:spacing w:before="50" w:after="50" w:line="360" w:lineRule="auto"/>
        <w:rPr>
          <w:rFonts w:ascii="宋体" w:hAnsi="宋体"/>
          <w:szCs w:val="21"/>
        </w:rPr>
      </w:pPr>
    </w:p>
    <w:p>
      <w:pPr>
        <w:spacing w:line="360" w:lineRule="auto"/>
        <w:jc w:val="center"/>
        <w:rPr>
          <w:rFonts w:ascii="宋体" w:hAnsi="宋体"/>
          <w:b/>
          <w:color w:val="000000"/>
          <w:szCs w:val="21"/>
        </w:rPr>
      </w:pPr>
    </w:p>
    <w:p>
      <w:pPr>
        <w:spacing w:line="360" w:lineRule="auto"/>
        <w:jc w:val="center"/>
        <w:rPr>
          <w:rFonts w:ascii="宋体" w:hAnsi="宋体"/>
          <w:b/>
          <w:color w:val="000000"/>
          <w:szCs w:val="21"/>
        </w:rPr>
      </w:pPr>
    </w:p>
    <w:p>
      <w:pPr>
        <w:spacing w:line="360" w:lineRule="auto"/>
        <w:jc w:val="center"/>
        <w:rPr>
          <w:rFonts w:ascii="宋体" w:hAnsi="宋体"/>
          <w:b/>
          <w:color w:val="000000"/>
          <w:szCs w:val="21"/>
        </w:rPr>
      </w:pPr>
    </w:p>
    <w:p>
      <w:pPr>
        <w:spacing w:line="360" w:lineRule="auto"/>
        <w:jc w:val="center"/>
        <w:rPr>
          <w:rFonts w:ascii="宋体" w:hAnsi="宋体"/>
          <w:b/>
          <w:color w:val="000000"/>
          <w:szCs w:val="21"/>
        </w:rPr>
      </w:pPr>
    </w:p>
    <w:p>
      <w:pPr>
        <w:spacing w:line="360" w:lineRule="auto"/>
        <w:jc w:val="center"/>
        <w:rPr>
          <w:rFonts w:ascii="宋体" w:hAnsi="宋体"/>
          <w:b/>
          <w:color w:val="000000"/>
          <w:szCs w:val="21"/>
        </w:rPr>
      </w:pPr>
    </w:p>
    <w:p>
      <w:pPr>
        <w:spacing w:line="360" w:lineRule="auto"/>
        <w:jc w:val="center"/>
        <w:rPr>
          <w:rFonts w:ascii="宋体" w:hAnsi="宋体"/>
          <w:b/>
          <w:color w:val="000000"/>
          <w:szCs w:val="21"/>
        </w:rPr>
      </w:pPr>
    </w:p>
    <w:p>
      <w:pPr>
        <w:spacing w:line="360" w:lineRule="auto"/>
        <w:jc w:val="center"/>
        <w:rPr>
          <w:rFonts w:ascii="宋体" w:hAnsi="宋体"/>
          <w:b/>
          <w:color w:val="000000"/>
          <w:szCs w:val="21"/>
        </w:rPr>
      </w:pPr>
    </w:p>
    <w:p>
      <w:pPr>
        <w:spacing w:line="360" w:lineRule="auto"/>
        <w:jc w:val="center"/>
        <w:rPr>
          <w:rFonts w:ascii="宋体" w:hAnsi="宋体"/>
          <w:b/>
          <w:color w:val="000000"/>
          <w:szCs w:val="21"/>
        </w:rPr>
      </w:pPr>
    </w:p>
    <w:p>
      <w:pPr>
        <w:spacing w:line="360" w:lineRule="auto"/>
        <w:jc w:val="center"/>
        <w:rPr>
          <w:rFonts w:ascii="宋体" w:hAnsi="宋体"/>
          <w:b/>
          <w:color w:val="000000"/>
          <w:szCs w:val="21"/>
        </w:rPr>
      </w:pPr>
    </w:p>
    <w:p>
      <w:pPr>
        <w:spacing w:line="360" w:lineRule="auto"/>
        <w:jc w:val="center"/>
        <w:rPr>
          <w:rFonts w:ascii="宋体" w:hAnsi="宋体"/>
          <w:b/>
          <w:color w:val="000000"/>
          <w:szCs w:val="21"/>
        </w:rPr>
      </w:pPr>
    </w:p>
    <w:p>
      <w:pPr>
        <w:spacing w:line="360" w:lineRule="auto"/>
        <w:jc w:val="center"/>
        <w:rPr>
          <w:rFonts w:ascii="宋体" w:hAnsi="宋体"/>
          <w:b/>
          <w:color w:val="000000"/>
          <w:szCs w:val="21"/>
        </w:rPr>
      </w:pPr>
      <w:r>
        <w:rPr>
          <w:rFonts w:hint="eastAsia" w:ascii="宋体" w:hAnsi="宋体"/>
          <w:b/>
          <w:color w:val="000000"/>
          <w:szCs w:val="21"/>
        </w:rPr>
        <w:t>二、资信证明文件</w:t>
      </w:r>
    </w:p>
    <w:p>
      <w:pPr>
        <w:snapToGrid w:val="0"/>
        <w:spacing w:before="50" w:after="50" w:line="360" w:lineRule="auto"/>
        <w:rPr>
          <w:rFonts w:ascii="宋体" w:hAnsi="宋体"/>
          <w:b/>
          <w:bCs/>
          <w:szCs w:val="21"/>
        </w:rPr>
      </w:pPr>
      <w:r>
        <w:rPr>
          <w:rFonts w:hint="eastAsia" w:ascii="宋体" w:hAnsi="宋体"/>
          <w:b/>
          <w:bCs/>
          <w:szCs w:val="21"/>
        </w:rPr>
        <w:t>1、实质性资格证明文件目录</w:t>
      </w:r>
    </w:p>
    <w:p>
      <w:pPr>
        <w:widowControl/>
        <w:snapToGrid w:val="0"/>
        <w:spacing w:line="360" w:lineRule="auto"/>
        <w:ind w:firstLine="420" w:firstLineChars="200"/>
        <w:jc w:val="left"/>
        <w:rPr>
          <w:rFonts w:ascii="宋体" w:hAnsi="宋体"/>
          <w:i/>
          <w:iCs/>
          <w:szCs w:val="21"/>
          <w:u w:val="single"/>
        </w:rPr>
      </w:pPr>
      <w:r>
        <w:rPr>
          <w:rFonts w:hint="eastAsia" w:ascii="宋体" w:hAnsi="宋体"/>
          <w:i/>
          <w:iCs/>
          <w:szCs w:val="21"/>
          <w:u w:val="single"/>
        </w:rPr>
        <w:t>1） 谈判响应函(原件)；</w:t>
      </w:r>
    </w:p>
    <w:p>
      <w:pPr>
        <w:widowControl/>
        <w:snapToGrid w:val="0"/>
        <w:spacing w:line="360" w:lineRule="auto"/>
        <w:ind w:firstLine="420" w:firstLineChars="200"/>
        <w:jc w:val="left"/>
        <w:rPr>
          <w:rFonts w:ascii="宋体" w:hAnsi="宋体"/>
          <w:i/>
          <w:iCs/>
          <w:szCs w:val="21"/>
          <w:u w:val="single"/>
        </w:rPr>
      </w:pPr>
      <w:r>
        <w:rPr>
          <w:rFonts w:hint="eastAsia" w:ascii="宋体" w:hAnsi="宋体"/>
          <w:i/>
          <w:iCs/>
          <w:szCs w:val="21"/>
          <w:u w:val="single"/>
        </w:rPr>
        <w:t>2） 资格声明(原件)；</w:t>
      </w:r>
    </w:p>
    <w:p>
      <w:pPr>
        <w:widowControl/>
        <w:snapToGrid w:val="0"/>
        <w:spacing w:line="360" w:lineRule="auto"/>
        <w:ind w:firstLine="420" w:firstLineChars="200"/>
        <w:jc w:val="left"/>
        <w:rPr>
          <w:rFonts w:ascii="宋体" w:hAnsi="宋体"/>
          <w:i/>
          <w:iCs/>
          <w:szCs w:val="21"/>
          <w:u w:val="single"/>
        </w:rPr>
      </w:pPr>
      <w:r>
        <w:rPr>
          <w:rFonts w:hint="eastAsia" w:ascii="宋体" w:hAnsi="宋体"/>
          <w:i/>
          <w:iCs/>
          <w:szCs w:val="21"/>
          <w:u w:val="single"/>
        </w:rPr>
        <w:t>3） 若法定代表人参加谈判的，须提供本人身份证复印件(原件备查)；若授权代表参加谈判的，须提供</w:t>
      </w:r>
      <w:r>
        <w:rPr>
          <w:rFonts w:hint="eastAsia" w:ascii="宋体" w:hAnsi="宋体" w:cs="宋体"/>
          <w:i/>
          <w:iCs/>
          <w:color w:val="000000"/>
          <w:szCs w:val="21"/>
          <w:u w:val="single"/>
        </w:rPr>
        <w:t>《法人授权书》</w:t>
      </w:r>
      <w:r>
        <w:rPr>
          <w:rFonts w:hint="eastAsia" w:ascii="宋体" w:hAnsi="宋体"/>
          <w:i/>
          <w:iCs/>
          <w:szCs w:val="21"/>
          <w:u w:val="single"/>
        </w:rPr>
        <w:t xml:space="preserve">原件和授权代表身份证复印件(原件备查)； </w:t>
      </w:r>
    </w:p>
    <w:p>
      <w:pPr>
        <w:widowControl/>
        <w:snapToGrid w:val="0"/>
        <w:spacing w:line="360" w:lineRule="auto"/>
        <w:ind w:firstLine="420" w:firstLineChars="200"/>
        <w:jc w:val="left"/>
        <w:rPr>
          <w:rFonts w:ascii="宋体" w:hAnsi="宋体"/>
          <w:i/>
          <w:iCs/>
          <w:szCs w:val="21"/>
          <w:u w:val="single"/>
        </w:rPr>
      </w:pPr>
      <w:r>
        <w:rPr>
          <w:rFonts w:hint="eastAsia" w:ascii="宋体" w:hAnsi="宋体"/>
          <w:i/>
          <w:iCs/>
          <w:szCs w:val="21"/>
          <w:u w:val="single"/>
        </w:rPr>
        <w:t>4） 营业执照副本((复印件加盖投标人公章)；</w:t>
      </w:r>
    </w:p>
    <w:p>
      <w:pPr>
        <w:widowControl/>
        <w:snapToGrid w:val="0"/>
        <w:spacing w:line="360" w:lineRule="auto"/>
        <w:ind w:firstLine="420" w:firstLineChars="200"/>
        <w:jc w:val="left"/>
        <w:rPr>
          <w:rFonts w:ascii="宋体" w:hAnsi="宋体"/>
          <w:i/>
          <w:iCs/>
          <w:szCs w:val="21"/>
          <w:u w:val="single"/>
        </w:rPr>
      </w:pPr>
      <w:r>
        <w:rPr>
          <w:rFonts w:hint="eastAsia" w:ascii="宋体" w:hAnsi="宋体"/>
          <w:i/>
          <w:iCs/>
          <w:szCs w:val="21"/>
          <w:u w:val="single"/>
        </w:rPr>
        <w:t>5） 依法缴纳职工社会保障资金的证明材料(复印件加盖供应商公章)(税务、银行或社会保险基金管理部门出具的2024年1月至2024年3月三个月内任意一份缴纳职工社会保障资金的缴款凭证或缴款证明)</w:t>
      </w:r>
    </w:p>
    <w:p>
      <w:pPr>
        <w:widowControl/>
        <w:snapToGrid w:val="0"/>
        <w:spacing w:line="360" w:lineRule="auto"/>
        <w:ind w:firstLine="420" w:firstLineChars="200"/>
        <w:jc w:val="left"/>
        <w:rPr>
          <w:rFonts w:ascii="宋体" w:hAnsi="宋体"/>
          <w:i/>
          <w:iCs/>
          <w:szCs w:val="21"/>
          <w:u w:val="single"/>
        </w:rPr>
      </w:pPr>
      <w:r>
        <w:rPr>
          <w:rFonts w:hint="eastAsia" w:ascii="宋体" w:hAnsi="宋体"/>
          <w:i/>
          <w:iCs/>
          <w:szCs w:val="21"/>
          <w:u w:val="single"/>
        </w:rPr>
        <w:t>6） 供应商2024年1月至2024年3月三个月内任意一份依法纳税的缴款凭证(复印件加盖供应商公章)</w:t>
      </w:r>
    </w:p>
    <w:p>
      <w:pPr>
        <w:widowControl/>
        <w:snapToGrid w:val="0"/>
        <w:spacing w:line="360" w:lineRule="auto"/>
        <w:ind w:firstLine="420" w:firstLineChars="200"/>
        <w:jc w:val="left"/>
        <w:rPr>
          <w:rFonts w:ascii="宋体" w:hAnsi="宋体"/>
          <w:i/>
          <w:iCs/>
          <w:szCs w:val="21"/>
          <w:u w:val="single"/>
        </w:rPr>
      </w:pPr>
      <w:r>
        <w:rPr>
          <w:rFonts w:hint="eastAsia" w:ascii="宋体" w:hAnsi="宋体"/>
          <w:i/>
          <w:iCs/>
          <w:szCs w:val="21"/>
          <w:u w:val="single"/>
        </w:rPr>
        <w:t>7）上一年度财务报告 (复印件加盖投标人公章）</w:t>
      </w:r>
    </w:p>
    <w:p>
      <w:pPr>
        <w:widowControl/>
        <w:snapToGrid w:val="0"/>
        <w:spacing w:line="360" w:lineRule="auto"/>
        <w:ind w:firstLine="420" w:firstLineChars="200"/>
        <w:jc w:val="left"/>
        <w:rPr>
          <w:rFonts w:ascii="宋体" w:hAnsi="宋体"/>
          <w:i/>
          <w:iCs/>
          <w:szCs w:val="21"/>
          <w:u w:val="single"/>
        </w:rPr>
      </w:pPr>
      <w:r>
        <w:rPr>
          <w:rFonts w:hint="eastAsia" w:ascii="宋体" w:hAnsi="宋体"/>
          <w:i/>
          <w:iCs/>
          <w:szCs w:val="21"/>
          <w:u w:val="single"/>
        </w:rPr>
        <w:t>8）供应商参加本次政府采购活动前3年内在经营活动中没有重大违法记录的书面声明（原件）</w:t>
      </w:r>
    </w:p>
    <w:p>
      <w:pPr>
        <w:widowControl/>
        <w:snapToGrid w:val="0"/>
        <w:spacing w:line="360" w:lineRule="auto"/>
        <w:ind w:firstLine="420" w:firstLineChars="200"/>
        <w:jc w:val="left"/>
        <w:rPr>
          <w:rFonts w:ascii="宋体" w:hAnsi="宋体"/>
          <w:i/>
          <w:iCs/>
          <w:szCs w:val="21"/>
          <w:u w:val="single"/>
        </w:rPr>
      </w:pPr>
      <w:r>
        <w:rPr>
          <w:rFonts w:hint="eastAsia" w:ascii="宋体" w:hAnsi="宋体"/>
          <w:i/>
          <w:iCs/>
          <w:szCs w:val="21"/>
          <w:u w:val="single"/>
        </w:rPr>
        <w:t>9)供应商信用承诺书(原件)</w:t>
      </w:r>
    </w:p>
    <w:p>
      <w:pPr>
        <w:widowControl/>
        <w:snapToGrid w:val="0"/>
        <w:spacing w:line="360" w:lineRule="auto"/>
        <w:ind w:firstLine="420" w:firstLineChars="200"/>
        <w:jc w:val="left"/>
        <w:rPr>
          <w:i/>
          <w:iCs/>
          <w:u w:val="single"/>
        </w:rPr>
      </w:pPr>
      <w:r>
        <w:rPr>
          <w:rFonts w:hint="eastAsia" w:ascii="宋体" w:hAnsi="宋体"/>
          <w:i/>
          <w:iCs/>
          <w:szCs w:val="21"/>
          <w:u w:val="single"/>
        </w:rPr>
        <w:t>10)未被“信用中国”网站（www.creditchina.gov.cn）、“中国政府采购网"(www.ccgp.gov.cn)列入失信被执行人、重大税收违法案件当事人名单、政府采购严重违法失信行为记录名单（提供网页截图加盖供应商公章）</w:t>
      </w:r>
    </w:p>
    <w:p>
      <w:pPr>
        <w:spacing w:line="360" w:lineRule="auto"/>
        <w:ind w:firstLine="420" w:firstLineChars="200"/>
        <w:rPr>
          <w:rFonts w:ascii="宋体" w:hAnsi="宋体"/>
          <w:i/>
          <w:iCs/>
          <w:szCs w:val="21"/>
          <w:u w:val="single"/>
        </w:rPr>
      </w:pPr>
      <w:r>
        <w:rPr>
          <w:rFonts w:hint="eastAsia" w:ascii="宋体" w:hAnsi="宋体"/>
          <w:i/>
          <w:iCs/>
          <w:szCs w:val="21"/>
        </w:rPr>
        <w:t>2.落实政府采购政策需满足的资格要求：</w:t>
      </w:r>
      <w:r>
        <w:rPr>
          <w:rFonts w:hint="eastAsia" w:ascii="宋体" w:hAnsi="宋体"/>
          <w:i/>
          <w:iCs/>
          <w:szCs w:val="21"/>
          <w:u w:val="single"/>
        </w:rPr>
        <w:t>无</w:t>
      </w:r>
    </w:p>
    <w:p>
      <w:pPr>
        <w:pStyle w:val="5"/>
        <w:spacing w:before="0" w:after="0" w:line="360" w:lineRule="auto"/>
        <w:ind w:firstLine="422" w:firstLineChars="200"/>
        <w:jc w:val="both"/>
        <w:rPr>
          <w:rFonts w:ascii="宋体" w:hAnsi="宋体" w:eastAsia="宋体"/>
          <w:bCs/>
          <w:sz w:val="21"/>
          <w:szCs w:val="21"/>
        </w:rPr>
      </w:pPr>
      <w:r>
        <w:rPr>
          <w:rFonts w:hint="eastAsia" w:ascii="宋体" w:hAnsi="宋体" w:eastAsia="宋体"/>
          <w:bCs/>
          <w:sz w:val="21"/>
          <w:szCs w:val="21"/>
        </w:rPr>
        <w:t>3.本项目的特定资格要求：</w:t>
      </w:r>
    </w:p>
    <w:p>
      <w:pPr>
        <w:pStyle w:val="5"/>
        <w:spacing w:before="0" w:after="0" w:line="360" w:lineRule="auto"/>
        <w:ind w:firstLine="420" w:firstLineChars="200"/>
        <w:jc w:val="both"/>
        <w:rPr>
          <w:rFonts w:ascii="宋体" w:hAnsi="宋体" w:eastAsia="宋体"/>
          <w:b w:val="0"/>
          <w:i/>
          <w:iCs/>
          <w:sz w:val="21"/>
          <w:szCs w:val="21"/>
          <w:u w:val="single"/>
        </w:rPr>
      </w:pPr>
      <w:r>
        <w:rPr>
          <w:rFonts w:hint="eastAsia" w:ascii="宋体" w:hAnsi="宋体" w:eastAsia="宋体"/>
          <w:b w:val="0"/>
          <w:i/>
          <w:iCs/>
          <w:sz w:val="21"/>
          <w:szCs w:val="21"/>
          <w:u w:val="single"/>
        </w:rPr>
        <w:t>1）包</w:t>
      </w:r>
      <w:r>
        <w:rPr>
          <w:rFonts w:hint="eastAsia" w:ascii="宋体" w:hAnsi="宋体" w:eastAsia="宋体"/>
          <w:b w:val="0"/>
          <w:i/>
          <w:iCs/>
          <w:sz w:val="21"/>
          <w:szCs w:val="21"/>
          <w:u w:val="single"/>
          <w:lang w:val="en-US" w:eastAsia="zh-CN"/>
        </w:rPr>
        <w:t>一：</w:t>
      </w:r>
      <w:r>
        <w:rPr>
          <w:rFonts w:hint="eastAsia" w:ascii="宋体" w:hAnsi="宋体" w:eastAsia="宋体"/>
          <w:b w:val="0"/>
          <w:i/>
          <w:iCs/>
          <w:sz w:val="21"/>
          <w:szCs w:val="21"/>
          <w:u w:val="single"/>
        </w:rPr>
        <w:t>供应商具有建筑工程施工总承包三级及以上资质；包</w:t>
      </w:r>
      <w:r>
        <w:rPr>
          <w:rFonts w:hint="eastAsia" w:ascii="宋体" w:hAnsi="宋体" w:eastAsia="宋体"/>
          <w:b w:val="0"/>
          <w:i/>
          <w:iCs/>
          <w:sz w:val="21"/>
          <w:szCs w:val="21"/>
          <w:u w:val="single"/>
          <w:lang w:val="en-US" w:eastAsia="zh-CN"/>
        </w:rPr>
        <w:t>二：</w:t>
      </w:r>
      <w:r>
        <w:rPr>
          <w:rFonts w:hint="eastAsia" w:ascii="宋体" w:hAnsi="宋体" w:eastAsia="宋体"/>
          <w:b w:val="0"/>
          <w:i/>
          <w:iCs/>
          <w:sz w:val="21"/>
          <w:szCs w:val="21"/>
          <w:u w:val="single"/>
        </w:rPr>
        <w:t>供应商具有建筑装饰装修工程专业承包二级及以上资质</w:t>
      </w:r>
    </w:p>
    <w:p>
      <w:pPr>
        <w:pStyle w:val="5"/>
        <w:spacing w:before="0" w:after="0" w:line="360" w:lineRule="auto"/>
        <w:ind w:firstLine="420" w:firstLineChars="200"/>
        <w:jc w:val="both"/>
        <w:rPr>
          <w:rFonts w:ascii="宋体" w:hAnsi="宋体" w:eastAsia="宋体"/>
          <w:b w:val="0"/>
          <w:i/>
          <w:iCs/>
          <w:sz w:val="21"/>
          <w:szCs w:val="21"/>
          <w:u w:val="single"/>
        </w:rPr>
      </w:pPr>
      <w:r>
        <w:rPr>
          <w:rFonts w:hint="eastAsia" w:ascii="宋体" w:hAnsi="宋体" w:eastAsia="宋体"/>
          <w:b w:val="0"/>
          <w:i/>
          <w:iCs/>
          <w:sz w:val="21"/>
          <w:szCs w:val="21"/>
          <w:u w:val="single"/>
        </w:rPr>
        <w:t>2）供应商具备有效期内的安全生产许可证</w:t>
      </w:r>
    </w:p>
    <w:p>
      <w:pPr>
        <w:spacing w:line="360" w:lineRule="auto"/>
        <w:ind w:firstLine="420" w:firstLineChars="200"/>
        <w:rPr>
          <w:rFonts w:ascii="宋体" w:hAnsi="宋体" w:cs="宋体"/>
          <w:szCs w:val="21"/>
          <w:u w:val="single"/>
        </w:rPr>
      </w:pPr>
      <w:r>
        <w:rPr>
          <w:rFonts w:hint="eastAsia" w:ascii="宋体" w:hAnsi="宋体"/>
          <w:i/>
          <w:iCs/>
          <w:szCs w:val="21"/>
          <w:u w:val="single"/>
        </w:rPr>
        <w:t>3）供应商拟派项目经理具备建筑工程二级及以上注册建造师执业资格，具备有效的B类安全生产考核合格证书</w:t>
      </w:r>
    </w:p>
    <w:p>
      <w:pPr>
        <w:spacing w:line="360" w:lineRule="auto"/>
        <w:ind w:firstLine="422" w:firstLineChars="200"/>
        <w:rPr>
          <w:rFonts w:ascii="宋体" w:hAnsi="宋体" w:cs="宋体"/>
          <w:b/>
          <w:bCs/>
          <w:i/>
          <w:iCs/>
          <w:szCs w:val="21"/>
          <w:u w:val="single"/>
        </w:rPr>
      </w:pPr>
    </w:p>
    <w:p>
      <w:pPr>
        <w:spacing w:line="360" w:lineRule="auto"/>
        <w:ind w:right="312" w:firstLine="420" w:firstLineChars="200"/>
        <w:rPr>
          <w:rFonts w:ascii="宋体" w:hAnsi="宋体"/>
          <w:szCs w:val="21"/>
        </w:rPr>
      </w:pPr>
      <w:r>
        <w:rPr>
          <w:rFonts w:hint="eastAsia" w:ascii="宋体" w:hAnsi="宋体"/>
          <w:szCs w:val="21"/>
        </w:rPr>
        <w:t>备注：投标文件的正本和副本中均须提供上述资格证明文件。资格证明文件须清晰可辨，若有缺失或不清晰，将导致投标被拒绝且不允许在开标后补正。</w:t>
      </w:r>
    </w:p>
    <w:p>
      <w:pPr>
        <w:widowControl/>
        <w:snapToGrid w:val="0"/>
        <w:spacing w:line="360" w:lineRule="auto"/>
        <w:ind w:firstLine="525"/>
        <w:jc w:val="left"/>
        <w:rPr>
          <w:rFonts w:ascii="宋体" w:hAnsi="宋体" w:cs="Arial"/>
          <w:b/>
          <w:bCs/>
          <w:iCs/>
          <w:color w:val="000000"/>
          <w:spacing w:val="-6"/>
          <w:szCs w:val="21"/>
        </w:rPr>
      </w:pPr>
      <w:r>
        <w:rPr>
          <w:rFonts w:hint="eastAsia" w:ascii="宋体" w:hAnsi="宋体" w:cs="Arial"/>
          <w:b/>
          <w:bCs/>
          <w:iCs/>
          <w:color w:val="000000"/>
          <w:spacing w:val="-6"/>
          <w:szCs w:val="21"/>
        </w:rPr>
        <w:br w:type="page"/>
      </w:r>
    </w:p>
    <w:p>
      <w:pPr>
        <w:spacing w:line="360" w:lineRule="auto"/>
        <w:jc w:val="center"/>
        <w:rPr>
          <w:rFonts w:ascii="宋体" w:hAnsi="宋体"/>
          <w:b/>
          <w:szCs w:val="21"/>
        </w:rPr>
      </w:pPr>
      <w:r>
        <w:rPr>
          <w:rFonts w:hint="eastAsia" w:ascii="宋体" w:hAnsi="宋体"/>
          <w:b/>
          <w:color w:val="000000"/>
          <w:szCs w:val="21"/>
        </w:rPr>
        <w:t>三、谈判响应函</w:t>
      </w:r>
    </w:p>
    <w:p>
      <w:pPr>
        <w:pStyle w:val="96"/>
        <w:spacing w:line="360" w:lineRule="auto"/>
        <w:ind w:firstLine="482"/>
        <w:rPr>
          <w:rFonts w:ascii="宋体" w:hAnsi="宋体"/>
          <w:sz w:val="21"/>
          <w:szCs w:val="21"/>
        </w:rPr>
      </w:pPr>
      <w:r>
        <w:rPr>
          <w:rFonts w:hint="eastAsia" w:ascii="宋体" w:hAnsi="宋体"/>
          <w:sz w:val="21"/>
          <w:szCs w:val="21"/>
        </w:rPr>
        <w:t>致：江苏唯诚建设咨询有限公司</w:t>
      </w:r>
    </w:p>
    <w:p>
      <w:pPr>
        <w:pStyle w:val="96"/>
        <w:spacing w:line="360" w:lineRule="auto"/>
        <w:ind w:firstLine="482"/>
        <w:rPr>
          <w:rFonts w:ascii="宋体" w:hAnsi="宋体"/>
          <w:sz w:val="21"/>
          <w:szCs w:val="21"/>
        </w:rPr>
      </w:pPr>
      <w:r>
        <w:rPr>
          <w:rFonts w:hint="eastAsia" w:ascii="宋体" w:hAnsi="宋体"/>
          <w:sz w:val="21"/>
          <w:szCs w:val="21"/>
        </w:rPr>
        <w:t>根据贵方的号谈判文件，正式授权下述签字人_________ (姓名和职务)代表我方______________（供应商的名称），全权处理本次项目谈判采购的有关事宜。</w:t>
      </w:r>
    </w:p>
    <w:p>
      <w:pPr>
        <w:pStyle w:val="96"/>
        <w:spacing w:line="360" w:lineRule="auto"/>
        <w:ind w:firstLine="482"/>
        <w:rPr>
          <w:rFonts w:ascii="宋体" w:hAnsi="宋体"/>
          <w:sz w:val="21"/>
          <w:szCs w:val="21"/>
        </w:rPr>
      </w:pPr>
      <w:r>
        <w:rPr>
          <w:rFonts w:hint="eastAsia" w:ascii="宋体" w:hAnsi="宋体"/>
          <w:sz w:val="21"/>
          <w:szCs w:val="21"/>
        </w:rPr>
        <w:t>据此函，__________（签字人）兹宣布同意如下：</w:t>
      </w:r>
    </w:p>
    <w:p>
      <w:pPr>
        <w:pStyle w:val="96"/>
        <w:spacing w:line="360" w:lineRule="auto"/>
        <w:ind w:firstLine="482"/>
        <w:rPr>
          <w:rFonts w:ascii="宋体" w:hAnsi="宋体"/>
          <w:sz w:val="21"/>
          <w:szCs w:val="21"/>
        </w:rPr>
      </w:pPr>
      <w:r>
        <w:rPr>
          <w:rFonts w:hint="eastAsia" w:ascii="宋体" w:hAnsi="宋体"/>
          <w:sz w:val="21"/>
          <w:szCs w:val="21"/>
        </w:rPr>
        <w:t>1.按谈判文件规定的各项要求，向买方提供所需服务。</w:t>
      </w:r>
    </w:p>
    <w:p>
      <w:pPr>
        <w:pStyle w:val="96"/>
        <w:spacing w:line="360" w:lineRule="auto"/>
        <w:ind w:firstLine="482"/>
        <w:rPr>
          <w:rFonts w:ascii="宋体" w:hAnsi="宋体"/>
          <w:sz w:val="21"/>
          <w:szCs w:val="21"/>
        </w:rPr>
      </w:pPr>
      <w:r>
        <w:rPr>
          <w:rFonts w:hint="eastAsia" w:ascii="宋体" w:hAnsi="宋体"/>
          <w:sz w:val="21"/>
          <w:szCs w:val="21"/>
        </w:rPr>
        <w:t>2.我们已详细审核全部谈判文件及其有效补充文件，我们知道必须放弃提出含糊不清或误解问题的权利。</w:t>
      </w:r>
    </w:p>
    <w:p>
      <w:pPr>
        <w:pStyle w:val="96"/>
        <w:spacing w:line="360" w:lineRule="auto"/>
        <w:ind w:firstLine="482"/>
        <w:rPr>
          <w:rFonts w:ascii="宋体" w:hAnsi="宋体"/>
          <w:sz w:val="21"/>
          <w:szCs w:val="21"/>
        </w:rPr>
      </w:pPr>
      <w:r>
        <w:rPr>
          <w:rFonts w:hint="eastAsia" w:ascii="宋体" w:hAnsi="宋体"/>
          <w:sz w:val="21"/>
          <w:szCs w:val="21"/>
        </w:rPr>
        <w:t>3.我们同意从规定的</w:t>
      </w:r>
      <w:r>
        <w:rPr>
          <w:rFonts w:hint="eastAsia" w:ascii="宋体" w:hAnsi="宋体"/>
          <w:color w:val="000000"/>
          <w:sz w:val="21"/>
          <w:szCs w:val="21"/>
        </w:rPr>
        <w:t>响应文件接收截止时间</w:t>
      </w:r>
      <w:r>
        <w:rPr>
          <w:rFonts w:hint="eastAsia" w:ascii="宋体" w:hAnsi="宋体"/>
          <w:sz w:val="21"/>
          <w:szCs w:val="21"/>
        </w:rPr>
        <w:t>起遵循本响应文件，并在规定的谈判有效期期满之前均具有约束力。</w:t>
      </w:r>
    </w:p>
    <w:p>
      <w:pPr>
        <w:pStyle w:val="96"/>
        <w:spacing w:line="360" w:lineRule="auto"/>
        <w:ind w:firstLine="482"/>
        <w:rPr>
          <w:rFonts w:ascii="宋体" w:hAnsi="宋体"/>
          <w:sz w:val="21"/>
          <w:szCs w:val="21"/>
        </w:rPr>
      </w:pPr>
      <w:r>
        <w:rPr>
          <w:rFonts w:hint="eastAsia" w:ascii="宋体" w:hAnsi="宋体"/>
          <w:sz w:val="21"/>
          <w:szCs w:val="21"/>
        </w:rPr>
        <w:t>4.同意向贵方提供贵方可能另外要求的与谈判采购有关的任何证据或资料，并保证我方已提供和将要提供的文件是真实的、准确的。</w:t>
      </w:r>
    </w:p>
    <w:p>
      <w:pPr>
        <w:pStyle w:val="96"/>
        <w:spacing w:line="360" w:lineRule="auto"/>
        <w:ind w:firstLine="482"/>
        <w:rPr>
          <w:rFonts w:ascii="宋体" w:hAnsi="宋体"/>
          <w:sz w:val="21"/>
          <w:szCs w:val="21"/>
        </w:rPr>
      </w:pPr>
      <w:r>
        <w:rPr>
          <w:rFonts w:hint="eastAsia" w:ascii="宋体" w:hAnsi="宋体"/>
          <w:sz w:val="21"/>
          <w:szCs w:val="21"/>
        </w:rPr>
        <w:t>5.一旦我方成交，我方将根据谈判文件的规定，严格履行合同的责任和义务，并保证在谈判文件规定的时间完成项目，交付买方验收、使用。</w:t>
      </w:r>
    </w:p>
    <w:p>
      <w:pPr>
        <w:pStyle w:val="96"/>
        <w:spacing w:line="360" w:lineRule="auto"/>
        <w:ind w:firstLine="482"/>
        <w:rPr>
          <w:rFonts w:ascii="宋体" w:hAnsi="宋体"/>
          <w:sz w:val="21"/>
          <w:szCs w:val="21"/>
        </w:rPr>
      </w:pPr>
      <w:r>
        <w:rPr>
          <w:rFonts w:hint="eastAsia" w:ascii="宋体" w:hAnsi="宋体"/>
          <w:sz w:val="21"/>
          <w:szCs w:val="21"/>
        </w:rPr>
        <w:t>6.遵守谈判文件中要求的收费项目和标准。</w:t>
      </w:r>
    </w:p>
    <w:p>
      <w:pPr>
        <w:pStyle w:val="96"/>
        <w:spacing w:line="360" w:lineRule="auto"/>
        <w:ind w:firstLine="482"/>
        <w:rPr>
          <w:rFonts w:ascii="宋体" w:hAnsi="宋体"/>
          <w:sz w:val="21"/>
          <w:szCs w:val="21"/>
        </w:rPr>
      </w:pPr>
      <w:r>
        <w:rPr>
          <w:rFonts w:hint="eastAsia" w:ascii="宋体" w:hAnsi="宋体"/>
          <w:sz w:val="21"/>
          <w:szCs w:val="21"/>
        </w:rPr>
        <w:t>7.与本谈判采购有关的正式通讯地址为：</w:t>
      </w:r>
    </w:p>
    <w:p>
      <w:pPr>
        <w:pStyle w:val="96"/>
        <w:spacing w:line="360" w:lineRule="auto"/>
        <w:ind w:firstLine="482"/>
        <w:rPr>
          <w:rFonts w:ascii="宋体" w:hAnsi="宋体"/>
          <w:sz w:val="21"/>
          <w:szCs w:val="21"/>
        </w:rPr>
      </w:pPr>
      <w:r>
        <w:rPr>
          <w:rFonts w:hint="eastAsia" w:ascii="宋体" w:hAnsi="宋体"/>
          <w:sz w:val="21"/>
          <w:szCs w:val="21"/>
        </w:rPr>
        <w:t>地 址：                         邮 编：</w:t>
      </w:r>
    </w:p>
    <w:p>
      <w:pPr>
        <w:pStyle w:val="96"/>
        <w:spacing w:line="360" w:lineRule="auto"/>
        <w:ind w:firstLine="482"/>
        <w:rPr>
          <w:rFonts w:ascii="宋体" w:hAnsi="宋体"/>
          <w:sz w:val="21"/>
          <w:szCs w:val="21"/>
        </w:rPr>
      </w:pPr>
      <w:r>
        <w:rPr>
          <w:rFonts w:hint="eastAsia" w:ascii="宋体" w:hAnsi="宋体"/>
          <w:sz w:val="21"/>
          <w:szCs w:val="21"/>
        </w:rPr>
        <w:t>电 话：                         传 真：</w:t>
      </w:r>
    </w:p>
    <w:p>
      <w:pPr>
        <w:pStyle w:val="96"/>
        <w:spacing w:line="360" w:lineRule="auto"/>
        <w:ind w:firstLine="482"/>
        <w:rPr>
          <w:rFonts w:ascii="宋体" w:hAnsi="宋体"/>
          <w:sz w:val="21"/>
          <w:szCs w:val="21"/>
        </w:rPr>
      </w:pPr>
      <w:r>
        <w:rPr>
          <w:rFonts w:hint="eastAsia" w:ascii="宋体" w:hAnsi="宋体"/>
          <w:sz w:val="21"/>
          <w:szCs w:val="21"/>
        </w:rPr>
        <w:t xml:space="preserve">供应商开户行：                  账 户： </w:t>
      </w:r>
    </w:p>
    <w:p>
      <w:pPr>
        <w:pStyle w:val="96"/>
        <w:spacing w:line="360" w:lineRule="auto"/>
        <w:ind w:firstLine="482"/>
        <w:rPr>
          <w:rFonts w:ascii="宋体" w:hAnsi="宋体"/>
          <w:sz w:val="21"/>
          <w:szCs w:val="21"/>
        </w:rPr>
      </w:pPr>
      <w:r>
        <w:rPr>
          <w:rFonts w:hint="eastAsia" w:ascii="宋体" w:hAnsi="宋体"/>
          <w:sz w:val="21"/>
          <w:szCs w:val="21"/>
        </w:rPr>
        <w:t>法定代表人或授权代表姓名（签字）：     联系电话：</w:t>
      </w:r>
    </w:p>
    <w:p>
      <w:pPr>
        <w:pStyle w:val="96"/>
        <w:spacing w:line="360" w:lineRule="auto"/>
        <w:ind w:firstLine="482"/>
        <w:rPr>
          <w:rFonts w:ascii="宋体" w:hAnsi="宋体"/>
          <w:sz w:val="21"/>
          <w:szCs w:val="21"/>
        </w:rPr>
      </w:pPr>
      <w:r>
        <w:rPr>
          <w:rFonts w:hint="eastAsia" w:ascii="宋体" w:hAnsi="宋体"/>
          <w:sz w:val="21"/>
          <w:szCs w:val="21"/>
        </w:rPr>
        <w:t xml:space="preserve">供应商名称（公章）：            </w:t>
      </w:r>
    </w:p>
    <w:p>
      <w:pPr>
        <w:pStyle w:val="96"/>
        <w:spacing w:line="360" w:lineRule="auto"/>
        <w:ind w:firstLine="482"/>
        <w:rPr>
          <w:rFonts w:ascii="宋体" w:hAnsi="宋体"/>
          <w:sz w:val="21"/>
          <w:szCs w:val="21"/>
        </w:rPr>
      </w:pPr>
      <w:r>
        <w:rPr>
          <w:rFonts w:hint="eastAsia" w:ascii="宋体" w:hAnsi="宋体"/>
          <w:sz w:val="21"/>
          <w:szCs w:val="21"/>
        </w:rPr>
        <w:t>日 期：________年____月____日</w:t>
      </w:r>
    </w:p>
    <w:p>
      <w:pPr>
        <w:pStyle w:val="96"/>
        <w:spacing w:line="360" w:lineRule="auto"/>
        <w:ind w:firstLine="561"/>
        <w:jc w:val="center"/>
        <w:rPr>
          <w:rFonts w:ascii="宋体" w:hAnsi="宋体"/>
          <w:b/>
          <w:bCs/>
          <w:sz w:val="21"/>
          <w:szCs w:val="21"/>
        </w:rPr>
      </w:pPr>
    </w:p>
    <w:p>
      <w:pPr>
        <w:pStyle w:val="10"/>
        <w:spacing w:line="360" w:lineRule="auto"/>
        <w:rPr>
          <w:rFonts w:ascii="宋体" w:hAnsi="宋体"/>
          <w:szCs w:val="21"/>
        </w:rPr>
      </w:pPr>
    </w:p>
    <w:p>
      <w:pPr>
        <w:pStyle w:val="10"/>
        <w:spacing w:line="360" w:lineRule="auto"/>
        <w:rPr>
          <w:rFonts w:ascii="宋体" w:hAnsi="宋体"/>
          <w:szCs w:val="21"/>
        </w:rPr>
      </w:pPr>
    </w:p>
    <w:p>
      <w:pPr>
        <w:pStyle w:val="6"/>
        <w:spacing w:line="360" w:lineRule="auto"/>
        <w:jc w:val="center"/>
        <w:rPr>
          <w:rFonts w:ascii="宋体" w:hAnsi="宋体"/>
          <w:b w:val="0"/>
          <w:bCs/>
          <w:szCs w:val="21"/>
        </w:rPr>
      </w:pPr>
      <w:r>
        <w:rPr>
          <w:rFonts w:ascii="宋体" w:hAnsi="宋体"/>
          <w:b w:val="0"/>
          <w:bCs/>
          <w:sz w:val="21"/>
          <w:szCs w:val="21"/>
        </w:rPr>
        <w:br w:type="page"/>
      </w:r>
      <w:r>
        <w:rPr>
          <w:rFonts w:hint="eastAsia" w:ascii="宋体" w:hAnsi="宋体"/>
          <w:color w:val="000000"/>
          <w:sz w:val="21"/>
          <w:szCs w:val="21"/>
        </w:rPr>
        <w:t>资 格 声 明</w:t>
      </w:r>
    </w:p>
    <w:p>
      <w:pPr>
        <w:spacing w:line="360" w:lineRule="auto"/>
        <w:rPr>
          <w:rFonts w:ascii="宋体" w:hAnsi="宋体"/>
          <w:szCs w:val="21"/>
        </w:rPr>
      </w:pPr>
      <w:r>
        <w:rPr>
          <w:rFonts w:hint="eastAsia" w:ascii="宋体" w:hAnsi="宋体"/>
          <w:szCs w:val="21"/>
        </w:rPr>
        <w:t>1、名称及其它情况：</w:t>
      </w:r>
    </w:p>
    <w:p>
      <w:pPr>
        <w:spacing w:line="360" w:lineRule="auto"/>
        <w:rPr>
          <w:rFonts w:ascii="宋体" w:hAnsi="宋体"/>
          <w:szCs w:val="21"/>
        </w:rPr>
      </w:pPr>
      <w:r>
        <w:rPr>
          <w:rFonts w:hint="eastAsia" w:ascii="宋体" w:hAnsi="宋体"/>
          <w:szCs w:val="21"/>
        </w:rPr>
        <w:t>（1）供应商名称：</w:t>
      </w:r>
    </w:p>
    <w:p>
      <w:pPr>
        <w:tabs>
          <w:tab w:val="left" w:pos="4530"/>
        </w:tabs>
        <w:spacing w:line="360" w:lineRule="auto"/>
        <w:rPr>
          <w:rFonts w:ascii="宋体" w:hAnsi="宋体"/>
          <w:szCs w:val="21"/>
        </w:rPr>
      </w:pPr>
      <w:r>
        <w:rPr>
          <w:rFonts w:hint="eastAsia" w:ascii="宋体" w:hAnsi="宋体"/>
          <w:szCs w:val="21"/>
        </w:rPr>
        <w:t>（2）地址：</w:t>
      </w:r>
      <w:r>
        <w:rPr>
          <w:rFonts w:hint="eastAsia" w:ascii="宋体" w:hAnsi="宋体"/>
          <w:szCs w:val="21"/>
        </w:rPr>
        <w:tab/>
      </w:r>
      <w:r>
        <w:rPr>
          <w:rFonts w:hint="eastAsia" w:ascii="宋体" w:hAnsi="宋体"/>
          <w:szCs w:val="21"/>
        </w:rPr>
        <w:t>邮编：</w:t>
      </w:r>
    </w:p>
    <w:p>
      <w:pPr>
        <w:tabs>
          <w:tab w:val="left" w:pos="600"/>
          <w:tab w:val="left" w:pos="4320"/>
        </w:tabs>
        <w:spacing w:line="360" w:lineRule="auto"/>
        <w:ind w:firstLine="525" w:firstLineChars="250"/>
        <w:rPr>
          <w:rFonts w:ascii="宋体" w:hAnsi="宋体"/>
          <w:szCs w:val="21"/>
        </w:rPr>
      </w:pPr>
      <w:r>
        <w:rPr>
          <w:rFonts w:hint="eastAsia" w:ascii="宋体" w:hAnsi="宋体"/>
          <w:szCs w:val="21"/>
        </w:rPr>
        <w:t>电话：     传真：</w:t>
      </w:r>
    </w:p>
    <w:p>
      <w:pPr>
        <w:spacing w:line="360" w:lineRule="auto"/>
        <w:rPr>
          <w:rFonts w:ascii="宋体" w:hAnsi="宋体"/>
          <w:szCs w:val="21"/>
          <w:u w:val="single"/>
        </w:rPr>
      </w:pPr>
      <w:r>
        <w:rPr>
          <w:rFonts w:hint="eastAsia" w:ascii="宋体" w:hAnsi="宋体"/>
          <w:szCs w:val="21"/>
        </w:rPr>
        <w:t>（3）成立和/或注册日期：</w:t>
      </w:r>
    </w:p>
    <w:p>
      <w:pPr>
        <w:spacing w:line="360" w:lineRule="auto"/>
        <w:rPr>
          <w:rFonts w:ascii="宋体" w:hAnsi="宋体"/>
          <w:szCs w:val="21"/>
        </w:rPr>
      </w:pPr>
      <w:r>
        <w:rPr>
          <w:rFonts w:hint="eastAsia" w:ascii="宋体" w:hAnsi="宋体"/>
          <w:szCs w:val="21"/>
        </w:rPr>
        <w:t>（4）法定代表人：</w:t>
      </w:r>
    </w:p>
    <w:p>
      <w:pPr>
        <w:spacing w:line="360" w:lineRule="auto"/>
        <w:rPr>
          <w:rFonts w:ascii="宋体" w:hAnsi="宋体"/>
          <w:szCs w:val="21"/>
          <w:u w:val="single"/>
        </w:rPr>
      </w:pPr>
      <w:r>
        <w:rPr>
          <w:rFonts w:hint="eastAsia" w:ascii="宋体" w:hAnsi="宋体"/>
          <w:szCs w:val="21"/>
        </w:rPr>
        <w:t>（5）实收资本：</w:t>
      </w:r>
    </w:p>
    <w:p>
      <w:pPr>
        <w:spacing w:line="360" w:lineRule="auto"/>
        <w:rPr>
          <w:rFonts w:ascii="宋体" w:hAnsi="宋体"/>
          <w:szCs w:val="21"/>
        </w:rPr>
      </w:pPr>
      <w:r>
        <w:rPr>
          <w:rFonts w:hint="eastAsia" w:ascii="宋体" w:hAnsi="宋体"/>
          <w:szCs w:val="21"/>
        </w:rPr>
        <w:t>（6）近期资产负债表：（到</w:t>
      </w:r>
      <w:r>
        <w:rPr>
          <w:rFonts w:hint="eastAsia" w:ascii="宋体" w:hAnsi="宋体"/>
          <w:szCs w:val="21"/>
          <w:u w:val="single"/>
        </w:rPr>
        <w:t>20  年12月31日</w:t>
      </w:r>
      <w:r>
        <w:rPr>
          <w:rFonts w:hint="eastAsia" w:ascii="宋体" w:hAnsi="宋体"/>
          <w:szCs w:val="21"/>
        </w:rPr>
        <w:t>）</w:t>
      </w:r>
    </w:p>
    <w:p>
      <w:pPr>
        <w:spacing w:line="360" w:lineRule="auto"/>
        <w:ind w:firstLine="240"/>
        <w:rPr>
          <w:rFonts w:ascii="宋体" w:hAnsi="宋体"/>
          <w:szCs w:val="21"/>
        </w:rPr>
      </w:pPr>
      <w:r>
        <w:rPr>
          <w:rFonts w:hint="eastAsia" w:ascii="宋体" w:hAnsi="宋体"/>
          <w:szCs w:val="21"/>
        </w:rPr>
        <w:t>&lt;1&gt; 固定资产：</w:t>
      </w:r>
    </w:p>
    <w:p>
      <w:pPr>
        <w:spacing w:line="360" w:lineRule="auto"/>
        <w:ind w:firstLine="240"/>
        <w:rPr>
          <w:rFonts w:ascii="宋体" w:hAnsi="宋体"/>
          <w:szCs w:val="21"/>
        </w:rPr>
      </w:pPr>
      <w:r>
        <w:rPr>
          <w:rFonts w:hint="eastAsia" w:ascii="宋体" w:hAnsi="宋体"/>
          <w:szCs w:val="21"/>
        </w:rPr>
        <w:t>&lt;2&gt; 流动资金：</w:t>
      </w:r>
    </w:p>
    <w:p>
      <w:pPr>
        <w:spacing w:line="360" w:lineRule="auto"/>
        <w:ind w:firstLine="240"/>
        <w:rPr>
          <w:rFonts w:ascii="宋体" w:hAnsi="宋体"/>
          <w:szCs w:val="21"/>
        </w:rPr>
      </w:pPr>
      <w:r>
        <w:rPr>
          <w:rFonts w:hint="eastAsia" w:ascii="宋体" w:hAnsi="宋体"/>
          <w:szCs w:val="21"/>
        </w:rPr>
        <w:t>&lt;3&gt; 长期负债：</w:t>
      </w:r>
    </w:p>
    <w:p>
      <w:pPr>
        <w:spacing w:line="360" w:lineRule="auto"/>
        <w:ind w:firstLine="240"/>
        <w:rPr>
          <w:rFonts w:ascii="宋体" w:hAnsi="宋体"/>
          <w:szCs w:val="21"/>
        </w:rPr>
      </w:pPr>
      <w:r>
        <w:rPr>
          <w:rFonts w:hint="eastAsia" w:ascii="宋体" w:hAnsi="宋体"/>
          <w:szCs w:val="21"/>
        </w:rPr>
        <w:t>&lt;4&gt; 短期负债：</w:t>
      </w:r>
    </w:p>
    <w:p>
      <w:pPr>
        <w:spacing w:line="360" w:lineRule="auto"/>
        <w:rPr>
          <w:rFonts w:ascii="宋体" w:hAnsi="宋体"/>
          <w:szCs w:val="21"/>
        </w:rPr>
      </w:pPr>
      <w:r>
        <w:rPr>
          <w:rFonts w:hint="eastAsia" w:ascii="宋体" w:hAnsi="宋体"/>
          <w:szCs w:val="21"/>
        </w:rPr>
        <w:t>2、近三年同类货物和服务的主要销售业绩（无有效联系人、联系方式和合同复印件的视为未填报本项目）：</w:t>
      </w:r>
    </w:p>
    <w:tbl>
      <w:tblPr>
        <w:tblStyle w:val="39"/>
        <w:tblW w:w="0" w:type="auto"/>
        <w:tblInd w:w="0" w:type="dxa"/>
        <w:tblLayout w:type="fixed"/>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c>
          <w:tcPr>
            <w:tcW w:w="4643" w:type="dxa"/>
          </w:tcPr>
          <w:p>
            <w:pPr>
              <w:spacing w:line="360" w:lineRule="auto"/>
              <w:jc w:val="center"/>
              <w:rPr>
                <w:rFonts w:ascii="宋体" w:hAnsi="宋体"/>
                <w:szCs w:val="21"/>
                <w:u w:val="single"/>
              </w:rPr>
            </w:pPr>
            <w:r>
              <w:rPr>
                <w:rFonts w:hint="eastAsia" w:ascii="宋体" w:hAnsi="宋体"/>
                <w:szCs w:val="21"/>
                <w:u w:val="single"/>
              </w:rPr>
              <w:t>甲方名称、联系人、联系方式</w:t>
            </w:r>
          </w:p>
        </w:tc>
        <w:tc>
          <w:tcPr>
            <w:tcW w:w="4643" w:type="dxa"/>
          </w:tcPr>
          <w:p>
            <w:pPr>
              <w:spacing w:line="360" w:lineRule="auto"/>
              <w:jc w:val="center"/>
              <w:rPr>
                <w:rFonts w:ascii="宋体" w:hAnsi="宋体"/>
                <w:szCs w:val="21"/>
                <w:u w:val="single"/>
              </w:rPr>
            </w:pPr>
            <w:r>
              <w:rPr>
                <w:rFonts w:hint="eastAsia" w:ascii="宋体" w:hAnsi="宋体"/>
                <w:szCs w:val="21"/>
                <w:u w:val="single"/>
              </w:rPr>
              <w:t>项   目   名   称</w:t>
            </w:r>
          </w:p>
        </w:tc>
      </w:tr>
      <w:tr>
        <w:tblPrEx>
          <w:tblCellMar>
            <w:top w:w="0" w:type="dxa"/>
            <w:left w:w="108" w:type="dxa"/>
            <w:bottom w:w="0" w:type="dxa"/>
            <w:right w:w="108" w:type="dxa"/>
          </w:tblCellMar>
        </w:tblPrEx>
        <w:tc>
          <w:tcPr>
            <w:tcW w:w="4643" w:type="dxa"/>
          </w:tcPr>
          <w:p>
            <w:pPr>
              <w:spacing w:line="360" w:lineRule="auto"/>
              <w:rPr>
                <w:rFonts w:ascii="宋体" w:hAnsi="宋体"/>
                <w:szCs w:val="21"/>
              </w:rPr>
            </w:pPr>
          </w:p>
        </w:tc>
        <w:tc>
          <w:tcPr>
            <w:tcW w:w="4643" w:type="dxa"/>
          </w:tcPr>
          <w:p>
            <w:pPr>
              <w:spacing w:line="360" w:lineRule="auto"/>
              <w:rPr>
                <w:rFonts w:ascii="宋体" w:hAnsi="宋体"/>
                <w:szCs w:val="21"/>
              </w:rPr>
            </w:pPr>
          </w:p>
        </w:tc>
      </w:tr>
      <w:tr>
        <w:tblPrEx>
          <w:tblCellMar>
            <w:top w:w="0" w:type="dxa"/>
            <w:left w:w="108" w:type="dxa"/>
            <w:bottom w:w="0" w:type="dxa"/>
            <w:right w:w="108" w:type="dxa"/>
          </w:tblCellMar>
        </w:tblPrEx>
        <w:tc>
          <w:tcPr>
            <w:tcW w:w="4643" w:type="dxa"/>
          </w:tcPr>
          <w:p>
            <w:pPr>
              <w:spacing w:line="360" w:lineRule="auto"/>
              <w:rPr>
                <w:rFonts w:ascii="宋体" w:hAnsi="宋体"/>
                <w:szCs w:val="21"/>
              </w:rPr>
            </w:pPr>
          </w:p>
        </w:tc>
        <w:tc>
          <w:tcPr>
            <w:tcW w:w="4643" w:type="dxa"/>
          </w:tcPr>
          <w:p>
            <w:pPr>
              <w:spacing w:line="360" w:lineRule="auto"/>
              <w:rPr>
                <w:rFonts w:ascii="宋体" w:hAnsi="宋体"/>
                <w:szCs w:val="21"/>
              </w:rPr>
            </w:pPr>
          </w:p>
        </w:tc>
      </w:tr>
    </w:tbl>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3、近三年的营业额： </w:t>
      </w:r>
    </w:p>
    <w:tbl>
      <w:tblPr>
        <w:tblStyle w:val="39"/>
        <w:tblW w:w="0" w:type="auto"/>
        <w:tblInd w:w="0" w:type="dxa"/>
        <w:tblLayout w:type="fixed"/>
        <w:tblCellMar>
          <w:top w:w="0" w:type="dxa"/>
          <w:left w:w="108" w:type="dxa"/>
          <w:bottom w:w="0" w:type="dxa"/>
          <w:right w:w="108" w:type="dxa"/>
        </w:tblCellMar>
      </w:tblPr>
      <w:tblGrid>
        <w:gridCol w:w="2321"/>
        <w:gridCol w:w="2322"/>
        <w:gridCol w:w="2321"/>
        <w:gridCol w:w="2322"/>
      </w:tblGrid>
      <w:tr>
        <w:tc>
          <w:tcPr>
            <w:tcW w:w="2321" w:type="dxa"/>
          </w:tcPr>
          <w:p>
            <w:pPr>
              <w:spacing w:line="360" w:lineRule="auto"/>
              <w:jc w:val="center"/>
              <w:rPr>
                <w:rFonts w:ascii="宋体" w:hAnsi="宋体"/>
                <w:szCs w:val="21"/>
              </w:rPr>
            </w:pPr>
            <w:r>
              <w:rPr>
                <w:rFonts w:hint="eastAsia" w:ascii="宋体" w:hAnsi="宋体"/>
                <w:szCs w:val="21"/>
              </w:rPr>
              <w:t>年    份</w:t>
            </w:r>
          </w:p>
        </w:tc>
        <w:tc>
          <w:tcPr>
            <w:tcW w:w="2322" w:type="dxa"/>
          </w:tcPr>
          <w:p>
            <w:pPr>
              <w:spacing w:line="360" w:lineRule="auto"/>
              <w:jc w:val="center"/>
              <w:rPr>
                <w:rFonts w:ascii="宋体" w:hAnsi="宋体"/>
                <w:szCs w:val="21"/>
              </w:rPr>
            </w:pPr>
            <w:r>
              <w:rPr>
                <w:rFonts w:hint="eastAsia" w:ascii="宋体" w:hAnsi="宋体"/>
                <w:szCs w:val="21"/>
              </w:rPr>
              <w:t>国    内（万元）</w:t>
            </w:r>
          </w:p>
        </w:tc>
        <w:tc>
          <w:tcPr>
            <w:tcW w:w="2321" w:type="dxa"/>
          </w:tcPr>
          <w:p>
            <w:pPr>
              <w:spacing w:line="360" w:lineRule="auto"/>
              <w:jc w:val="center"/>
              <w:rPr>
                <w:rFonts w:ascii="宋体" w:hAnsi="宋体"/>
                <w:szCs w:val="21"/>
              </w:rPr>
            </w:pPr>
            <w:r>
              <w:rPr>
                <w:rFonts w:hint="eastAsia" w:ascii="宋体" w:hAnsi="宋体"/>
                <w:szCs w:val="21"/>
              </w:rPr>
              <w:t>出    口（万元）</w:t>
            </w:r>
          </w:p>
        </w:tc>
        <w:tc>
          <w:tcPr>
            <w:tcW w:w="2322" w:type="dxa"/>
          </w:tcPr>
          <w:p>
            <w:pPr>
              <w:spacing w:line="360" w:lineRule="auto"/>
              <w:jc w:val="center"/>
              <w:rPr>
                <w:rFonts w:ascii="宋体" w:hAnsi="宋体"/>
                <w:szCs w:val="21"/>
              </w:rPr>
            </w:pPr>
            <w:r>
              <w:rPr>
                <w:rFonts w:hint="eastAsia" w:ascii="宋体" w:hAnsi="宋体"/>
                <w:szCs w:val="21"/>
              </w:rPr>
              <w:t>总    额（万元）</w:t>
            </w:r>
          </w:p>
        </w:tc>
      </w:tr>
      <w:tr>
        <w:tblPrEx>
          <w:tblCellMar>
            <w:top w:w="0" w:type="dxa"/>
            <w:left w:w="108" w:type="dxa"/>
            <w:bottom w:w="0" w:type="dxa"/>
            <w:right w:w="108" w:type="dxa"/>
          </w:tblCellMar>
        </w:tblPrEx>
        <w:tc>
          <w:tcPr>
            <w:tcW w:w="2321" w:type="dxa"/>
          </w:tcPr>
          <w:p>
            <w:pPr>
              <w:spacing w:line="360" w:lineRule="auto"/>
              <w:jc w:val="center"/>
              <w:rPr>
                <w:rFonts w:ascii="宋体" w:hAnsi="宋体"/>
                <w:szCs w:val="21"/>
              </w:rPr>
            </w:pPr>
            <w:r>
              <w:rPr>
                <w:rFonts w:hint="eastAsia" w:ascii="宋体" w:hAnsi="宋体"/>
                <w:szCs w:val="21"/>
              </w:rPr>
              <w:t xml:space="preserve">    年</w:t>
            </w:r>
          </w:p>
        </w:tc>
        <w:tc>
          <w:tcPr>
            <w:tcW w:w="2322" w:type="dxa"/>
          </w:tcPr>
          <w:p>
            <w:pPr>
              <w:spacing w:line="360" w:lineRule="auto"/>
              <w:rPr>
                <w:rFonts w:ascii="宋体" w:hAnsi="宋体"/>
                <w:szCs w:val="21"/>
              </w:rPr>
            </w:pPr>
          </w:p>
        </w:tc>
        <w:tc>
          <w:tcPr>
            <w:tcW w:w="2321" w:type="dxa"/>
          </w:tcPr>
          <w:p>
            <w:pPr>
              <w:spacing w:line="360" w:lineRule="auto"/>
              <w:rPr>
                <w:rFonts w:ascii="宋体" w:hAnsi="宋体"/>
                <w:szCs w:val="21"/>
              </w:rPr>
            </w:pPr>
          </w:p>
        </w:tc>
        <w:tc>
          <w:tcPr>
            <w:tcW w:w="2322" w:type="dxa"/>
          </w:tcPr>
          <w:p>
            <w:pPr>
              <w:spacing w:line="360" w:lineRule="auto"/>
              <w:rPr>
                <w:rFonts w:ascii="宋体" w:hAnsi="宋体"/>
                <w:szCs w:val="21"/>
              </w:rPr>
            </w:pPr>
          </w:p>
        </w:tc>
      </w:tr>
      <w:tr>
        <w:tblPrEx>
          <w:tblCellMar>
            <w:top w:w="0" w:type="dxa"/>
            <w:left w:w="108" w:type="dxa"/>
            <w:bottom w:w="0" w:type="dxa"/>
            <w:right w:w="108" w:type="dxa"/>
          </w:tblCellMar>
        </w:tblPrEx>
        <w:tc>
          <w:tcPr>
            <w:tcW w:w="2321" w:type="dxa"/>
          </w:tcPr>
          <w:p>
            <w:pPr>
              <w:spacing w:line="360" w:lineRule="auto"/>
              <w:jc w:val="center"/>
              <w:rPr>
                <w:rFonts w:ascii="宋体" w:hAnsi="宋体"/>
                <w:szCs w:val="21"/>
              </w:rPr>
            </w:pPr>
            <w:r>
              <w:rPr>
                <w:rFonts w:hint="eastAsia" w:ascii="宋体" w:hAnsi="宋体"/>
                <w:szCs w:val="21"/>
              </w:rPr>
              <w:t xml:space="preserve">    年</w:t>
            </w:r>
          </w:p>
        </w:tc>
        <w:tc>
          <w:tcPr>
            <w:tcW w:w="2322" w:type="dxa"/>
          </w:tcPr>
          <w:p>
            <w:pPr>
              <w:spacing w:line="360" w:lineRule="auto"/>
              <w:rPr>
                <w:rFonts w:ascii="宋体" w:hAnsi="宋体"/>
                <w:szCs w:val="21"/>
              </w:rPr>
            </w:pPr>
          </w:p>
        </w:tc>
        <w:tc>
          <w:tcPr>
            <w:tcW w:w="2321" w:type="dxa"/>
          </w:tcPr>
          <w:p>
            <w:pPr>
              <w:spacing w:line="360" w:lineRule="auto"/>
              <w:rPr>
                <w:rFonts w:ascii="宋体" w:hAnsi="宋体"/>
                <w:szCs w:val="21"/>
              </w:rPr>
            </w:pPr>
          </w:p>
        </w:tc>
        <w:tc>
          <w:tcPr>
            <w:tcW w:w="2322" w:type="dxa"/>
          </w:tcPr>
          <w:p>
            <w:pPr>
              <w:spacing w:line="360" w:lineRule="auto"/>
              <w:rPr>
                <w:rFonts w:ascii="宋体" w:hAnsi="宋体"/>
                <w:szCs w:val="21"/>
              </w:rPr>
            </w:pPr>
          </w:p>
        </w:tc>
      </w:tr>
      <w:tr>
        <w:tblPrEx>
          <w:tblCellMar>
            <w:top w:w="0" w:type="dxa"/>
            <w:left w:w="108" w:type="dxa"/>
            <w:bottom w:w="0" w:type="dxa"/>
            <w:right w:w="108" w:type="dxa"/>
          </w:tblCellMar>
        </w:tblPrEx>
        <w:tc>
          <w:tcPr>
            <w:tcW w:w="2321" w:type="dxa"/>
          </w:tcPr>
          <w:p>
            <w:pPr>
              <w:spacing w:line="360" w:lineRule="auto"/>
              <w:jc w:val="center"/>
              <w:rPr>
                <w:rFonts w:ascii="宋体" w:hAnsi="宋体"/>
                <w:szCs w:val="21"/>
              </w:rPr>
            </w:pPr>
            <w:r>
              <w:rPr>
                <w:rFonts w:hint="eastAsia" w:ascii="宋体" w:hAnsi="宋体"/>
                <w:szCs w:val="21"/>
              </w:rPr>
              <w:t xml:space="preserve">    年</w:t>
            </w:r>
          </w:p>
        </w:tc>
        <w:tc>
          <w:tcPr>
            <w:tcW w:w="2322" w:type="dxa"/>
          </w:tcPr>
          <w:p>
            <w:pPr>
              <w:spacing w:line="360" w:lineRule="auto"/>
              <w:rPr>
                <w:rFonts w:ascii="宋体" w:hAnsi="宋体"/>
                <w:szCs w:val="21"/>
              </w:rPr>
            </w:pPr>
          </w:p>
        </w:tc>
        <w:tc>
          <w:tcPr>
            <w:tcW w:w="2321" w:type="dxa"/>
          </w:tcPr>
          <w:p>
            <w:pPr>
              <w:spacing w:line="360" w:lineRule="auto"/>
              <w:rPr>
                <w:rFonts w:ascii="宋体" w:hAnsi="宋体"/>
                <w:szCs w:val="21"/>
              </w:rPr>
            </w:pPr>
          </w:p>
        </w:tc>
        <w:tc>
          <w:tcPr>
            <w:tcW w:w="2322" w:type="dxa"/>
          </w:tcPr>
          <w:p>
            <w:pPr>
              <w:spacing w:line="360" w:lineRule="auto"/>
              <w:rPr>
                <w:rFonts w:ascii="宋体" w:hAnsi="宋体"/>
                <w:szCs w:val="21"/>
              </w:rPr>
            </w:pPr>
          </w:p>
        </w:tc>
      </w:tr>
    </w:tbl>
    <w:p>
      <w:pPr>
        <w:spacing w:line="360" w:lineRule="auto"/>
        <w:rPr>
          <w:rFonts w:ascii="宋体" w:hAnsi="宋体"/>
          <w:szCs w:val="21"/>
        </w:rPr>
      </w:pPr>
    </w:p>
    <w:p>
      <w:pPr>
        <w:spacing w:line="360" w:lineRule="auto"/>
        <w:ind w:left="410" w:hanging="410"/>
        <w:rPr>
          <w:rFonts w:ascii="宋体" w:hAnsi="宋体"/>
          <w:szCs w:val="21"/>
        </w:rPr>
      </w:pPr>
      <w:r>
        <w:rPr>
          <w:rFonts w:hint="eastAsia" w:ascii="宋体" w:hAnsi="宋体"/>
          <w:szCs w:val="21"/>
        </w:rPr>
        <w:t>4、本次采购要求的其他资格文件以及供应商认为需要声明的其他情况：</w:t>
      </w:r>
    </w:p>
    <w:p>
      <w:pPr>
        <w:spacing w:line="360" w:lineRule="auto"/>
        <w:ind w:firstLine="420" w:firstLineChars="200"/>
        <w:rPr>
          <w:rFonts w:ascii="宋体" w:hAnsi="宋体"/>
          <w:color w:val="000000"/>
          <w:szCs w:val="21"/>
        </w:rPr>
      </w:pPr>
      <w:r>
        <w:rPr>
          <w:rFonts w:hint="eastAsia" w:ascii="宋体" w:hAnsi="宋体"/>
          <w:szCs w:val="21"/>
        </w:rPr>
        <w:t>兹证明上述</w:t>
      </w:r>
      <w:r>
        <w:rPr>
          <w:rFonts w:hint="eastAsia" w:ascii="宋体" w:hAnsi="宋体"/>
          <w:color w:val="000000"/>
          <w:szCs w:val="21"/>
        </w:rPr>
        <w:t>声明是真实的、正确的，并提供了全部能提供的资料和数据，我们同意遵照贵方要求出示有关证明文件，如有虚假，自愿丧失中标资格，一年内退出扬州政府采购市场。</w:t>
      </w:r>
    </w:p>
    <w:p>
      <w:pPr>
        <w:spacing w:line="360" w:lineRule="auto"/>
        <w:ind w:firstLine="420" w:firstLineChars="200"/>
        <w:rPr>
          <w:rFonts w:ascii="宋体" w:hAnsi="宋体"/>
          <w:color w:val="000000"/>
          <w:szCs w:val="21"/>
        </w:rPr>
      </w:pPr>
      <w:r>
        <w:rPr>
          <w:rFonts w:hint="eastAsia" w:ascii="宋体" w:hAnsi="宋体"/>
          <w:color w:val="000000"/>
          <w:szCs w:val="21"/>
        </w:rPr>
        <w:t>供应商公章：</w:t>
      </w:r>
    </w:p>
    <w:p>
      <w:pPr>
        <w:spacing w:line="360" w:lineRule="auto"/>
        <w:ind w:firstLine="420" w:firstLineChars="200"/>
        <w:rPr>
          <w:rFonts w:ascii="宋体" w:hAnsi="宋体"/>
          <w:color w:val="000000"/>
          <w:szCs w:val="21"/>
        </w:rPr>
      </w:pPr>
      <w:r>
        <w:rPr>
          <w:rFonts w:hint="eastAsia" w:ascii="宋体" w:hAnsi="宋体"/>
          <w:color w:val="000000"/>
          <w:szCs w:val="21"/>
        </w:rPr>
        <w:t>法定代表人或授权代表签字：</w:t>
      </w:r>
    </w:p>
    <w:p>
      <w:pPr>
        <w:spacing w:line="360" w:lineRule="auto"/>
        <w:ind w:firstLine="420" w:firstLineChars="200"/>
        <w:rPr>
          <w:rFonts w:ascii="宋体" w:hAnsi="宋体"/>
          <w:color w:val="000000"/>
          <w:szCs w:val="21"/>
        </w:rPr>
      </w:pPr>
      <w:r>
        <w:rPr>
          <w:rFonts w:hint="eastAsia" w:ascii="宋体" w:hAnsi="宋体"/>
          <w:color w:val="000000"/>
          <w:szCs w:val="21"/>
        </w:rPr>
        <w:t xml:space="preserve">日期：年月日        </w:t>
      </w:r>
    </w:p>
    <w:p>
      <w:pPr>
        <w:spacing w:line="360" w:lineRule="auto"/>
        <w:jc w:val="center"/>
        <w:rPr>
          <w:rFonts w:ascii="宋体" w:hAnsi="宋体"/>
          <w:b/>
          <w:bCs/>
          <w:color w:val="000000"/>
          <w:szCs w:val="21"/>
        </w:rPr>
      </w:pPr>
      <w:r>
        <w:rPr>
          <w:rFonts w:hint="eastAsia" w:ascii="宋体" w:hAnsi="宋体"/>
          <w:b/>
          <w:bCs/>
          <w:color w:val="000000"/>
          <w:szCs w:val="21"/>
        </w:rPr>
        <w:t>（注：资格声明为格式文件,实质性内容请勿修改，否则将导致投标文件无效）</w:t>
      </w:r>
    </w:p>
    <w:p>
      <w:pPr>
        <w:spacing w:line="360" w:lineRule="auto"/>
        <w:jc w:val="center"/>
        <w:rPr>
          <w:rFonts w:ascii="宋体" w:hAnsi="宋体"/>
          <w:b/>
          <w:bCs/>
          <w:color w:val="000000"/>
          <w:szCs w:val="21"/>
        </w:rPr>
      </w:pPr>
    </w:p>
    <w:p>
      <w:pPr>
        <w:spacing w:line="360" w:lineRule="auto"/>
        <w:jc w:val="center"/>
        <w:rPr>
          <w:rFonts w:ascii="宋体" w:hAnsi="宋体"/>
          <w:b/>
          <w:bCs/>
          <w:color w:val="000000"/>
          <w:szCs w:val="21"/>
        </w:rPr>
      </w:pPr>
    </w:p>
    <w:p>
      <w:pPr>
        <w:pStyle w:val="96"/>
        <w:spacing w:line="360" w:lineRule="auto"/>
        <w:ind w:firstLine="561"/>
        <w:jc w:val="center"/>
        <w:rPr>
          <w:rFonts w:ascii="宋体" w:hAnsi="宋体"/>
          <w:b/>
          <w:sz w:val="21"/>
          <w:szCs w:val="21"/>
        </w:rPr>
      </w:pPr>
      <w:r>
        <w:rPr>
          <w:rFonts w:hint="eastAsia" w:ascii="宋体" w:hAnsi="宋体"/>
          <w:b/>
          <w:bCs/>
          <w:sz w:val="21"/>
          <w:szCs w:val="21"/>
        </w:rPr>
        <w:t>法人</w:t>
      </w:r>
      <w:r>
        <w:rPr>
          <w:rFonts w:hint="eastAsia" w:ascii="宋体" w:hAnsi="宋体"/>
          <w:b/>
          <w:sz w:val="21"/>
          <w:szCs w:val="21"/>
        </w:rPr>
        <w:t>授权书</w:t>
      </w:r>
    </w:p>
    <w:p>
      <w:pPr>
        <w:pStyle w:val="96"/>
        <w:spacing w:line="360" w:lineRule="auto"/>
        <w:ind w:firstLine="480"/>
        <w:rPr>
          <w:rFonts w:ascii="宋体" w:hAnsi="宋体"/>
          <w:sz w:val="21"/>
          <w:szCs w:val="21"/>
        </w:rPr>
      </w:pPr>
      <w:r>
        <w:rPr>
          <w:rFonts w:hint="eastAsia" w:ascii="宋体" w:hAnsi="宋体"/>
          <w:sz w:val="21"/>
          <w:szCs w:val="21"/>
        </w:rPr>
        <w:t>本授权书声明：____________（供应商名称）授权________________（被授权人的姓名）为我方就 号项目采购活动的合法代理人，以本公司名义全权处理一切与该项目采购有关的事务。</w:t>
      </w:r>
    </w:p>
    <w:p>
      <w:pPr>
        <w:pStyle w:val="96"/>
        <w:spacing w:line="360" w:lineRule="auto"/>
        <w:ind w:firstLine="480"/>
        <w:rPr>
          <w:rFonts w:ascii="宋体" w:hAnsi="宋体"/>
          <w:sz w:val="21"/>
          <w:szCs w:val="21"/>
        </w:rPr>
      </w:pPr>
      <w:r>
        <w:rPr>
          <w:rFonts w:hint="eastAsia" w:ascii="宋体" w:hAnsi="宋体"/>
          <w:sz w:val="21"/>
          <w:szCs w:val="21"/>
        </w:rPr>
        <w:t>本授权书于______年____月____日起生效，特此声明。</w:t>
      </w:r>
    </w:p>
    <w:p>
      <w:pPr>
        <w:pStyle w:val="96"/>
        <w:spacing w:line="360" w:lineRule="auto"/>
        <w:rPr>
          <w:rFonts w:ascii="宋体" w:hAnsi="宋体"/>
          <w:sz w:val="21"/>
          <w:szCs w:val="21"/>
        </w:rPr>
      </w:pPr>
      <w:r>
        <w:rPr>
          <w:rFonts w:hint="eastAsia" w:ascii="宋体" w:hAnsi="宋体"/>
          <w:sz w:val="21"/>
          <w:szCs w:val="21"/>
        </w:rPr>
        <w:t xml:space="preserve">     被授权人：_______________________</w:t>
      </w:r>
    </w:p>
    <w:p>
      <w:pPr>
        <w:pStyle w:val="96"/>
        <w:spacing w:line="360" w:lineRule="auto"/>
        <w:rPr>
          <w:rFonts w:ascii="宋体" w:hAnsi="宋体"/>
          <w:sz w:val="21"/>
          <w:szCs w:val="21"/>
        </w:rPr>
      </w:pPr>
      <w:r>
        <w:rPr>
          <w:rFonts w:hint="eastAsia" w:ascii="宋体" w:hAnsi="宋体"/>
          <w:sz w:val="21"/>
          <w:szCs w:val="21"/>
        </w:rPr>
        <w:t xml:space="preserve">     单位名称：_____________________________________</w:t>
      </w:r>
    </w:p>
    <w:p>
      <w:pPr>
        <w:pStyle w:val="96"/>
        <w:spacing w:line="360" w:lineRule="auto"/>
        <w:rPr>
          <w:rFonts w:ascii="宋体" w:hAnsi="宋体"/>
          <w:sz w:val="21"/>
          <w:szCs w:val="21"/>
        </w:rPr>
      </w:pPr>
      <w:r>
        <w:rPr>
          <w:rFonts w:hint="eastAsia" w:ascii="宋体" w:hAnsi="宋体"/>
          <w:sz w:val="21"/>
          <w:szCs w:val="21"/>
        </w:rPr>
        <w:t xml:space="preserve">     授权单位盖章：_________________________________</w:t>
      </w:r>
    </w:p>
    <w:p>
      <w:pPr>
        <w:pStyle w:val="96"/>
        <w:spacing w:line="360" w:lineRule="auto"/>
        <w:ind w:firstLine="480"/>
        <w:rPr>
          <w:rFonts w:ascii="宋体" w:hAnsi="宋体"/>
          <w:sz w:val="21"/>
          <w:szCs w:val="21"/>
        </w:rPr>
      </w:pPr>
      <w:r>
        <w:rPr>
          <w:rFonts w:hint="eastAsia" w:ascii="宋体" w:hAnsi="宋体"/>
          <w:sz w:val="21"/>
          <w:szCs w:val="21"/>
        </w:rPr>
        <w:t>单位名称：_____________________________________</w:t>
      </w:r>
    </w:p>
    <w:p>
      <w:pPr>
        <w:pStyle w:val="96"/>
        <w:spacing w:line="360" w:lineRule="auto"/>
        <w:ind w:firstLine="480"/>
        <w:rPr>
          <w:rFonts w:ascii="宋体" w:hAnsi="宋体"/>
          <w:sz w:val="21"/>
          <w:szCs w:val="21"/>
          <w:u w:val="single"/>
        </w:rPr>
      </w:pPr>
      <w:r>
        <w:rPr>
          <w:rFonts w:hint="eastAsia" w:ascii="宋体" w:hAnsi="宋体"/>
          <w:sz w:val="21"/>
          <w:szCs w:val="21"/>
        </w:rPr>
        <w:t>地址：</w:t>
      </w:r>
    </w:p>
    <w:p>
      <w:pPr>
        <w:pStyle w:val="96"/>
        <w:spacing w:line="360" w:lineRule="auto"/>
        <w:ind w:firstLine="480"/>
        <w:rPr>
          <w:rFonts w:ascii="宋体" w:hAnsi="宋体"/>
          <w:sz w:val="21"/>
          <w:szCs w:val="21"/>
        </w:rPr>
      </w:pPr>
      <w:r>
        <w:rPr>
          <w:rFonts w:hint="eastAsia" w:ascii="宋体" w:hAnsi="宋体"/>
          <w:sz w:val="21"/>
          <w:szCs w:val="21"/>
        </w:rPr>
        <w:t>日期：年月日</w:t>
      </w:r>
    </w:p>
    <w:p>
      <w:pPr>
        <w:spacing w:line="360" w:lineRule="auto"/>
        <w:rPr>
          <w:rFonts w:ascii="宋体" w:hAnsi="宋体"/>
          <w:b/>
          <w:color w:val="000000"/>
          <w:szCs w:val="21"/>
        </w:rPr>
      </w:pPr>
    </w:p>
    <w:p>
      <w:pPr>
        <w:pStyle w:val="6"/>
        <w:ind w:firstLine="420" w:firstLineChars="200"/>
        <w:rPr>
          <w:rFonts w:ascii="宋体" w:hAnsi="宋体"/>
          <w:b w:val="0"/>
          <w:color w:val="000000"/>
          <w:sz w:val="21"/>
          <w:szCs w:val="21"/>
        </w:rPr>
      </w:pPr>
      <w:r>
        <w:rPr>
          <w:rFonts w:hint="eastAsia" w:ascii="宋体" w:hAnsi="宋体"/>
          <w:b w:val="0"/>
          <w:color w:val="000000"/>
          <w:sz w:val="21"/>
          <w:szCs w:val="21"/>
        </w:rPr>
        <w:t>被授权人身份证复印件：</w:t>
      </w:r>
    </w:p>
    <w:p>
      <w:pPr>
        <w:rPr>
          <w:rFonts w:ascii="宋体" w:hAnsi="宋体"/>
          <w:b/>
          <w:color w:val="000000"/>
          <w:szCs w:val="21"/>
        </w:rPr>
      </w:pPr>
    </w:p>
    <w:p>
      <w:pPr>
        <w:pStyle w:val="6"/>
        <w:rPr>
          <w:rFonts w:ascii="宋体" w:hAnsi="宋体"/>
          <w:b w:val="0"/>
          <w:color w:val="000000"/>
          <w:szCs w:val="21"/>
        </w:rPr>
      </w:pPr>
    </w:p>
    <w:p>
      <w:pPr>
        <w:rPr>
          <w:rFonts w:ascii="宋体" w:hAnsi="宋体"/>
          <w:b/>
          <w:color w:val="000000"/>
          <w:szCs w:val="21"/>
        </w:rPr>
      </w:pPr>
    </w:p>
    <w:p>
      <w:pPr>
        <w:pStyle w:val="6"/>
        <w:rPr>
          <w:rFonts w:ascii="宋体" w:hAnsi="宋体"/>
          <w:b w:val="0"/>
          <w:color w:val="000000"/>
          <w:szCs w:val="21"/>
        </w:rPr>
      </w:pPr>
    </w:p>
    <w:p>
      <w:pPr>
        <w:rPr>
          <w:rFonts w:ascii="宋体" w:hAnsi="宋体"/>
          <w:b/>
          <w:color w:val="000000"/>
          <w:szCs w:val="21"/>
        </w:rPr>
      </w:pPr>
    </w:p>
    <w:p>
      <w:pPr>
        <w:pStyle w:val="6"/>
        <w:rPr>
          <w:rFonts w:ascii="宋体" w:hAnsi="宋体"/>
          <w:b w:val="0"/>
          <w:color w:val="000000"/>
          <w:szCs w:val="21"/>
        </w:rPr>
      </w:pPr>
    </w:p>
    <w:p>
      <w:pPr>
        <w:rPr>
          <w:rFonts w:ascii="宋体" w:hAnsi="宋体"/>
          <w:b/>
          <w:color w:val="000000"/>
          <w:szCs w:val="21"/>
        </w:rPr>
      </w:pPr>
    </w:p>
    <w:p>
      <w:pPr>
        <w:pStyle w:val="6"/>
        <w:rPr>
          <w:rFonts w:ascii="宋体" w:hAnsi="宋体"/>
          <w:b w:val="0"/>
          <w:color w:val="000000"/>
          <w:szCs w:val="21"/>
        </w:rPr>
      </w:pPr>
    </w:p>
    <w:p>
      <w:pPr>
        <w:rPr>
          <w:rFonts w:ascii="宋体" w:hAnsi="宋体"/>
          <w:b/>
          <w:color w:val="000000"/>
          <w:szCs w:val="21"/>
        </w:rPr>
      </w:pPr>
    </w:p>
    <w:p>
      <w:pPr>
        <w:pStyle w:val="6"/>
        <w:rPr>
          <w:rFonts w:ascii="宋体" w:hAnsi="宋体"/>
          <w:b w:val="0"/>
          <w:color w:val="000000"/>
          <w:szCs w:val="21"/>
        </w:rPr>
      </w:pPr>
    </w:p>
    <w:p/>
    <w:p/>
    <w:p>
      <w:pPr>
        <w:spacing w:line="360" w:lineRule="auto"/>
        <w:rPr>
          <w:rFonts w:ascii="宋体" w:hAnsi="宋体"/>
          <w:b/>
          <w:color w:val="000000"/>
          <w:szCs w:val="21"/>
        </w:rPr>
      </w:pPr>
    </w:p>
    <w:p>
      <w:pPr>
        <w:spacing w:line="360" w:lineRule="auto"/>
        <w:rPr>
          <w:rFonts w:ascii="宋体" w:hAnsi="宋体"/>
          <w:b/>
          <w:color w:val="000000"/>
          <w:szCs w:val="21"/>
        </w:rPr>
      </w:pPr>
    </w:p>
    <w:p>
      <w:pPr>
        <w:pStyle w:val="96"/>
        <w:spacing w:line="360" w:lineRule="auto"/>
        <w:ind w:firstLine="1434" w:firstLineChars="680"/>
        <w:rPr>
          <w:rFonts w:ascii="宋体" w:hAnsi="宋体"/>
          <w:sz w:val="21"/>
          <w:szCs w:val="21"/>
        </w:rPr>
      </w:pPr>
      <w:r>
        <w:rPr>
          <w:rFonts w:hint="eastAsia" w:ascii="宋体" w:hAnsi="宋体"/>
          <w:b/>
          <w:sz w:val="21"/>
          <w:szCs w:val="21"/>
        </w:rPr>
        <w:t>参加政府采购活动前 3 年内在经营活动中没有重大违法记录的书面声明</w:t>
      </w:r>
    </w:p>
    <w:p>
      <w:pPr>
        <w:spacing w:line="360" w:lineRule="auto"/>
        <w:rPr>
          <w:rFonts w:ascii="宋体" w:hAnsi="宋体"/>
          <w:b/>
          <w:bCs/>
          <w:szCs w:val="21"/>
        </w:rPr>
      </w:pPr>
    </w:p>
    <w:p>
      <w:pPr>
        <w:spacing w:line="360" w:lineRule="auto"/>
        <w:rPr>
          <w:rFonts w:ascii="宋体" w:hAnsi="宋体"/>
          <w:b/>
          <w:bCs/>
          <w:szCs w:val="21"/>
        </w:rPr>
      </w:pPr>
      <w:r>
        <w:rPr>
          <w:rFonts w:hint="eastAsia" w:ascii="宋体" w:hAnsi="宋体"/>
          <w:b/>
          <w:bCs/>
          <w:szCs w:val="21"/>
        </w:rPr>
        <w:t xml:space="preserve">                                        声  明   </w:t>
      </w:r>
    </w:p>
    <w:p>
      <w:pPr>
        <w:spacing w:line="360" w:lineRule="auto"/>
        <w:rPr>
          <w:rFonts w:ascii="宋体" w:hAnsi="宋体"/>
          <w:bCs/>
          <w:szCs w:val="21"/>
        </w:rPr>
      </w:pPr>
      <w:r>
        <w:rPr>
          <w:rFonts w:hint="eastAsia" w:ascii="宋体" w:hAnsi="宋体"/>
          <w:bCs/>
          <w:szCs w:val="21"/>
        </w:rPr>
        <w:t>我公司郑重声明：参加本次政府采购活动前 3 年内，我公司在经营活动中没有因违法经营受到刑事处罚或者责令停产停业、吊销许可证或者执照、较大数额罚款等行政处罚。</w:t>
      </w:r>
    </w:p>
    <w:p>
      <w:pPr>
        <w:spacing w:line="360" w:lineRule="auto"/>
        <w:rPr>
          <w:rFonts w:ascii="宋体" w:hAnsi="宋体"/>
          <w:bCs/>
          <w:szCs w:val="21"/>
        </w:rPr>
      </w:pPr>
    </w:p>
    <w:p>
      <w:pPr>
        <w:spacing w:line="360" w:lineRule="auto"/>
        <w:ind w:firstLine="4410" w:firstLineChars="2100"/>
        <w:rPr>
          <w:rFonts w:ascii="宋体" w:hAnsi="宋体"/>
          <w:bCs/>
          <w:szCs w:val="21"/>
        </w:rPr>
      </w:pPr>
      <w:r>
        <w:rPr>
          <w:rFonts w:hint="eastAsia" w:ascii="宋体" w:hAnsi="宋体"/>
          <w:bCs/>
          <w:szCs w:val="21"/>
        </w:rPr>
        <w:t>供应商名称（公章）：</w:t>
      </w:r>
    </w:p>
    <w:p>
      <w:pPr>
        <w:spacing w:line="360" w:lineRule="auto"/>
        <w:rPr>
          <w:rFonts w:ascii="宋体" w:hAnsi="宋体"/>
          <w:bCs/>
          <w:szCs w:val="21"/>
        </w:rPr>
      </w:pPr>
      <w:r>
        <w:rPr>
          <w:rFonts w:hint="eastAsia" w:ascii="宋体" w:hAnsi="宋体"/>
          <w:bCs/>
          <w:szCs w:val="21"/>
        </w:rPr>
        <w:t xml:space="preserve">                                          法定代表人或授权代表签字：</w:t>
      </w:r>
      <w:r>
        <w:rPr>
          <w:rFonts w:hint="eastAsia" w:ascii="宋体" w:hAnsi="宋体"/>
          <w:bCs/>
          <w:szCs w:val="21"/>
          <w:u w:val="single"/>
        </w:rPr>
        <w:t>______</w:t>
      </w:r>
    </w:p>
    <w:p>
      <w:pPr>
        <w:spacing w:line="360" w:lineRule="auto"/>
        <w:rPr>
          <w:rFonts w:ascii="宋体" w:hAnsi="宋体"/>
          <w:bCs/>
          <w:szCs w:val="21"/>
        </w:rPr>
      </w:pPr>
      <w:r>
        <w:rPr>
          <w:rFonts w:hint="eastAsia" w:ascii="宋体" w:hAnsi="宋体"/>
          <w:bCs/>
          <w:szCs w:val="21"/>
        </w:rPr>
        <w:t xml:space="preserve">                                          日期：</w:t>
      </w:r>
      <w:r>
        <w:rPr>
          <w:rFonts w:hint="eastAsia" w:ascii="宋体" w:hAnsi="宋体"/>
          <w:bCs/>
          <w:szCs w:val="21"/>
          <w:u w:val="single"/>
        </w:rPr>
        <w:t>______</w:t>
      </w:r>
      <w:r>
        <w:rPr>
          <w:rFonts w:hint="eastAsia" w:ascii="宋体" w:hAnsi="宋体"/>
          <w:bCs/>
          <w:szCs w:val="21"/>
        </w:rPr>
        <w:t>年月日</w:t>
      </w:r>
    </w:p>
    <w:p>
      <w:pPr>
        <w:pStyle w:val="22"/>
        <w:widowControl/>
        <w:spacing w:line="540" w:lineRule="exact"/>
        <w:jc w:val="center"/>
        <w:rPr>
          <w:rFonts w:ascii="宋体" w:hAnsi="宋体"/>
          <w:szCs w:val="32"/>
        </w:rPr>
      </w:pPr>
    </w:p>
    <w:p>
      <w:pPr>
        <w:pStyle w:val="22"/>
        <w:widowControl/>
        <w:spacing w:line="540" w:lineRule="exact"/>
        <w:jc w:val="center"/>
        <w:rPr>
          <w:rFonts w:ascii="宋体" w:hAnsi="宋体"/>
          <w:szCs w:val="32"/>
        </w:rPr>
      </w:pPr>
    </w:p>
    <w:p>
      <w:pPr>
        <w:pStyle w:val="22"/>
        <w:widowControl/>
        <w:spacing w:line="540" w:lineRule="exact"/>
        <w:jc w:val="center"/>
        <w:rPr>
          <w:rFonts w:ascii="宋体" w:hAnsi="宋体"/>
          <w:szCs w:val="32"/>
        </w:rPr>
      </w:pPr>
    </w:p>
    <w:p>
      <w:pPr>
        <w:pStyle w:val="22"/>
        <w:widowControl/>
        <w:spacing w:line="540" w:lineRule="exact"/>
        <w:jc w:val="center"/>
        <w:rPr>
          <w:rFonts w:ascii="宋体" w:hAnsi="宋体"/>
          <w:szCs w:val="32"/>
        </w:rPr>
      </w:pPr>
    </w:p>
    <w:p>
      <w:pPr>
        <w:pStyle w:val="22"/>
        <w:widowControl/>
        <w:spacing w:line="540" w:lineRule="exact"/>
        <w:jc w:val="center"/>
        <w:rPr>
          <w:rFonts w:ascii="宋体" w:hAnsi="宋体"/>
          <w:szCs w:val="32"/>
        </w:rPr>
      </w:pPr>
    </w:p>
    <w:p>
      <w:pPr>
        <w:pStyle w:val="22"/>
        <w:widowControl/>
        <w:spacing w:line="540" w:lineRule="exact"/>
        <w:jc w:val="center"/>
        <w:rPr>
          <w:rFonts w:ascii="宋体" w:hAnsi="宋体"/>
          <w:szCs w:val="32"/>
        </w:rPr>
      </w:pPr>
    </w:p>
    <w:p>
      <w:pPr>
        <w:pStyle w:val="22"/>
        <w:widowControl/>
        <w:spacing w:line="540" w:lineRule="exact"/>
        <w:jc w:val="center"/>
        <w:rPr>
          <w:rFonts w:ascii="宋体" w:hAnsi="宋体"/>
          <w:szCs w:val="32"/>
        </w:rPr>
      </w:pPr>
    </w:p>
    <w:p>
      <w:pPr>
        <w:pStyle w:val="22"/>
        <w:widowControl/>
        <w:spacing w:line="540" w:lineRule="exact"/>
        <w:jc w:val="center"/>
        <w:rPr>
          <w:rFonts w:ascii="宋体" w:hAnsi="宋体"/>
          <w:szCs w:val="32"/>
        </w:rPr>
      </w:pPr>
    </w:p>
    <w:p>
      <w:pPr>
        <w:pStyle w:val="22"/>
        <w:widowControl/>
        <w:spacing w:line="540" w:lineRule="exact"/>
        <w:jc w:val="center"/>
        <w:rPr>
          <w:rFonts w:ascii="宋体" w:hAnsi="宋体"/>
          <w:szCs w:val="32"/>
        </w:rPr>
      </w:pPr>
    </w:p>
    <w:p>
      <w:pPr>
        <w:pStyle w:val="22"/>
        <w:widowControl/>
        <w:spacing w:line="540" w:lineRule="exact"/>
        <w:jc w:val="center"/>
        <w:rPr>
          <w:rFonts w:ascii="宋体" w:hAnsi="宋体"/>
          <w:szCs w:val="32"/>
        </w:rPr>
      </w:pPr>
    </w:p>
    <w:p>
      <w:pPr>
        <w:pStyle w:val="22"/>
        <w:widowControl/>
        <w:spacing w:line="540" w:lineRule="exact"/>
        <w:jc w:val="center"/>
        <w:rPr>
          <w:rFonts w:ascii="宋体" w:hAnsi="宋体"/>
          <w:szCs w:val="32"/>
        </w:rPr>
      </w:pPr>
    </w:p>
    <w:p>
      <w:pPr>
        <w:pStyle w:val="22"/>
        <w:widowControl/>
        <w:spacing w:line="540" w:lineRule="exact"/>
        <w:jc w:val="center"/>
        <w:rPr>
          <w:rFonts w:ascii="宋体" w:hAnsi="宋体"/>
          <w:szCs w:val="32"/>
        </w:rPr>
      </w:pPr>
    </w:p>
    <w:p>
      <w:pPr>
        <w:pStyle w:val="22"/>
        <w:widowControl/>
        <w:spacing w:line="540" w:lineRule="exact"/>
        <w:jc w:val="center"/>
        <w:rPr>
          <w:rFonts w:ascii="宋体" w:hAnsi="宋体"/>
          <w:szCs w:val="32"/>
        </w:rPr>
      </w:pPr>
    </w:p>
    <w:p>
      <w:pPr>
        <w:pStyle w:val="22"/>
        <w:widowControl/>
        <w:spacing w:line="540" w:lineRule="exact"/>
        <w:jc w:val="center"/>
        <w:rPr>
          <w:rFonts w:ascii="宋体" w:hAnsi="宋体"/>
          <w:szCs w:val="32"/>
        </w:rPr>
      </w:pPr>
    </w:p>
    <w:p>
      <w:pPr>
        <w:pStyle w:val="22"/>
        <w:widowControl/>
        <w:spacing w:line="540" w:lineRule="exact"/>
        <w:jc w:val="center"/>
        <w:rPr>
          <w:rFonts w:ascii="宋体" w:hAnsi="宋体"/>
          <w:szCs w:val="32"/>
        </w:rPr>
      </w:pPr>
    </w:p>
    <w:p>
      <w:pPr>
        <w:pStyle w:val="22"/>
        <w:widowControl/>
        <w:spacing w:line="540" w:lineRule="exact"/>
        <w:jc w:val="center"/>
        <w:rPr>
          <w:rFonts w:ascii="宋体" w:hAnsi="宋体"/>
          <w:szCs w:val="32"/>
        </w:rPr>
      </w:pPr>
    </w:p>
    <w:p>
      <w:pPr>
        <w:pStyle w:val="22"/>
        <w:widowControl/>
        <w:spacing w:line="540" w:lineRule="exact"/>
        <w:jc w:val="center"/>
        <w:rPr>
          <w:rFonts w:ascii="宋体" w:hAnsi="宋体"/>
          <w:szCs w:val="32"/>
        </w:rPr>
      </w:pPr>
    </w:p>
    <w:p>
      <w:pPr>
        <w:pStyle w:val="22"/>
        <w:widowControl/>
        <w:spacing w:line="540" w:lineRule="exact"/>
        <w:jc w:val="center"/>
        <w:rPr>
          <w:rFonts w:ascii="宋体" w:hAnsi="宋体"/>
          <w:szCs w:val="32"/>
        </w:rPr>
      </w:pPr>
    </w:p>
    <w:p>
      <w:pPr>
        <w:pStyle w:val="22"/>
        <w:widowControl/>
        <w:spacing w:line="540" w:lineRule="exact"/>
        <w:jc w:val="center"/>
        <w:rPr>
          <w:rFonts w:ascii="宋体" w:hAnsi="宋体"/>
          <w:szCs w:val="32"/>
        </w:rPr>
      </w:pPr>
    </w:p>
    <w:p>
      <w:pPr>
        <w:spacing w:line="360" w:lineRule="auto"/>
        <w:rPr>
          <w:rFonts w:ascii="宋体" w:hAnsi="宋体"/>
          <w:b/>
          <w:color w:val="000000"/>
          <w:szCs w:val="21"/>
        </w:rPr>
      </w:pPr>
    </w:p>
    <w:p>
      <w:pPr>
        <w:spacing w:line="360" w:lineRule="auto"/>
        <w:jc w:val="center"/>
        <w:rPr>
          <w:rFonts w:ascii="宋体" w:hAnsi="宋体"/>
          <w:b/>
          <w:szCs w:val="21"/>
        </w:rPr>
      </w:pPr>
      <w:r>
        <w:rPr>
          <w:rFonts w:hint="eastAsia" w:ascii="宋体" w:hAnsi="宋体"/>
          <w:b/>
          <w:szCs w:val="21"/>
        </w:rPr>
        <w:t>供应商信用承诺书</w:t>
      </w:r>
    </w:p>
    <w:p>
      <w:pPr>
        <w:spacing w:line="560" w:lineRule="exact"/>
        <w:rPr>
          <w:rFonts w:ascii="宋体" w:hAnsi="宋体" w:cs="宋体"/>
          <w:szCs w:val="32"/>
        </w:rPr>
      </w:pPr>
      <w:r>
        <w:rPr>
          <w:rFonts w:hint="eastAsia" w:ascii="宋体" w:hAnsi="宋体" w:cs="宋体"/>
          <w:szCs w:val="32"/>
        </w:rPr>
        <w:t>承诺主体名称：</w:t>
      </w:r>
    </w:p>
    <w:p>
      <w:pPr>
        <w:spacing w:line="560" w:lineRule="exact"/>
        <w:rPr>
          <w:rFonts w:ascii="宋体" w:hAnsi="宋体" w:cs="宋体"/>
          <w:szCs w:val="32"/>
        </w:rPr>
      </w:pPr>
      <w:r>
        <w:rPr>
          <w:rFonts w:hint="eastAsia" w:ascii="宋体" w:hAnsi="宋体" w:cs="宋体"/>
          <w:szCs w:val="32"/>
        </w:rPr>
        <w:t>统一社会信用代码：</w:t>
      </w:r>
    </w:p>
    <w:p>
      <w:pPr>
        <w:spacing w:line="560" w:lineRule="exact"/>
        <w:rPr>
          <w:rFonts w:ascii="宋体" w:hAnsi="宋体" w:cs="宋体"/>
          <w:szCs w:val="32"/>
        </w:rPr>
      </w:pPr>
    </w:p>
    <w:p>
      <w:pPr>
        <w:spacing w:line="360" w:lineRule="auto"/>
        <w:ind w:firstLine="420" w:firstLineChars="200"/>
        <w:rPr>
          <w:rFonts w:ascii="宋体" w:hAnsi="宋体"/>
          <w:bCs/>
          <w:szCs w:val="21"/>
        </w:rPr>
      </w:pPr>
      <w:r>
        <w:rPr>
          <w:rFonts w:hint="eastAsia" w:ascii="宋体" w:hAnsi="宋体"/>
          <w:bCs/>
          <w:szCs w:val="21"/>
        </w:rPr>
        <w:t>为维护公平竞争、规范有序的市场秩序，营造诚实守信的信用环境，共同推进社会信用体系建设完善，树立企业诚信守法形象，本企业对________________________项目政府采购活动郑重承诺如下:</w:t>
      </w:r>
    </w:p>
    <w:p>
      <w:pPr>
        <w:spacing w:line="360" w:lineRule="auto"/>
        <w:ind w:firstLine="420" w:firstLineChars="200"/>
        <w:rPr>
          <w:rFonts w:ascii="宋体" w:hAnsi="宋体"/>
          <w:bCs/>
          <w:szCs w:val="21"/>
        </w:rPr>
      </w:pPr>
      <w:r>
        <w:rPr>
          <w:rFonts w:hint="eastAsia" w:ascii="宋体" w:hAnsi="宋体"/>
          <w:bCs/>
          <w:szCs w:val="21"/>
        </w:rPr>
        <w:t>一、对提供给注册登记部门、行业管理部门、司法部门、行业组织以及在政府采购活动中提交的所有资料的合法性、真实性、准确性和有效性负责；</w:t>
      </w:r>
    </w:p>
    <w:p>
      <w:pPr>
        <w:spacing w:line="360" w:lineRule="auto"/>
        <w:ind w:firstLine="420" w:firstLineChars="200"/>
        <w:rPr>
          <w:rFonts w:ascii="宋体" w:hAnsi="宋体"/>
          <w:bCs/>
          <w:szCs w:val="21"/>
        </w:rPr>
      </w:pPr>
      <w:r>
        <w:rPr>
          <w:rFonts w:hint="eastAsia" w:ascii="宋体" w:hAnsi="宋体"/>
          <w:bCs/>
          <w:szCs w:val="21"/>
        </w:rPr>
        <w:t>二、严格按照国家法律、法规和规章开展采购活动，全面履行应尽的责任和义务，全面做到履约守信，具备《中华人民共和国政府采购法》第二十二条第一款规定的条件;</w:t>
      </w:r>
    </w:p>
    <w:p>
      <w:pPr>
        <w:spacing w:line="360" w:lineRule="auto"/>
        <w:ind w:firstLine="420" w:firstLineChars="200"/>
        <w:rPr>
          <w:rFonts w:ascii="宋体" w:hAnsi="宋体"/>
          <w:bCs/>
          <w:szCs w:val="21"/>
        </w:rPr>
      </w:pPr>
      <w:r>
        <w:rPr>
          <w:rFonts w:hint="eastAsia" w:ascii="宋体" w:hAnsi="宋体"/>
          <w:bCs/>
          <w:szCs w:val="21"/>
        </w:rPr>
        <w:t>三、严格依法开展生产经营活动，主动接受行业监管，自愿接受依法开展的日常检查；违法失信经营后将自愿接受约束和惩戒，并依法承担相应责任；</w:t>
      </w:r>
    </w:p>
    <w:p>
      <w:pPr>
        <w:spacing w:line="360" w:lineRule="auto"/>
        <w:ind w:firstLine="420" w:firstLineChars="200"/>
        <w:rPr>
          <w:rFonts w:ascii="宋体" w:hAnsi="宋体"/>
          <w:bCs/>
          <w:szCs w:val="21"/>
        </w:rPr>
      </w:pPr>
      <w:r>
        <w:rPr>
          <w:rFonts w:hint="eastAsia" w:ascii="宋体" w:hAnsi="宋体"/>
          <w:bCs/>
          <w:szCs w:val="21"/>
        </w:rPr>
        <w:t>四、自觉接受行政管理部门、行业组织、社会公众、新闻舆论的监督；</w:t>
      </w:r>
    </w:p>
    <w:p>
      <w:pPr>
        <w:spacing w:line="360" w:lineRule="auto"/>
        <w:ind w:firstLine="420" w:firstLineChars="200"/>
        <w:rPr>
          <w:rFonts w:ascii="宋体" w:hAnsi="宋体"/>
          <w:bCs/>
          <w:szCs w:val="21"/>
        </w:rPr>
      </w:pPr>
      <w:r>
        <w:rPr>
          <w:rFonts w:hint="eastAsia" w:ascii="宋体" w:hAnsi="宋体"/>
          <w:bCs/>
          <w:szCs w:val="21"/>
        </w:rPr>
        <w:t>五、自觉做到自我约束、自我管理，不制假售假、商标侵权、虚假宣传、违约毁约、恶意逃债、偷税漏税、垄断和不正当竞争，维护经营者、消费者的合法权益；</w:t>
      </w:r>
    </w:p>
    <w:p>
      <w:pPr>
        <w:spacing w:line="360" w:lineRule="auto"/>
        <w:ind w:firstLine="420" w:firstLineChars="200"/>
        <w:rPr>
          <w:rFonts w:ascii="宋体" w:hAnsi="宋体"/>
          <w:bCs/>
          <w:szCs w:val="21"/>
        </w:rPr>
      </w:pPr>
      <w:r>
        <w:rPr>
          <w:rFonts w:hint="eastAsia" w:ascii="宋体" w:hAnsi="宋体"/>
          <w:bCs/>
          <w:szCs w:val="21"/>
        </w:rPr>
        <w:t>六、提出政府采购质疑和投诉坚持依法依规、诚实信用原则，在全国范围12个月内没有三次以上查无实据的政府采购投诉；</w:t>
      </w:r>
    </w:p>
    <w:p>
      <w:pPr>
        <w:spacing w:line="360" w:lineRule="auto"/>
        <w:ind w:firstLine="420" w:firstLineChars="200"/>
        <w:rPr>
          <w:rFonts w:ascii="宋体" w:hAnsi="宋体"/>
          <w:bCs/>
          <w:szCs w:val="21"/>
        </w:rPr>
      </w:pPr>
      <w:r>
        <w:rPr>
          <w:rFonts w:hint="eastAsia" w:ascii="宋体" w:hAnsi="宋体"/>
          <w:bCs/>
          <w:szCs w:val="21"/>
        </w:rPr>
        <w:t>七、严格遵守信用信息公示相关规定，向社会公示信用信息；</w:t>
      </w:r>
    </w:p>
    <w:p>
      <w:pPr>
        <w:spacing w:line="360" w:lineRule="auto"/>
        <w:ind w:firstLine="420" w:firstLineChars="200"/>
        <w:rPr>
          <w:rFonts w:ascii="宋体" w:hAnsi="宋体"/>
          <w:bCs/>
          <w:szCs w:val="21"/>
        </w:rPr>
      </w:pPr>
      <w:r>
        <w:rPr>
          <w:rFonts w:hint="eastAsia" w:ascii="宋体" w:hAnsi="宋体"/>
          <w:bCs/>
          <w:szCs w:val="21"/>
        </w:rPr>
        <w:t>八、在“信用中国”和“中国政府采购网”网站中无违法违规、较重或严重失信记录；</w:t>
      </w:r>
    </w:p>
    <w:p>
      <w:pPr>
        <w:spacing w:line="360" w:lineRule="auto"/>
        <w:ind w:firstLine="420" w:firstLineChars="200"/>
        <w:rPr>
          <w:rFonts w:ascii="宋体" w:hAnsi="宋体"/>
          <w:bCs/>
          <w:szCs w:val="21"/>
        </w:rPr>
      </w:pPr>
      <w:r>
        <w:rPr>
          <w:rFonts w:hint="eastAsia" w:ascii="宋体" w:hAnsi="宋体"/>
          <w:bCs/>
          <w:szCs w:val="21"/>
        </w:rPr>
        <w:t>九、如违反承诺，自愿接受管理部门依法给予的行政处罚，同意将违反承诺的行为作为不良记录记入信用档案，依法依规进行信息公示，并承担所产生的一切法律责任和经济损失。</w:t>
      </w:r>
    </w:p>
    <w:p>
      <w:pPr>
        <w:spacing w:line="360" w:lineRule="auto"/>
        <w:ind w:firstLine="420" w:firstLineChars="200"/>
        <w:rPr>
          <w:rFonts w:ascii="宋体" w:hAnsi="宋体"/>
          <w:bCs/>
          <w:szCs w:val="21"/>
        </w:rPr>
      </w:pPr>
      <w:r>
        <w:rPr>
          <w:rFonts w:hint="eastAsia" w:ascii="宋体" w:hAnsi="宋体"/>
          <w:bCs/>
          <w:szCs w:val="21"/>
        </w:rPr>
        <w:t>十、本承诺书自签订之日起生效。</w:t>
      </w:r>
    </w:p>
    <w:p>
      <w:pPr>
        <w:spacing w:line="360" w:lineRule="auto"/>
        <w:ind w:firstLine="420" w:firstLineChars="200"/>
        <w:rPr>
          <w:rFonts w:ascii="宋体" w:hAnsi="宋体"/>
          <w:bCs/>
          <w:szCs w:val="21"/>
        </w:rPr>
      </w:pPr>
      <w:r>
        <w:rPr>
          <w:rFonts w:hint="eastAsia" w:ascii="宋体" w:hAnsi="宋体"/>
          <w:bCs/>
          <w:szCs w:val="21"/>
        </w:rPr>
        <w:t>（注：法定代表人或负责人、主体名称发生变更的应当重新做出承诺。）</w:t>
      </w:r>
    </w:p>
    <w:p>
      <w:pPr>
        <w:spacing w:line="560" w:lineRule="exact"/>
        <w:rPr>
          <w:rFonts w:ascii="宋体" w:hAnsi="宋体" w:cs="宋体"/>
          <w:szCs w:val="32"/>
        </w:rPr>
      </w:pPr>
    </w:p>
    <w:p>
      <w:pPr>
        <w:spacing w:line="560" w:lineRule="exact"/>
        <w:jc w:val="center"/>
        <w:rPr>
          <w:rFonts w:ascii="宋体" w:hAnsi="宋体" w:cs="宋体"/>
          <w:szCs w:val="32"/>
        </w:rPr>
      </w:pPr>
      <w:r>
        <w:rPr>
          <w:rFonts w:hint="eastAsia" w:ascii="宋体" w:hAnsi="宋体" w:cs="宋体"/>
          <w:szCs w:val="32"/>
        </w:rPr>
        <w:t xml:space="preserve">　　　　　　　　　　  承诺单位（签章）：           </w:t>
      </w:r>
    </w:p>
    <w:p>
      <w:pPr>
        <w:spacing w:line="560" w:lineRule="exact"/>
        <w:jc w:val="center"/>
        <w:rPr>
          <w:rFonts w:ascii="宋体" w:hAnsi="宋体" w:cs="宋体"/>
          <w:szCs w:val="32"/>
        </w:rPr>
      </w:pPr>
      <w:r>
        <w:rPr>
          <w:rFonts w:hint="eastAsia" w:ascii="宋体" w:hAnsi="宋体" w:cs="宋体"/>
          <w:szCs w:val="32"/>
        </w:rPr>
        <w:t>　　　　　　　　　   　  法定代表人（负责人）：</w:t>
      </w:r>
    </w:p>
    <w:p>
      <w:pPr>
        <w:spacing w:line="360" w:lineRule="auto"/>
        <w:jc w:val="center"/>
        <w:rPr>
          <w:rFonts w:ascii="宋体" w:hAnsi="宋体" w:cs="宋体"/>
          <w:szCs w:val="32"/>
        </w:rPr>
      </w:pPr>
      <w:r>
        <w:rPr>
          <w:rFonts w:hint="eastAsia" w:ascii="宋体" w:hAnsi="宋体" w:cs="宋体"/>
          <w:szCs w:val="32"/>
        </w:rPr>
        <w:t>　　　　　　　　　      　年    月    日</w:t>
      </w:r>
    </w:p>
    <w:p>
      <w:pPr>
        <w:spacing w:line="360" w:lineRule="auto"/>
        <w:jc w:val="center"/>
        <w:rPr>
          <w:rFonts w:ascii="宋体" w:hAnsi="宋体" w:cs="宋体"/>
          <w:szCs w:val="32"/>
        </w:rPr>
      </w:pPr>
    </w:p>
    <w:p>
      <w:pPr>
        <w:spacing w:line="360" w:lineRule="auto"/>
        <w:jc w:val="center"/>
        <w:rPr>
          <w:rFonts w:ascii="宋体" w:hAnsi="宋体" w:cs="宋体"/>
          <w:szCs w:val="32"/>
        </w:rPr>
      </w:pPr>
    </w:p>
    <w:p>
      <w:pPr>
        <w:spacing w:line="360" w:lineRule="auto"/>
        <w:jc w:val="center"/>
        <w:rPr>
          <w:rFonts w:ascii="宋体" w:hAnsi="宋体" w:cs="宋体"/>
          <w:szCs w:val="32"/>
        </w:rPr>
      </w:pPr>
    </w:p>
    <w:p>
      <w:pPr>
        <w:spacing w:line="360" w:lineRule="auto"/>
        <w:jc w:val="center"/>
        <w:rPr>
          <w:rFonts w:ascii="宋体" w:hAnsi="宋体" w:cs="宋体"/>
          <w:szCs w:val="32"/>
        </w:rPr>
      </w:pPr>
    </w:p>
    <w:p>
      <w:pPr>
        <w:spacing w:line="360" w:lineRule="auto"/>
        <w:jc w:val="center"/>
        <w:rPr>
          <w:rFonts w:ascii="宋体" w:hAnsi="宋体" w:cs="宋体"/>
          <w:szCs w:val="32"/>
        </w:rPr>
      </w:pPr>
    </w:p>
    <w:p>
      <w:pPr>
        <w:spacing w:line="360" w:lineRule="auto"/>
        <w:jc w:val="center"/>
        <w:rPr>
          <w:b/>
          <w:bCs/>
        </w:rPr>
      </w:pPr>
      <w:r>
        <w:rPr>
          <w:rFonts w:hint="eastAsia"/>
          <w:b/>
          <w:bCs/>
        </w:rPr>
        <w:t>中小企业声明函（工程、服务）</w:t>
      </w:r>
    </w:p>
    <w:p>
      <w:pPr>
        <w:spacing w:line="440" w:lineRule="exact"/>
        <w:ind w:firstLine="420"/>
        <w:jc w:val="left"/>
      </w:pPr>
      <w:r>
        <w:rPr>
          <w:rFonts w:hint="eastAsia"/>
        </w:rPr>
        <w:t>本公司（联合体）郑重声明，根据《政府采购促进中小企业发展管理办法》（财库﹝2020﹞46 号）的规定，本公司（联合体）参加</w:t>
      </w:r>
      <w:r>
        <w:rPr>
          <w:rFonts w:hint="eastAsia"/>
          <w:u w:val="single"/>
        </w:rPr>
        <w:t>（单位名称）</w:t>
      </w:r>
      <w:r>
        <w:rPr>
          <w:rFonts w:hint="eastAsia"/>
        </w:rPr>
        <w:t>的</w:t>
      </w:r>
      <w:r>
        <w:rPr>
          <w:rFonts w:hint="eastAsia"/>
          <w:u w:val="single"/>
        </w:rPr>
        <w:t>（项目名称）</w:t>
      </w:r>
      <w:r>
        <w:rPr>
          <w:rFonts w:hint="eastAsia"/>
        </w:rPr>
        <w:t>采购活动，工程的施工单位全部为符合政策要求的中小企业（或者：服务全部由符合政策要求的中小企业承接）。相关企业（含联合体中的中小企业、签订分包意向协议的中小企业）的具体情况如下：</w:t>
      </w:r>
    </w:p>
    <w:p>
      <w:pPr>
        <w:spacing w:line="440" w:lineRule="exact"/>
        <w:ind w:firstLine="420"/>
        <w:jc w:val="left"/>
        <w:rPr>
          <w:u w:val="single"/>
        </w:rPr>
      </w:pPr>
      <w:r>
        <w:rPr>
          <w:rFonts w:hint="eastAsia"/>
        </w:rPr>
        <w:t xml:space="preserve">1. </w:t>
      </w:r>
      <w:r>
        <w:rPr>
          <w:rFonts w:hint="eastAsia"/>
          <w:u w:val="single"/>
        </w:rPr>
        <w:t xml:space="preserve">（标的名称） </w:t>
      </w:r>
      <w:r>
        <w:rPr>
          <w:rFonts w:hint="eastAsia"/>
        </w:rPr>
        <w:t>，属于</w:t>
      </w:r>
      <w:r>
        <w:rPr>
          <w:rFonts w:hint="eastAsia"/>
          <w:u w:val="single"/>
        </w:rPr>
        <w:t>（</w:t>
      </w:r>
      <w:r>
        <w:rPr>
          <w:rFonts w:hint="eastAsia"/>
          <w:b/>
          <w:u w:val="single"/>
        </w:rPr>
        <w:t>建筑业</w:t>
      </w:r>
      <w:r>
        <w:rPr>
          <w:rFonts w:hint="eastAsia"/>
          <w:u w:val="single"/>
        </w:rPr>
        <w:t>）（该行业类别不可修改）</w:t>
      </w:r>
      <w:r>
        <w:rPr>
          <w:rFonts w:hint="eastAsia"/>
        </w:rPr>
        <w:t>；承建（承接）企业为</w:t>
      </w:r>
      <w:r>
        <w:rPr>
          <w:rFonts w:hint="eastAsia"/>
          <w:u w:val="single"/>
        </w:rPr>
        <w:t>（企业名称）</w:t>
      </w:r>
      <w:r>
        <w:rPr>
          <w:rFonts w:hint="eastAsia"/>
        </w:rPr>
        <w:t>，从业人员人，营业收入为万元，资产总额为万元</w:t>
      </w:r>
      <w:r>
        <w:fldChar w:fldCharType="begin"/>
      </w:r>
      <w:r>
        <w:instrText xml:space="preserve"> HYPERLINK \l "br1" </w:instrText>
      </w:r>
      <w:r>
        <w:fldChar w:fldCharType="separate"/>
      </w:r>
      <w:r>
        <w:rPr>
          <w:rFonts w:ascii="仿宋" w:eastAsia="Times New Roman"/>
          <w:spacing w:val="-1"/>
          <w:vertAlign w:val="superscript"/>
        </w:rPr>
        <w:t>1</w:t>
      </w:r>
      <w:r>
        <w:rPr>
          <w:rFonts w:ascii="仿宋" w:eastAsia="Times New Roman"/>
          <w:spacing w:val="-1"/>
          <w:vertAlign w:val="superscript"/>
        </w:rPr>
        <w:fldChar w:fldCharType="end"/>
      </w:r>
      <w:r>
        <w:rPr>
          <w:rFonts w:hint="eastAsia"/>
        </w:rPr>
        <w:t>，属于</w:t>
      </w:r>
      <w:r>
        <w:rPr>
          <w:rFonts w:hint="eastAsia"/>
          <w:u w:val="single"/>
        </w:rPr>
        <w:t>（中型企业、小型企业、微型企业）；</w:t>
      </w:r>
    </w:p>
    <w:p>
      <w:pPr>
        <w:spacing w:line="440" w:lineRule="exact"/>
        <w:ind w:firstLine="420"/>
        <w:jc w:val="left"/>
        <w:rPr>
          <w:u w:val="single"/>
        </w:rPr>
      </w:pPr>
      <w:r>
        <w:rPr>
          <w:rFonts w:hint="eastAsia"/>
        </w:rPr>
        <w:t xml:space="preserve">2. </w:t>
      </w:r>
      <w:r>
        <w:rPr>
          <w:rFonts w:hint="eastAsia"/>
          <w:u w:val="single"/>
        </w:rPr>
        <w:t>（标的名称）</w:t>
      </w:r>
      <w:r>
        <w:rPr>
          <w:rFonts w:hint="eastAsia"/>
        </w:rPr>
        <w:t xml:space="preserve"> ，属于</w:t>
      </w:r>
      <w:r>
        <w:rPr>
          <w:rFonts w:hint="eastAsia"/>
          <w:u w:val="single"/>
        </w:rPr>
        <w:t>（采购文件中明确的所属行业）</w:t>
      </w:r>
      <w:r>
        <w:rPr>
          <w:rFonts w:hint="eastAsia"/>
        </w:rPr>
        <w:t>；承建（承接）企业为</w:t>
      </w:r>
      <w:r>
        <w:rPr>
          <w:rFonts w:hint="eastAsia"/>
          <w:u w:val="single"/>
        </w:rPr>
        <w:t>（企业名称）</w:t>
      </w:r>
      <w:r>
        <w:rPr>
          <w:rFonts w:hint="eastAsia"/>
        </w:rPr>
        <w:t>，从业人员人，营业收入为万元，资产总额为万元，属于</w:t>
      </w:r>
      <w:r>
        <w:rPr>
          <w:rFonts w:hint="eastAsia"/>
          <w:u w:val="single"/>
        </w:rPr>
        <w:t>（中型企业、小型企业、微型企业）；</w:t>
      </w:r>
    </w:p>
    <w:p>
      <w:pPr>
        <w:spacing w:line="440" w:lineRule="exact"/>
        <w:ind w:firstLine="420"/>
        <w:jc w:val="left"/>
      </w:pPr>
      <w:r>
        <w:rPr>
          <w:rFonts w:hint="eastAsia"/>
        </w:rPr>
        <w:t>……</w:t>
      </w:r>
    </w:p>
    <w:p>
      <w:pPr>
        <w:spacing w:line="440" w:lineRule="exact"/>
        <w:ind w:firstLine="420"/>
        <w:jc w:val="left"/>
      </w:pPr>
      <w:r>
        <w:rPr>
          <w:rFonts w:hint="eastAsia"/>
        </w:rPr>
        <w:t>以上企业，不属于大企业的分支机构，不存在控股股东为大企业的情形，也不存在与大企业的负责人为同一人的情形。</w:t>
      </w:r>
    </w:p>
    <w:p>
      <w:pPr>
        <w:spacing w:line="440" w:lineRule="exact"/>
        <w:ind w:firstLine="420"/>
        <w:jc w:val="left"/>
      </w:pPr>
      <w:r>
        <w:rPr>
          <w:rFonts w:hint="eastAsia"/>
        </w:rPr>
        <w:t>本企业对上述声明内容的真实性负责。如有虚假，将依法承担相应责任。</w:t>
      </w:r>
    </w:p>
    <w:p>
      <w:pPr>
        <w:spacing w:line="440" w:lineRule="exact"/>
        <w:rPr>
          <w:rFonts w:ascii="宋体" w:hAnsi="宋体"/>
        </w:rPr>
      </w:pPr>
      <w:r>
        <w:rPr>
          <w:rFonts w:hint="eastAsia" w:ascii="宋体" w:hAnsi="宋体"/>
          <w:b/>
          <w:bCs/>
        </w:rPr>
        <w:t>注</w:t>
      </w:r>
      <w:r>
        <w:rPr>
          <w:rFonts w:hint="eastAsia" w:ascii="宋体" w:hAnsi="宋体"/>
        </w:rPr>
        <w:t>：1、</w:t>
      </w:r>
      <w:r>
        <w:rPr>
          <w:rFonts w:hint="eastAsia"/>
        </w:rPr>
        <w:t>从业人员（不仅指在职职工）、营业收入、资产总额填报上一年度数据，无上一年度数据的新成立企业可不填报。</w:t>
      </w:r>
    </w:p>
    <w:p>
      <w:pPr>
        <w:spacing w:line="440" w:lineRule="exact"/>
        <w:ind w:firstLine="420"/>
        <w:rPr>
          <w:rFonts w:ascii="宋体" w:hAnsi="宋体"/>
        </w:rPr>
      </w:pPr>
      <w:r>
        <w:rPr>
          <w:rFonts w:hint="eastAsia" w:ascii="宋体" w:hAnsi="宋体"/>
        </w:rPr>
        <w:t>2、供应商如不提供此声明函，价格将不做相应扣除。</w:t>
      </w:r>
    </w:p>
    <w:p>
      <w:pPr>
        <w:spacing w:line="440" w:lineRule="exact"/>
        <w:rPr>
          <w:rFonts w:ascii="宋体" w:hAnsi="宋体"/>
        </w:rPr>
      </w:pPr>
      <w:r>
        <w:rPr>
          <w:rFonts w:hint="eastAsia" w:ascii="宋体" w:hAnsi="宋体"/>
        </w:rPr>
        <w:t xml:space="preserve">    3、企业声明函请完整填写，中标后将公示。</w:t>
      </w:r>
    </w:p>
    <w:p>
      <w:pPr>
        <w:spacing w:line="440" w:lineRule="exact"/>
        <w:ind w:firstLine="420"/>
        <w:jc w:val="left"/>
      </w:pPr>
      <w:r>
        <w:rPr>
          <w:rFonts w:hint="eastAsia"/>
        </w:rPr>
        <w:t>4、供应商应当对其出具的《中小企业声明函》真实性负责，供应商出具的《中小企业声明函》内容不实的，属于提供虚假材料谋取中标。对相关制造商信息了解不充分，或者不能确定相关信息真实、准确的，不建议出具《中小企业声明函》。</w:t>
      </w:r>
    </w:p>
    <w:p>
      <w:pPr>
        <w:spacing w:line="440" w:lineRule="exact"/>
        <w:ind w:firstLine="420"/>
        <w:jc w:val="left"/>
      </w:pPr>
      <w:r>
        <w:rPr>
          <w:rFonts w:hint="eastAsia"/>
        </w:rPr>
        <w:t>5、中小企业不得属于大企业的分支机构，不得存在控股股东为大企业的情形，不得存在与大企业的负责人为同一人的情形。</w:t>
      </w:r>
    </w:p>
    <w:p>
      <w:pPr>
        <w:spacing w:line="440" w:lineRule="exact"/>
        <w:ind w:firstLine="420"/>
        <w:jc w:val="left"/>
      </w:pPr>
      <w:r>
        <w:rPr>
          <w:rFonts w:hint="eastAsia"/>
        </w:rPr>
        <w:t>6、《政府采购法》第七十七条第一款：提供虚假材料谋取中标、成交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 。</w:t>
      </w:r>
    </w:p>
    <w:p>
      <w:pPr>
        <w:spacing w:line="360" w:lineRule="auto"/>
        <w:ind w:firstLine="4620"/>
        <w:jc w:val="left"/>
      </w:pPr>
      <w:r>
        <w:rPr>
          <w:rFonts w:hint="eastAsia"/>
        </w:rPr>
        <w:t>企业名称（盖章）：</w:t>
      </w:r>
    </w:p>
    <w:p>
      <w:pPr>
        <w:spacing w:line="360" w:lineRule="auto"/>
        <w:ind w:firstLine="4620"/>
        <w:jc w:val="left"/>
      </w:pPr>
      <w:r>
        <w:rPr>
          <w:rFonts w:hint="eastAsia"/>
        </w:rPr>
        <w:t>日 期：</w:t>
      </w:r>
    </w:p>
    <w:p>
      <w:pPr>
        <w:spacing w:line="360" w:lineRule="auto"/>
        <w:ind w:firstLine="4620"/>
        <w:jc w:val="left"/>
      </w:pPr>
    </w:p>
    <w:p>
      <w:pPr>
        <w:pStyle w:val="104"/>
        <w:widowControl/>
        <w:spacing w:before="300" w:after="300" w:line="360" w:lineRule="auto"/>
        <w:jc w:val="center"/>
        <w:rPr>
          <w:rFonts w:ascii="宋体" w:hAnsi="宋体" w:cs="微软雅黑"/>
          <w:bCs w:val="0"/>
          <w:sz w:val="21"/>
          <w:szCs w:val="21"/>
        </w:rPr>
        <w:sectPr>
          <w:pgSz w:w="11906" w:h="16838"/>
          <w:pgMar w:top="1015" w:right="1196" w:bottom="868" w:left="1259" w:header="851" w:footer="907" w:gutter="0"/>
          <w:cols w:space="720" w:num="1"/>
          <w:titlePg/>
          <w:docGrid w:type="lines" w:linePitch="286" w:charSpace="0"/>
        </w:sectPr>
      </w:pPr>
      <w:bookmarkStart w:id="66" w:name="_Toc109304977"/>
      <w:bookmarkStart w:id="67" w:name="_Toc21325"/>
      <w:r>
        <w:rPr>
          <w:rFonts w:hint="eastAsia" w:ascii="宋体" w:hAnsi="宋体" w:cs="微软雅黑"/>
          <w:bCs w:val="0"/>
          <w:sz w:val="21"/>
          <w:szCs w:val="21"/>
        </w:rPr>
        <w:br w:type="textWrapping"/>
      </w:r>
    </w:p>
    <w:p>
      <w:pPr>
        <w:pStyle w:val="104"/>
        <w:widowControl/>
        <w:spacing w:before="300" w:after="300" w:line="360" w:lineRule="auto"/>
        <w:jc w:val="center"/>
        <w:rPr>
          <w:rFonts w:ascii="宋体" w:hAnsi="宋体"/>
          <w:sz w:val="21"/>
          <w:szCs w:val="21"/>
        </w:rPr>
      </w:pPr>
      <w:r>
        <w:rPr>
          <w:rFonts w:hint="eastAsia" w:ascii="宋体" w:hAnsi="宋体" w:cs="微软雅黑"/>
          <w:bCs w:val="0"/>
          <w:sz w:val="21"/>
          <w:szCs w:val="21"/>
        </w:rPr>
        <w:t>中小微企业划型标准</w:t>
      </w:r>
      <w:bookmarkEnd w:id="66"/>
      <w:bookmarkEnd w:id="67"/>
    </w:p>
    <w:p>
      <w:pPr>
        <w:pStyle w:val="106"/>
        <w:widowControl/>
        <w:spacing w:before="300" w:after="452" w:line="360" w:lineRule="auto"/>
        <w:ind w:firstLine="420"/>
        <w:rPr>
          <w:rFonts w:ascii="宋体" w:hAnsi="宋体"/>
          <w:sz w:val="21"/>
          <w:szCs w:val="21"/>
        </w:rPr>
      </w:pPr>
      <w:r>
        <w:rPr>
          <w:rFonts w:hint="eastAsia" w:ascii="宋体" w:hAnsi="宋体" w:cs="仿宋"/>
          <w:sz w:val="21"/>
          <w:szCs w:val="21"/>
        </w:rPr>
        <w:t>    </w:t>
      </w:r>
      <w:r>
        <w:rPr>
          <w:rStyle w:val="107"/>
          <w:rFonts w:hint="eastAsia" w:ascii="宋体" w:hAnsi="宋体" w:cs="仿宋"/>
          <w:sz w:val="21"/>
          <w:szCs w:val="21"/>
        </w:rPr>
        <w:t>中小微企业划型标准如下：</w:t>
      </w:r>
    </w:p>
    <w:tbl>
      <w:tblPr>
        <w:tblStyle w:val="39"/>
        <w:tblW w:w="0" w:type="auto"/>
        <w:jc w:val="center"/>
        <w:tblCellSpacing w:w="15" w:type="dxa"/>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Layout w:type="fixed"/>
        <w:tblCellMar>
          <w:top w:w="0" w:type="dxa"/>
          <w:left w:w="105" w:type="dxa"/>
          <w:bottom w:w="0" w:type="dxa"/>
          <w:right w:w="105" w:type="dxa"/>
        </w:tblCellMar>
      </w:tblPr>
      <w:tblGrid>
        <w:gridCol w:w="1446"/>
        <w:gridCol w:w="1739"/>
        <w:gridCol w:w="505"/>
        <w:gridCol w:w="2089"/>
        <w:gridCol w:w="1709"/>
        <w:gridCol w:w="1500"/>
      </w:tblGrid>
      <w:tr>
        <w:tblPrEx>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CellMar>
            <w:top w:w="0" w:type="dxa"/>
            <w:left w:w="105" w:type="dxa"/>
            <w:bottom w:w="0" w:type="dxa"/>
            <w:right w:w="105" w:type="dxa"/>
          </w:tblCellMar>
        </w:tblPrEx>
        <w:trPr>
          <w:trHeight w:val="1236" w:hRule="atLeast"/>
          <w:tblCellSpacing w:w="15" w:type="dxa"/>
          <w:jc w:val="center"/>
        </w:trPr>
        <w:tc>
          <w:tcPr>
            <w:tcW w:w="1401"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行业名称</w:t>
            </w:r>
          </w:p>
        </w:tc>
        <w:tc>
          <w:tcPr>
            <w:tcW w:w="1709" w:type="dxa"/>
            <w:tcMar>
              <w:top w:w="0" w:type="dxa"/>
              <w:left w:w="105" w:type="dxa"/>
              <w:bottom w:w="0" w:type="dxa"/>
              <w:right w:w="105" w:type="dxa"/>
            </w:tcMar>
            <w:vAlign w:val="center"/>
          </w:tcPr>
          <w:p>
            <w:pPr>
              <w:pStyle w:val="106"/>
              <w:widowControl/>
              <w:spacing w:after="150" w:line="360" w:lineRule="auto"/>
              <w:ind w:firstLine="420"/>
              <w:jc w:val="center"/>
              <w:rPr>
                <w:rFonts w:ascii="宋体" w:hAnsi="宋体"/>
                <w:sz w:val="21"/>
                <w:szCs w:val="21"/>
              </w:rPr>
            </w:pPr>
            <w:r>
              <w:rPr>
                <w:rStyle w:val="107"/>
                <w:rFonts w:hint="eastAsia" w:ascii="宋体" w:hAnsi="宋体" w:cs="仿宋"/>
                <w:sz w:val="21"/>
                <w:szCs w:val="21"/>
              </w:rPr>
              <w:t>指标名称</w:t>
            </w:r>
          </w:p>
        </w:tc>
        <w:tc>
          <w:tcPr>
            <w:tcW w:w="475"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计量单位</w:t>
            </w:r>
          </w:p>
        </w:tc>
        <w:tc>
          <w:tcPr>
            <w:tcW w:w="2059" w:type="dxa"/>
            <w:tcMar>
              <w:top w:w="0" w:type="dxa"/>
              <w:left w:w="105" w:type="dxa"/>
              <w:bottom w:w="0" w:type="dxa"/>
              <w:right w:w="105" w:type="dxa"/>
            </w:tcMar>
            <w:vAlign w:val="center"/>
          </w:tcPr>
          <w:p>
            <w:pPr>
              <w:pStyle w:val="106"/>
              <w:widowControl/>
              <w:spacing w:after="150" w:line="360" w:lineRule="auto"/>
              <w:ind w:firstLine="420"/>
              <w:jc w:val="center"/>
              <w:rPr>
                <w:rFonts w:ascii="宋体" w:hAnsi="宋体"/>
                <w:sz w:val="21"/>
                <w:szCs w:val="21"/>
              </w:rPr>
            </w:pPr>
            <w:r>
              <w:rPr>
                <w:rStyle w:val="107"/>
                <w:rFonts w:hint="eastAsia" w:ascii="宋体" w:hAnsi="宋体" w:cs="仿宋"/>
                <w:sz w:val="21"/>
                <w:szCs w:val="21"/>
              </w:rPr>
              <w:t>中型</w:t>
            </w:r>
          </w:p>
        </w:tc>
        <w:tc>
          <w:tcPr>
            <w:tcW w:w="1679" w:type="dxa"/>
            <w:tcMar>
              <w:top w:w="0" w:type="dxa"/>
              <w:left w:w="105" w:type="dxa"/>
              <w:bottom w:w="0" w:type="dxa"/>
              <w:right w:w="105" w:type="dxa"/>
            </w:tcMar>
            <w:vAlign w:val="center"/>
          </w:tcPr>
          <w:p>
            <w:pPr>
              <w:pStyle w:val="106"/>
              <w:widowControl/>
              <w:spacing w:after="150" w:line="360" w:lineRule="auto"/>
              <w:ind w:firstLine="420"/>
              <w:jc w:val="center"/>
              <w:rPr>
                <w:rFonts w:ascii="宋体" w:hAnsi="宋体"/>
                <w:sz w:val="21"/>
                <w:szCs w:val="21"/>
              </w:rPr>
            </w:pPr>
            <w:r>
              <w:rPr>
                <w:rStyle w:val="107"/>
                <w:rFonts w:hint="eastAsia" w:ascii="宋体" w:hAnsi="宋体" w:cs="仿宋"/>
                <w:sz w:val="21"/>
                <w:szCs w:val="21"/>
              </w:rPr>
              <w:t>小型</w:t>
            </w:r>
          </w:p>
        </w:tc>
        <w:tc>
          <w:tcPr>
            <w:tcW w:w="1455"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微型</w:t>
            </w:r>
          </w:p>
        </w:tc>
      </w:tr>
      <w:tr>
        <w:tblPrEx>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CellMar>
            <w:top w:w="0" w:type="dxa"/>
            <w:left w:w="105" w:type="dxa"/>
            <w:bottom w:w="0" w:type="dxa"/>
            <w:right w:w="105" w:type="dxa"/>
          </w:tblCellMar>
        </w:tblPrEx>
        <w:trPr>
          <w:trHeight w:val="225" w:hRule="atLeast"/>
          <w:tblCellSpacing w:w="15" w:type="dxa"/>
          <w:jc w:val="center"/>
        </w:trPr>
        <w:tc>
          <w:tcPr>
            <w:tcW w:w="1401" w:type="dxa"/>
            <w:tcMar>
              <w:top w:w="0" w:type="dxa"/>
              <w:left w:w="105" w:type="dxa"/>
              <w:bottom w:w="0" w:type="dxa"/>
              <w:right w:w="105" w:type="dxa"/>
            </w:tcMar>
            <w:vAlign w:val="bottom"/>
          </w:tcPr>
          <w:p>
            <w:pPr>
              <w:pStyle w:val="106"/>
              <w:widowControl/>
              <w:spacing w:after="150" w:line="360" w:lineRule="auto"/>
              <w:ind w:firstLine="420"/>
              <w:jc w:val="center"/>
              <w:rPr>
                <w:rFonts w:ascii="宋体" w:hAnsi="宋体"/>
                <w:sz w:val="21"/>
                <w:szCs w:val="21"/>
              </w:rPr>
            </w:pPr>
            <w:r>
              <w:rPr>
                <w:rStyle w:val="107"/>
                <w:rFonts w:hint="eastAsia" w:ascii="宋体" w:hAnsi="宋体" w:cs="仿宋"/>
                <w:sz w:val="21"/>
                <w:szCs w:val="21"/>
              </w:rPr>
              <w:t>农、林、牧、渔</w:t>
            </w:r>
          </w:p>
        </w:tc>
        <w:tc>
          <w:tcPr>
            <w:tcW w:w="1709"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营业收入（Y）</w:t>
            </w:r>
          </w:p>
        </w:tc>
        <w:tc>
          <w:tcPr>
            <w:tcW w:w="475"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万万元</w:t>
            </w:r>
          </w:p>
        </w:tc>
        <w:tc>
          <w:tcPr>
            <w:tcW w:w="2059"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500≤Y＜20000</w:t>
            </w:r>
          </w:p>
        </w:tc>
        <w:tc>
          <w:tcPr>
            <w:tcW w:w="1679" w:type="dxa"/>
            <w:tcMar>
              <w:top w:w="0" w:type="dxa"/>
              <w:left w:w="105" w:type="dxa"/>
              <w:bottom w:w="0" w:type="dxa"/>
              <w:right w:w="105" w:type="dxa"/>
            </w:tcMar>
            <w:vAlign w:val="center"/>
          </w:tcPr>
          <w:p>
            <w:pPr>
              <w:pStyle w:val="106"/>
              <w:widowControl/>
              <w:spacing w:after="150" w:line="360" w:lineRule="auto"/>
              <w:ind w:firstLine="420"/>
              <w:jc w:val="center"/>
              <w:rPr>
                <w:rFonts w:ascii="宋体" w:hAnsi="宋体"/>
                <w:sz w:val="21"/>
                <w:szCs w:val="21"/>
              </w:rPr>
            </w:pPr>
            <w:r>
              <w:rPr>
                <w:rStyle w:val="107"/>
                <w:rFonts w:hint="eastAsia" w:ascii="宋体" w:hAnsi="宋体" w:cs="仿宋"/>
                <w:sz w:val="21"/>
                <w:szCs w:val="21"/>
              </w:rPr>
              <w:t>50≤Y＜500</w:t>
            </w:r>
          </w:p>
        </w:tc>
        <w:tc>
          <w:tcPr>
            <w:tcW w:w="1455"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Y＜50</w:t>
            </w:r>
          </w:p>
        </w:tc>
      </w:tr>
      <w:tr>
        <w:tblPrEx>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CellMar>
            <w:top w:w="0" w:type="dxa"/>
            <w:left w:w="105" w:type="dxa"/>
            <w:bottom w:w="0" w:type="dxa"/>
            <w:right w:w="105" w:type="dxa"/>
          </w:tblCellMar>
        </w:tblPrEx>
        <w:trPr>
          <w:trHeight w:val="225" w:hRule="atLeast"/>
          <w:tblCellSpacing w:w="15" w:type="dxa"/>
          <w:jc w:val="center"/>
        </w:trPr>
        <w:tc>
          <w:tcPr>
            <w:tcW w:w="1401" w:type="dxa"/>
            <w:vMerge w:val="restart"/>
            <w:tcMar>
              <w:top w:w="0" w:type="dxa"/>
              <w:left w:w="105" w:type="dxa"/>
              <w:bottom w:w="0" w:type="dxa"/>
              <w:right w:w="105" w:type="dxa"/>
            </w:tcMar>
            <w:vAlign w:val="bottom"/>
          </w:tcPr>
          <w:p>
            <w:pPr>
              <w:pStyle w:val="106"/>
              <w:widowControl/>
              <w:spacing w:after="150" w:line="360" w:lineRule="auto"/>
              <w:ind w:firstLine="420"/>
              <w:jc w:val="center"/>
              <w:rPr>
                <w:rFonts w:ascii="宋体" w:hAnsi="宋体"/>
                <w:sz w:val="21"/>
                <w:szCs w:val="21"/>
              </w:rPr>
            </w:pPr>
            <w:r>
              <w:rPr>
                <w:rStyle w:val="107"/>
                <w:rFonts w:hint="eastAsia" w:ascii="宋体" w:hAnsi="宋体" w:cs="仿宋"/>
                <w:sz w:val="21"/>
                <w:szCs w:val="21"/>
              </w:rPr>
              <w:t>工业</w:t>
            </w:r>
          </w:p>
        </w:tc>
        <w:tc>
          <w:tcPr>
            <w:tcW w:w="1709"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从业人员（X）</w:t>
            </w:r>
          </w:p>
        </w:tc>
        <w:tc>
          <w:tcPr>
            <w:tcW w:w="475"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人</w:t>
            </w:r>
          </w:p>
        </w:tc>
        <w:tc>
          <w:tcPr>
            <w:tcW w:w="2059"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300≤X＜1000</w:t>
            </w:r>
          </w:p>
        </w:tc>
        <w:tc>
          <w:tcPr>
            <w:tcW w:w="1679" w:type="dxa"/>
            <w:tcMar>
              <w:top w:w="0" w:type="dxa"/>
              <w:left w:w="105" w:type="dxa"/>
              <w:bottom w:w="0" w:type="dxa"/>
              <w:right w:w="105" w:type="dxa"/>
            </w:tcMar>
            <w:vAlign w:val="center"/>
          </w:tcPr>
          <w:p>
            <w:pPr>
              <w:pStyle w:val="106"/>
              <w:widowControl/>
              <w:spacing w:after="150" w:line="360" w:lineRule="auto"/>
              <w:ind w:firstLine="420"/>
              <w:jc w:val="center"/>
              <w:rPr>
                <w:rFonts w:ascii="宋体" w:hAnsi="宋体"/>
                <w:sz w:val="21"/>
                <w:szCs w:val="21"/>
              </w:rPr>
            </w:pPr>
            <w:r>
              <w:rPr>
                <w:rStyle w:val="107"/>
                <w:rFonts w:hint="eastAsia" w:ascii="宋体" w:hAnsi="宋体" w:cs="仿宋"/>
                <w:sz w:val="21"/>
                <w:szCs w:val="21"/>
              </w:rPr>
              <w:t>20≤X＜300</w:t>
            </w:r>
          </w:p>
        </w:tc>
        <w:tc>
          <w:tcPr>
            <w:tcW w:w="1455"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X＜20</w:t>
            </w:r>
          </w:p>
        </w:tc>
      </w:tr>
      <w:tr>
        <w:tblPrEx>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CellMar>
            <w:top w:w="0" w:type="dxa"/>
            <w:left w:w="105" w:type="dxa"/>
            <w:bottom w:w="0" w:type="dxa"/>
            <w:right w:w="105" w:type="dxa"/>
          </w:tblCellMar>
        </w:tblPrEx>
        <w:trPr>
          <w:trHeight w:val="225" w:hRule="atLeast"/>
          <w:tblCellSpacing w:w="15" w:type="dxa"/>
          <w:jc w:val="center"/>
        </w:trPr>
        <w:tc>
          <w:tcPr>
            <w:tcW w:w="1401" w:type="dxa"/>
            <w:vMerge w:val="continue"/>
            <w:vAlign w:val="center"/>
          </w:tcPr>
          <w:p>
            <w:pPr>
              <w:widowControl/>
              <w:spacing w:line="360" w:lineRule="auto"/>
              <w:jc w:val="left"/>
              <w:rPr>
                <w:rFonts w:ascii="宋体" w:hAnsi="宋体"/>
                <w:szCs w:val="21"/>
              </w:rPr>
            </w:pPr>
          </w:p>
        </w:tc>
        <w:tc>
          <w:tcPr>
            <w:tcW w:w="1709"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营业收入（Y）</w:t>
            </w:r>
          </w:p>
        </w:tc>
        <w:tc>
          <w:tcPr>
            <w:tcW w:w="475"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万万元</w:t>
            </w:r>
          </w:p>
        </w:tc>
        <w:tc>
          <w:tcPr>
            <w:tcW w:w="2059"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2000≤Y＜40000</w:t>
            </w:r>
          </w:p>
        </w:tc>
        <w:tc>
          <w:tcPr>
            <w:tcW w:w="1679" w:type="dxa"/>
            <w:tcMar>
              <w:top w:w="0" w:type="dxa"/>
              <w:left w:w="105" w:type="dxa"/>
              <w:bottom w:w="0" w:type="dxa"/>
              <w:right w:w="105" w:type="dxa"/>
            </w:tcMar>
            <w:vAlign w:val="center"/>
          </w:tcPr>
          <w:p>
            <w:pPr>
              <w:pStyle w:val="106"/>
              <w:widowControl/>
              <w:spacing w:after="150" w:line="360" w:lineRule="auto"/>
              <w:ind w:firstLine="420"/>
              <w:jc w:val="center"/>
              <w:rPr>
                <w:rFonts w:ascii="宋体" w:hAnsi="宋体"/>
                <w:sz w:val="21"/>
                <w:szCs w:val="21"/>
              </w:rPr>
            </w:pPr>
            <w:r>
              <w:rPr>
                <w:rStyle w:val="107"/>
                <w:rFonts w:hint="eastAsia" w:ascii="宋体" w:hAnsi="宋体" w:cs="仿宋"/>
                <w:sz w:val="21"/>
                <w:szCs w:val="21"/>
              </w:rPr>
              <w:t>300≤Y＜2000</w:t>
            </w:r>
          </w:p>
        </w:tc>
        <w:tc>
          <w:tcPr>
            <w:tcW w:w="1455"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Y＜300</w:t>
            </w:r>
          </w:p>
        </w:tc>
      </w:tr>
      <w:tr>
        <w:tblPrEx>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CellMar>
            <w:top w:w="0" w:type="dxa"/>
            <w:left w:w="105" w:type="dxa"/>
            <w:bottom w:w="0" w:type="dxa"/>
            <w:right w:w="105" w:type="dxa"/>
          </w:tblCellMar>
        </w:tblPrEx>
        <w:trPr>
          <w:trHeight w:val="225" w:hRule="atLeast"/>
          <w:tblCellSpacing w:w="15" w:type="dxa"/>
          <w:jc w:val="center"/>
        </w:trPr>
        <w:tc>
          <w:tcPr>
            <w:tcW w:w="1401" w:type="dxa"/>
            <w:vMerge w:val="restart"/>
            <w:tcMar>
              <w:top w:w="0" w:type="dxa"/>
              <w:left w:w="105" w:type="dxa"/>
              <w:bottom w:w="0" w:type="dxa"/>
              <w:right w:w="105" w:type="dxa"/>
            </w:tcMar>
            <w:vAlign w:val="bottom"/>
          </w:tcPr>
          <w:p>
            <w:pPr>
              <w:pStyle w:val="106"/>
              <w:widowControl/>
              <w:spacing w:after="150" w:line="360" w:lineRule="auto"/>
              <w:ind w:firstLine="420"/>
              <w:jc w:val="center"/>
              <w:rPr>
                <w:rFonts w:ascii="宋体" w:hAnsi="宋体"/>
                <w:sz w:val="21"/>
                <w:szCs w:val="21"/>
              </w:rPr>
            </w:pPr>
            <w:r>
              <w:rPr>
                <w:rStyle w:val="107"/>
                <w:rFonts w:hint="eastAsia" w:ascii="宋体" w:hAnsi="宋体" w:cs="仿宋"/>
                <w:sz w:val="21"/>
                <w:szCs w:val="21"/>
              </w:rPr>
              <w:t>建筑业</w:t>
            </w:r>
          </w:p>
        </w:tc>
        <w:tc>
          <w:tcPr>
            <w:tcW w:w="1709"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营业收入（Y）</w:t>
            </w:r>
          </w:p>
        </w:tc>
        <w:tc>
          <w:tcPr>
            <w:tcW w:w="475"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万万元</w:t>
            </w:r>
          </w:p>
        </w:tc>
        <w:tc>
          <w:tcPr>
            <w:tcW w:w="2059"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6000≤Y＜80000</w:t>
            </w:r>
          </w:p>
        </w:tc>
        <w:tc>
          <w:tcPr>
            <w:tcW w:w="1679" w:type="dxa"/>
            <w:tcMar>
              <w:top w:w="0" w:type="dxa"/>
              <w:left w:w="105" w:type="dxa"/>
              <w:bottom w:w="0" w:type="dxa"/>
              <w:right w:w="105" w:type="dxa"/>
            </w:tcMar>
            <w:vAlign w:val="center"/>
          </w:tcPr>
          <w:p>
            <w:pPr>
              <w:pStyle w:val="106"/>
              <w:widowControl/>
              <w:spacing w:after="150" w:line="360" w:lineRule="auto"/>
              <w:ind w:firstLine="420"/>
              <w:jc w:val="center"/>
              <w:rPr>
                <w:rFonts w:ascii="宋体" w:hAnsi="宋体"/>
                <w:sz w:val="21"/>
                <w:szCs w:val="21"/>
              </w:rPr>
            </w:pPr>
            <w:r>
              <w:rPr>
                <w:rStyle w:val="107"/>
                <w:rFonts w:hint="eastAsia" w:ascii="宋体" w:hAnsi="宋体" w:cs="仿宋"/>
                <w:sz w:val="21"/>
                <w:szCs w:val="21"/>
              </w:rPr>
              <w:t>300≤Y＜6000</w:t>
            </w:r>
          </w:p>
        </w:tc>
        <w:tc>
          <w:tcPr>
            <w:tcW w:w="1455"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Y＜300</w:t>
            </w:r>
          </w:p>
        </w:tc>
      </w:tr>
      <w:tr>
        <w:tblPrEx>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CellMar>
            <w:top w:w="0" w:type="dxa"/>
            <w:left w:w="105" w:type="dxa"/>
            <w:bottom w:w="0" w:type="dxa"/>
            <w:right w:w="105" w:type="dxa"/>
          </w:tblCellMar>
        </w:tblPrEx>
        <w:trPr>
          <w:trHeight w:val="225" w:hRule="atLeast"/>
          <w:tblCellSpacing w:w="15" w:type="dxa"/>
          <w:jc w:val="center"/>
        </w:trPr>
        <w:tc>
          <w:tcPr>
            <w:tcW w:w="1401" w:type="dxa"/>
            <w:vMerge w:val="continue"/>
            <w:vAlign w:val="center"/>
          </w:tcPr>
          <w:p>
            <w:pPr>
              <w:widowControl/>
              <w:spacing w:line="360" w:lineRule="auto"/>
              <w:jc w:val="left"/>
              <w:rPr>
                <w:rFonts w:ascii="宋体" w:hAnsi="宋体"/>
                <w:szCs w:val="21"/>
              </w:rPr>
            </w:pPr>
          </w:p>
        </w:tc>
        <w:tc>
          <w:tcPr>
            <w:tcW w:w="1709"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资产总额（Z）</w:t>
            </w:r>
          </w:p>
        </w:tc>
        <w:tc>
          <w:tcPr>
            <w:tcW w:w="475"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万万元</w:t>
            </w:r>
          </w:p>
        </w:tc>
        <w:tc>
          <w:tcPr>
            <w:tcW w:w="2059"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5000≤Z＜80000</w:t>
            </w:r>
          </w:p>
        </w:tc>
        <w:tc>
          <w:tcPr>
            <w:tcW w:w="1679" w:type="dxa"/>
            <w:tcMar>
              <w:top w:w="0" w:type="dxa"/>
              <w:left w:w="105" w:type="dxa"/>
              <w:bottom w:w="0" w:type="dxa"/>
              <w:right w:w="105" w:type="dxa"/>
            </w:tcMar>
            <w:vAlign w:val="center"/>
          </w:tcPr>
          <w:p>
            <w:pPr>
              <w:pStyle w:val="106"/>
              <w:widowControl/>
              <w:spacing w:after="150" w:line="360" w:lineRule="auto"/>
              <w:ind w:firstLine="420"/>
              <w:jc w:val="center"/>
              <w:rPr>
                <w:rFonts w:ascii="宋体" w:hAnsi="宋体"/>
                <w:sz w:val="21"/>
                <w:szCs w:val="21"/>
              </w:rPr>
            </w:pPr>
            <w:r>
              <w:rPr>
                <w:rStyle w:val="107"/>
                <w:rFonts w:hint="eastAsia" w:ascii="宋体" w:hAnsi="宋体" w:cs="仿宋"/>
                <w:sz w:val="21"/>
                <w:szCs w:val="21"/>
              </w:rPr>
              <w:t>300≤Z＜5000</w:t>
            </w:r>
          </w:p>
        </w:tc>
        <w:tc>
          <w:tcPr>
            <w:tcW w:w="1455"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Z＜300</w:t>
            </w:r>
          </w:p>
        </w:tc>
      </w:tr>
      <w:tr>
        <w:tblPrEx>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CellMar>
            <w:top w:w="0" w:type="dxa"/>
            <w:left w:w="105" w:type="dxa"/>
            <w:bottom w:w="0" w:type="dxa"/>
            <w:right w:w="105" w:type="dxa"/>
          </w:tblCellMar>
        </w:tblPrEx>
        <w:trPr>
          <w:trHeight w:val="225" w:hRule="atLeast"/>
          <w:tblCellSpacing w:w="15" w:type="dxa"/>
          <w:jc w:val="center"/>
        </w:trPr>
        <w:tc>
          <w:tcPr>
            <w:tcW w:w="1401" w:type="dxa"/>
            <w:vMerge w:val="restart"/>
            <w:tcMar>
              <w:top w:w="0" w:type="dxa"/>
              <w:left w:w="105" w:type="dxa"/>
              <w:bottom w:w="0" w:type="dxa"/>
              <w:right w:w="105" w:type="dxa"/>
            </w:tcMar>
            <w:vAlign w:val="bottom"/>
          </w:tcPr>
          <w:p>
            <w:pPr>
              <w:pStyle w:val="106"/>
              <w:widowControl/>
              <w:spacing w:after="150" w:line="360" w:lineRule="auto"/>
              <w:ind w:firstLine="420"/>
              <w:jc w:val="center"/>
              <w:rPr>
                <w:rFonts w:ascii="宋体" w:hAnsi="宋体"/>
                <w:sz w:val="21"/>
                <w:szCs w:val="21"/>
              </w:rPr>
            </w:pPr>
            <w:r>
              <w:rPr>
                <w:rStyle w:val="107"/>
                <w:rFonts w:hint="eastAsia" w:ascii="宋体" w:hAnsi="宋体" w:cs="仿宋"/>
                <w:sz w:val="21"/>
                <w:szCs w:val="21"/>
              </w:rPr>
              <w:t>批发业</w:t>
            </w:r>
          </w:p>
        </w:tc>
        <w:tc>
          <w:tcPr>
            <w:tcW w:w="1709"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从业人员（X）</w:t>
            </w:r>
          </w:p>
        </w:tc>
        <w:tc>
          <w:tcPr>
            <w:tcW w:w="475"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人</w:t>
            </w:r>
          </w:p>
        </w:tc>
        <w:tc>
          <w:tcPr>
            <w:tcW w:w="2059"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20≤X＜200</w:t>
            </w:r>
          </w:p>
        </w:tc>
        <w:tc>
          <w:tcPr>
            <w:tcW w:w="1679" w:type="dxa"/>
            <w:tcMar>
              <w:top w:w="0" w:type="dxa"/>
              <w:left w:w="105" w:type="dxa"/>
              <w:bottom w:w="0" w:type="dxa"/>
              <w:right w:w="105" w:type="dxa"/>
            </w:tcMar>
            <w:vAlign w:val="center"/>
          </w:tcPr>
          <w:p>
            <w:pPr>
              <w:pStyle w:val="106"/>
              <w:widowControl/>
              <w:spacing w:after="150" w:line="360" w:lineRule="auto"/>
              <w:ind w:firstLine="420"/>
              <w:jc w:val="center"/>
              <w:rPr>
                <w:rFonts w:ascii="宋体" w:hAnsi="宋体"/>
                <w:sz w:val="21"/>
                <w:szCs w:val="21"/>
              </w:rPr>
            </w:pPr>
            <w:r>
              <w:rPr>
                <w:rStyle w:val="107"/>
                <w:rFonts w:hint="eastAsia" w:ascii="宋体" w:hAnsi="宋体" w:cs="仿宋"/>
                <w:sz w:val="21"/>
                <w:szCs w:val="21"/>
              </w:rPr>
              <w:t>5≤X＜20</w:t>
            </w:r>
          </w:p>
        </w:tc>
        <w:tc>
          <w:tcPr>
            <w:tcW w:w="1455"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X＜5</w:t>
            </w:r>
          </w:p>
        </w:tc>
      </w:tr>
      <w:tr>
        <w:tblPrEx>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CellMar>
            <w:top w:w="0" w:type="dxa"/>
            <w:left w:w="105" w:type="dxa"/>
            <w:bottom w:w="0" w:type="dxa"/>
            <w:right w:w="105" w:type="dxa"/>
          </w:tblCellMar>
        </w:tblPrEx>
        <w:trPr>
          <w:trHeight w:val="225" w:hRule="atLeast"/>
          <w:tblCellSpacing w:w="15" w:type="dxa"/>
          <w:jc w:val="center"/>
        </w:trPr>
        <w:tc>
          <w:tcPr>
            <w:tcW w:w="1401" w:type="dxa"/>
            <w:vMerge w:val="continue"/>
            <w:vAlign w:val="center"/>
          </w:tcPr>
          <w:p>
            <w:pPr>
              <w:widowControl/>
              <w:spacing w:line="360" w:lineRule="auto"/>
              <w:jc w:val="left"/>
              <w:rPr>
                <w:rFonts w:ascii="宋体" w:hAnsi="宋体"/>
                <w:szCs w:val="21"/>
              </w:rPr>
            </w:pPr>
          </w:p>
        </w:tc>
        <w:tc>
          <w:tcPr>
            <w:tcW w:w="1709"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营业收入（Y）</w:t>
            </w:r>
          </w:p>
        </w:tc>
        <w:tc>
          <w:tcPr>
            <w:tcW w:w="475"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万万元</w:t>
            </w:r>
          </w:p>
        </w:tc>
        <w:tc>
          <w:tcPr>
            <w:tcW w:w="2059"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5000≤Y＜40000</w:t>
            </w:r>
          </w:p>
        </w:tc>
        <w:tc>
          <w:tcPr>
            <w:tcW w:w="1679" w:type="dxa"/>
            <w:tcMar>
              <w:top w:w="0" w:type="dxa"/>
              <w:left w:w="105" w:type="dxa"/>
              <w:bottom w:w="0" w:type="dxa"/>
              <w:right w:w="105" w:type="dxa"/>
            </w:tcMar>
            <w:vAlign w:val="center"/>
          </w:tcPr>
          <w:p>
            <w:pPr>
              <w:pStyle w:val="106"/>
              <w:widowControl/>
              <w:spacing w:after="150" w:line="360" w:lineRule="auto"/>
              <w:ind w:firstLine="420"/>
              <w:jc w:val="center"/>
              <w:rPr>
                <w:rFonts w:ascii="宋体" w:hAnsi="宋体"/>
                <w:sz w:val="21"/>
                <w:szCs w:val="21"/>
              </w:rPr>
            </w:pPr>
            <w:r>
              <w:rPr>
                <w:rStyle w:val="107"/>
                <w:rFonts w:hint="eastAsia" w:ascii="宋体" w:hAnsi="宋体" w:cs="仿宋"/>
                <w:sz w:val="21"/>
                <w:szCs w:val="21"/>
              </w:rPr>
              <w:t>1000≤Y＜5000</w:t>
            </w:r>
          </w:p>
        </w:tc>
        <w:tc>
          <w:tcPr>
            <w:tcW w:w="1455"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Y＜1000</w:t>
            </w:r>
          </w:p>
        </w:tc>
      </w:tr>
      <w:tr>
        <w:tblPrEx>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CellMar>
            <w:top w:w="0" w:type="dxa"/>
            <w:left w:w="105" w:type="dxa"/>
            <w:bottom w:w="0" w:type="dxa"/>
            <w:right w:w="105" w:type="dxa"/>
          </w:tblCellMar>
        </w:tblPrEx>
        <w:trPr>
          <w:trHeight w:val="225" w:hRule="atLeast"/>
          <w:tblCellSpacing w:w="15" w:type="dxa"/>
          <w:jc w:val="center"/>
        </w:trPr>
        <w:tc>
          <w:tcPr>
            <w:tcW w:w="1401" w:type="dxa"/>
            <w:vMerge w:val="restart"/>
            <w:tcMar>
              <w:top w:w="0" w:type="dxa"/>
              <w:left w:w="105" w:type="dxa"/>
              <w:bottom w:w="0" w:type="dxa"/>
              <w:right w:w="105" w:type="dxa"/>
            </w:tcMar>
            <w:vAlign w:val="bottom"/>
          </w:tcPr>
          <w:p>
            <w:pPr>
              <w:pStyle w:val="106"/>
              <w:widowControl/>
              <w:spacing w:after="150" w:line="360" w:lineRule="auto"/>
              <w:ind w:firstLine="420"/>
              <w:jc w:val="center"/>
              <w:rPr>
                <w:rFonts w:ascii="宋体" w:hAnsi="宋体"/>
                <w:sz w:val="21"/>
                <w:szCs w:val="21"/>
              </w:rPr>
            </w:pPr>
            <w:r>
              <w:rPr>
                <w:rStyle w:val="107"/>
                <w:rFonts w:hint="eastAsia" w:ascii="宋体" w:hAnsi="宋体" w:cs="仿宋"/>
                <w:sz w:val="21"/>
                <w:szCs w:val="21"/>
              </w:rPr>
              <w:t>零售业</w:t>
            </w:r>
          </w:p>
        </w:tc>
        <w:tc>
          <w:tcPr>
            <w:tcW w:w="1709"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从业人员（X）</w:t>
            </w:r>
          </w:p>
        </w:tc>
        <w:tc>
          <w:tcPr>
            <w:tcW w:w="475"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人</w:t>
            </w:r>
          </w:p>
        </w:tc>
        <w:tc>
          <w:tcPr>
            <w:tcW w:w="2059"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50≤X＜300</w:t>
            </w:r>
          </w:p>
        </w:tc>
        <w:tc>
          <w:tcPr>
            <w:tcW w:w="1679" w:type="dxa"/>
            <w:tcMar>
              <w:top w:w="0" w:type="dxa"/>
              <w:left w:w="105" w:type="dxa"/>
              <w:bottom w:w="0" w:type="dxa"/>
              <w:right w:w="105" w:type="dxa"/>
            </w:tcMar>
            <w:vAlign w:val="center"/>
          </w:tcPr>
          <w:p>
            <w:pPr>
              <w:pStyle w:val="106"/>
              <w:widowControl/>
              <w:spacing w:after="150" w:line="360" w:lineRule="auto"/>
              <w:ind w:firstLine="420"/>
              <w:jc w:val="center"/>
              <w:rPr>
                <w:rFonts w:ascii="宋体" w:hAnsi="宋体"/>
                <w:sz w:val="21"/>
                <w:szCs w:val="21"/>
              </w:rPr>
            </w:pPr>
            <w:r>
              <w:rPr>
                <w:rStyle w:val="107"/>
                <w:rFonts w:hint="eastAsia" w:ascii="宋体" w:hAnsi="宋体" w:cs="仿宋"/>
                <w:sz w:val="21"/>
                <w:szCs w:val="21"/>
              </w:rPr>
              <w:t>10≤X＜50</w:t>
            </w:r>
          </w:p>
        </w:tc>
        <w:tc>
          <w:tcPr>
            <w:tcW w:w="1455"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X＜10</w:t>
            </w:r>
          </w:p>
        </w:tc>
      </w:tr>
      <w:tr>
        <w:tblPrEx>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CellMar>
            <w:top w:w="0" w:type="dxa"/>
            <w:left w:w="105" w:type="dxa"/>
            <w:bottom w:w="0" w:type="dxa"/>
            <w:right w:w="105" w:type="dxa"/>
          </w:tblCellMar>
        </w:tblPrEx>
        <w:trPr>
          <w:trHeight w:val="225" w:hRule="atLeast"/>
          <w:tblCellSpacing w:w="15" w:type="dxa"/>
          <w:jc w:val="center"/>
        </w:trPr>
        <w:tc>
          <w:tcPr>
            <w:tcW w:w="1401" w:type="dxa"/>
            <w:vMerge w:val="continue"/>
            <w:vAlign w:val="center"/>
          </w:tcPr>
          <w:p>
            <w:pPr>
              <w:widowControl/>
              <w:spacing w:line="360" w:lineRule="auto"/>
              <w:jc w:val="left"/>
              <w:rPr>
                <w:rFonts w:ascii="宋体" w:hAnsi="宋体"/>
                <w:szCs w:val="21"/>
              </w:rPr>
            </w:pPr>
          </w:p>
        </w:tc>
        <w:tc>
          <w:tcPr>
            <w:tcW w:w="1709"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营业收入（Y）</w:t>
            </w:r>
          </w:p>
        </w:tc>
        <w:tc>
          <w:tcPr>
            <w:tcW w:w="475"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万万元</w:t>
            </w:r>
          </w:p>
        </w:tc>
        <w:tc>
          <w:tcPr>
            <w:tcW w:w="2059"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500≤Y＜20000</w:t>
            </w:r>
          </w:p>
        </w:tc>
        <w:tc>
          <w:tcPr>
            <w:tcW w:w="1679" w:type="dxa"/>
            <w:tcMar>
              <w:top w:w="0" w:type="dxa"/>
              <w:left w:w="105" w:type="dxa"/>
              <w:bottom w:w="0" w:type="dxa"/>
              <w:right w:w="105" w:type="dxa"/>
            </w:tcMar>
            <w:vAlign w:val="center"/>
          </w:tcPr>
          <w:p>
            <w:pPr>
              <w:pStyle w:val="106"/>
              <w:widowControl/>
              <w:spacing w:after="150" w:line="360" w:lineRule="auto"/>
              <w:ind w:firstLine="420"/>
              <w:jc w:val="center"/>
              <w:rPr>
                <w:rFonts w:ascii="宋体" w:hAnsi="宋体"/>
                <w:sz w:val="21"/>
                <w:szCs w:val="21"/>
              </w:rPr>
            </w:pPr>
            <w:r>
              <w:rPr>
                <w:rStyle w:val="107"/>
                <w:rFonts w:hint="eastAsia" w:ascii="宋体" w:hAnsi="宋体" w:cs="仿宋"/>
                <w:sz w:val="21"/>
                <w:szCs w:val="21"/>
              </w:rPr>
              <w:t>100≤Y＜500</w:t>
            </w:r>
          </w:p>
        </w:tc>
        <w:tc>
          <w:tcPr>
            <w:tcW w:w="1455"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Y＜100</w:t>
            </w:r>
          </w:p>
        </w:tc>
      </w:tr>
      <w:tr>
        <w:tblPrEx>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CellMar>
            <w:top w:w="0" w:type="dxa"/>
            <w:left w:w="105" w:type="dxa"/>
            <w:bottom w:w="0" w:type="dxa"/>
            <w:right w:w="105" w:type="dxa"/>
          </w:tblCellMar>
        </w:tblPrEx>
        <w:trPr>
          <w:trHeight w:val="225" w:hRule="atLeast"/>
          <w:tblCellSpacing w:w="15" w:type="dxa"/>
          <w:jc w:val="center"/>
        </w:trPr>
        <w:tc>
          <w:tcPr>
            <w:tcW w:w="1401" w:type="dxa"/>
            <w:vMerge w:val="restart"/>
            <w:tcMar>
              <w:top w:w="0" w:type="dxa"/>
              <w:left w:w="105" w:type="dxa"/>
              <w:bottom w:w="0" w:type="dxa"/>
              <w:right w:w="105" w:type="dxa"/>
            </w:tcMar>
            <w:vAlign w:val="bottom"/>
          </w:tcPr>
          <w:p>
            <w:pPr>
              <w:pStyle w:val="106"/>
              <w:widowControl/>
              <w:spacing w:after="150" w:line="360" w:lineRule="auto"/>
              <w:ind w:firstLine="420"/>
              <w:jc w:val="center"/>
              <w:rPr>
                <w:rFonts w:ascii="宋体" w:hAnsi="宋体"/>
                <w:sz w:val="21"/>
                <w:szCs w:val="21"/>
              </w:rPr>
            </w:pPr>
            <w:r>
              <w:rPr>
                <w:rStyle w:val="107"/>
                <w:rFonts w:hint="eastAsia" w:ascii="宋体" w:hAnsi="宋体" w:cs="仿宋"/>
                <w:sz w:val="21"/>
                <w:szCs w:val="21"/>
              </w:rPr>
              <w:t>交通运输业</w:t>
            </w:r>
          </w:p>
        </w:tc>
        <w:tc>
          <w:tcPr>
            <w:tcW w:w="1709"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从业人员（X）</w:t>
            </w:r>
          </w:p>
        </w:tc>
        <w:tc>
          <w:tcPr>
            <w:tcW w:w="475"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人</w:t>
            </w:r>
          </w:p>
        </w:tc>
        <w:tc>
          <w:tcPr>
            <w:tcW w:w="2059"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300≤X＜1000</w:t>
            </w:r>
          </w:p>
        </w:tc>
        <w:tc>
          <w:tcPr>
            <w:tcW w:w="1679" w:type="dxa"/>
            <w:tcMar>
              <w:top w:w="0" w:type="dxa"/>
              <w:left w:w="105" w:type="dxa"/>
              <w:bottom w:w="0" w:type="dxa"/>
              <w:right w:w="105" w:type="dxa"/>
            </w:tcMar>
            <w:vAlign w:val="center"/>
          </w:tcPr>
          <w:p>
            <w:pPr>
              <w:pStyle w:val="106"/>
              <w:widowControl/>
              <w:spacing w:after="150" w:line="360" w:lineRule="auto"/>
              <w:ind w:firstLine="420"/>
              <w:jc w:val="center"/>
              <w:rPr>
                <w:rFonts w:ascii="宋体" w:hAnsi="宋体"/>
                <w:sz w:val="21"/>
                <w:szCs w:val="21"/>
              </w:rPr>
            </w:pPr>
            <w:r>
              <w:rPr>
                <w:rStyle w:val="107"/>
                <w:rFonts w:hint="eastAsia" w:ascii="宋体" w:hAnsi="宋体" w:cs="仿宋"/>
                <w:sz w:val="21"/>
                <w:szCs w:val="21"/>
              </w:rPr>
              <w:t>20≤X＜300</w:t>
            </w:r>
          </w:p>
        </w:tc>
        <w:tc>
          <w:tcPr>
            <w:tcW w:w="1455"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X＜20</w:t>
            </w:r>
          </w:p>
        </w:tc>
      </w:tr>
      <w:tr>
        <w:tblPrEx>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CellMar>
            <w:top w:w="0" w:type="dxa"/>
            <w:left w:w="105" w:type="dxa"/>
            <w:bottom w:w="0" w:type="dxa"/>
            <w:right w:w="105" w:type="dxa"/>
          </w:tblCellMar>
        </w:tblPrEx>
        <w:trPr>
          <w:trHeight w:val="225" w:hRule="atLeast"/>
          <w:tblCellSpacing w:w="15" w:type="dxa"/>
          <w:jc w:val="center"/>
        </w:trPr>
        <w:tc>
          <w:tcPr>
            <w:tcW w:w="1401" w:type="dxa"/>
            <w:vMerge w:val="continue"/>
            <w:vAlign w:val="center"/>
          </w:tcPr>
          <w:p>
            <w:pPr>
              <w:widowControl/>
              <w:spacing w:line="360" w:lineRule="auto"/>
              <w:jc w:val="left"/>
              <w:rPr>
                <w:rFonts w:ascii="宋体" w:hAnsi="宋体"/>
                <w:szCs w:val="21"/>
              </w:rPr>
            </w:pPr>
          </w:p>
        </w:tc>
        <w:tc>
          <w:tcPr>
            <w:tcW w:w="1709"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营业收入（Y）</w:t>
            </w:r>
          </w:p>
        </w:tc>
        <w:tc>
          <w:tcPr>
            <w:tcW w:w="475"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万万元</w:t>
            </w:r>
          </w:p>
        </w:tc>
        <w:tc>
          <w:tcPr>
            <w:tcW w:w="2059"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3000≤Y＜30000</w:t>
            </w:r>
          </w:p>
        </w:tc>
        <w:tc>
          <w:tcPr>
            <w:tcW w:w="1679" w:type="dxa"/>
            <w:tcMar>
              <w:top w:w="0" w:type="dxa"/>
              <w:left w:w="105" w:type="dxa"/>
              <w:bottom w:w="0" w:type="dxa"/>
              <w:right w:w="105" w:type="dxa"/>
            </w:tcMar>
            <w:vAlign w:val="center"/>
          </w:tcPr>
          <w:p>
            <w:pPr>
              <w:pStyle w:val="106"/>
              <w:widowControl/>
              <w:spacing w:after="150" w:line="360" w:lineRule="auto"/>
              <w:ind w:firstLine="420"/>
              <w:jc w:val="center"/>
              <w:rPr>
                <w:rFonts w:ascii="宋体" w:hAnsi="宋体"/>
                <w:sz w:val="21"/>
                <w:szCs w:val="21"/>
              </w:rPr>
            </w:pPr>
            <w:r>
              <w:rPr>
                <w:rStyle w:val="107"/>
                <w:rFonts w:hint="eastAsia" w:ascii="宋体" w:hAnsi="宋体" w:cs="仿宋"/>
                <w:sz w:val="21"/>
                <w:szCs w:val="21"/>
              </w:rPr>
              <w:t>200≤Y＜3000</w:t>
            </w:r>
          </w:p>
        </w:tc>
        <w:tc>
          <w:tcPr>
            <w:tcW w:w="1455"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Y＜200</w:t>
            </w:r>
          </w:p>
        </w:tc>
      </w:tr>
      <w:tr>
        <w:tblPrEx>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CellMar>
            <w:top w:w="0" w:type="dxa"/>
            <w:left w:w="105" w:type="dxa"/>
            <w:bottom w:w="0" w:type="dxa"/>
            <w:right w:w="105" w:type="dxa"/>
          </w:tblCellMar>
        </w:tblPrEx>
        <w:trPr>
          <w:trHeight w:val="225" w:hRule="atLeast"/>
          <w:tblCellSpacing w:w="15" w:type="dxa"/>
          <w:jc w:val="center"/>
        </w:trPr>
        <w:tc>
          <w:tcPr>
            <w:tcW w:w="1401" w:type="dxa"/>
            <w:vMerge w:val="restart"/>
            <w:tcMar>
              <w:top w:w="0" w:type="dxa"/>
              <w:left w:w="105" w:type="dxa"/>
              <w:bottom w:w="0" w:type="dxa"/>
              <w:right w:w="105" w:type="dxa"/>
            </w:tcMar>
            <w:vAlign w:val="bottom"/>
          </w:tcPr>
          <w:p>
            <w:pPr>
              <w:pStyle w:val="106"/>
              <w:widowControl/>
              <w:spacing w:after="150" w:line="360" w:lineRule="auto"/>
              <w:ind w:firstLine="420"/>
              <w:jc w:val="center"/>
              <w:rPr>
                <w:rFonts w:ascii="宋体" w:hAnsi="宋体"/>
                <w:sz w:val="21"/>
                <w:szCs w:val="21"/>
              </w:rPr>
            </w:pPr>
            <w:r>
              <w:rPr>
                <w:rStyle w:val="107"/>
                <w:rFonts w:hint="eastAsia" w:ascii="宋体" w:hAnsi="宋体" w:cs="仿宋"/>
                <w:sz w:val="21"/>
                <w:szCs w:val="21"/>
              </w:rPr>
              <w:t>仓储业</w:t>
            </w:r>
          </w:p>
        </w:tc>
        <w:tc>
          <w:tcPr>
            <w:tcW w:w="1709"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从业人员（X）</w:t>
            </w:r>
          </w:p>
        </w:tc>
        <w:tc>
          <w:tcPr>
            <w:tcW w:w="475"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人</w:t>
            </w:r>
          </w:p>
        </w:tc>
        <w:tc>
          <w:tcPr>
            <w:tcW w:w="2059"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100≤X＜200</w:t>
            </w:r>
          </w:p>
        </w:tc>
        <w:tc>
          <w:tcPr>
            <w:tcW w:w="1679" w:type="dxa"/>
            <w:tcMar>
              <w:top w:w="0" w:type="dxa"/>
              <w:left w:w="105" w:type="dxa"/>
              <w:bottom w:w="0" w:type="dxa"/>
              <w:right w:w="105" w:type="dxa"/>
            </w:tcMar>
            <w:vAlign w:val="center"/>
          </w:tcPr>
          <w:p>
            <w:pPr>
              <w:pStyle w:val="106"/>
              <w:widowControl/>
              <w:spacing w:after="150" w:line="360" w:lineRule="auto"/>
              <w:ind w:firstLine="420"/>
              <w:jc w:val="center"/>
              <w:rPr>
                <w:rFonts w:ascii="宋体" w:hAnsi="宋体"/>
                <w:sz w:val="21"/>
                <w:szCs w:val="21"/>
              </w:rPr>
            </w:pPr>
            <w:r>
              <w:rPr>
                <w:rStyle w:val="107"/>
                <w:rFonts w:hint="eastAsia" w:ascii="宋体" w:hAnsi="宋体" w:cs="仿宋"/>
                <w:sz w:val="21"/>
                <w:szCs w:val="21"/>
              </w:rPr>
              <w:t>20≤X＜100</w:t>
            </w:r>
          </w:p>
        </w:tc>
        <w:tc>
          <w:tcPr>
            <w:tcW w:w="1455"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X＜20</w:t>
            </w:r>
          </w:p>
        </w:tc>
      </w:tr>
      <w:tr>
        <w:tblPrEx>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CellMar>
            <w:top w:w="0" w:type="dxa"/>
            <w:left w:w="105" w:type="dxa"/>
            <w:bottom w:w="0" w:type="dxa"/>
            <w:right w:w="105" w:type="dxa"/>
          </w:tblCellMar>
        </w:tblPrEx>
        <w:trPr>
          <w:trHeight w:val="225" w:hRule="atLeast"/>
          <w:tblCellSpacing w:w="15" w:type="dxa"/>
          <w:jc w:val="center"/>
        </w:trPr>
        <w:tc>
          <w:tcPr>
            <w:tcW w:w="1401" w:type="dxa"/>
            <w:vMerge w:val="continue"/>
            <w:vAlign w:val="center"/>
          </w:tcPr>
          <w:p>
            <w:pPr>
              <w:widowControl/>
              <w:spacing w:line="360" w:lineRule="auto"/>
              <w:jc w:val="left"/>
              <w:rPr>
                <w:rFonts w:ascii="宋体" w:hAnsi="宋体"/>
                <w:szCs w:val="21"/>
              </w:rPr>
            </w:pPr>
          </w:p>
        </w:tc>
        <w:tc>
          <w:tcPr>
            <w:tcW w:w="1709"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营业收入（Y）</w:t>
            </w:r>
          </w:p>
        </w:tc>
        <w:tc>
          <w:tcPr>
            <w:tcW w:w="475"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万万元</w:t>
            </w:r>
          </w:p>
        </w:tc>
        <w:tc>
          <w:tcPr>
            <w:tcW w:w="2059"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1000≤Y＜30000</w:t>
            </w:r>
          </w:p>
        </w:tc>
        <w:tc>
          <w:tcPr>
            <w:tcW w:w="1679" w:type="dxa"/>
            <w:tcMar>
              <w:top w:w="0" w:type="dxa"/>
              <w:left w:w="105" w:type="dxa"/>
              <w:bottom w:w="0" w:type="dxa"/>
              <w:right w:w="105" w:type="dxa"/>
            </w:tcMar>
            <w:vAlign w:val="center"/>
          </w:tcPr>
          <w:p>
            <w:pPr>
              <w:pStyle w:val="106"/>
              <w:widowControl/>
              <w:spacing w:after="150" w:line="360" w:lineRule="auto"/>
              <w:ind w:firstLine="420"/>
              <w:jc w:val="center"/>
              <w:rPr>
                <w:rFonts w:ascii="宋体" w:hAnsi="宋体"/>
                <w:sz w:val="21"/>
                <w:szCs w:val="21"/>
              </w:rPr>
            </w:pPr>
            <w:r>
              <w:rPr>
                <w:rStyle w:val="107"/>
                <w:rFonts w:hint="eastAsia" w:ascii="宋体" w:hAnsi="宋体" w:cs="仿宋"/>
                <w:sz w:val="21"/>
                <w:szCs w:val="21"/>
              </w:rPr>
              <w:t>100≤Y＜1000</w:t>
            </w:r>
          </w:p>
        </w:tc>
        <w:tc>
          <w:tcPr>
            <w:tcW w:w="1455"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Y＜100</w:t>
            </w:r>
          </w:p>
        </w:tc>
      </w:tr>
      <w:tr>
        <w:tblPrEx>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CellMar>
            <w:top w:w="0" w:type="dxa"/>
            <w:left w:w="105" w:type="dxa"/>
            <w:bottom w:w="0" w:type="dxa"/>
            <w:right w:w="105" w:type="dxa"/>
          </w:tblCellMar>
        </w:tblPrEx>
        <w:trPr>
          <w:trHeight w:val="225" w:hRule="atLeast"/>
          <w:tblCellSpacing w:w="15" w:type="dxa"/>
          <w:jc w:val="center"/>
        </w:trPr>
        <w:tc>
          <w:tcPr>
            <w:tcW w:w="1401" w:type="dxa"/>
            <w:vMerge w:val="restart"/>
            <w:tcMar>
              <w:top w:w="0" w:type="dxa"/>
              <w:left w:w="105" w:type="dxa"/>
              <w:bottom w:w="0" w:type="dxa"/>
              <w:right w:w="105" w:type="dxa"/>
            </w:tcMar>
            <w:vAlign w:val="bottom"/>
          </w:tcPr>
          <w:p>
            <w:pPr>
              <w:pStyle w:val="106"/>
              <w:widowControl/>
              <w:spacing w:after="150" w:line="360" w:lineRule="auto"/>
              <w:ind w:firstLine="420"/>
              <w:jc w:val="center"/>
              <w:rPr>
                <w:rFonts w:ascii="宋体" w:hAnsi="宋体"/>
                <w:sz w:val="21"/>
                <w:szCs w:val="21"/>
              </w:rPr>
            </w:pPr>
            <w:r>
              <w:rPr>
                <w:rStyle w:val="107"/>
                <w:rFonts w:hint="eastAsia" w:ascii="宋体" w:hAnsi="宋体" w:cs="仿宋"/>
                <w:sz w:val="21"/>
                <w:szCs w:val="21"/>
              </w:rPr>
              <w:t>邮政业</w:t>
            </w:r>
          </w:p>
        </w:tc>
        <w:tc>
          <w:tcPr>
            <w:tcW w:w="1709"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从业人员（X）</w:t>
            </w:r>
          </w:p>
        </w:tc>
        <w:tc>
          <w:tcPr>
            <w:tcW w:w="475"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人</w:t>
            </w:r>
          </w:p>
        </w:tc>
        <w:tc>
          <w:tcPr>
            <w:tcW w:w="2059"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300≤X＜1000</w:t>
            </w:r>
          </w:p>
        </w:tc>
        <w:tc>
          <w:tcPr>
            <w:tcW w:w="1679" w:type="dxa"/>
            <w:tcMar>
              <w:top w:w="0" w:type="dxa"/>
              <w:left w:w="105" w:type="dxa"/>
              <w:bottom w:w="0" w:type="dxa"/>
              <w:right w:w="105" w:type="dxa"/>
            </w:tcMar>
            <w:vAlign w:val="center"/>
          </w:tcPr>
          <w:p>
            <w:pPr>
              <w:pStyle w:val="106"/>
              <w:widowControl/>
              <w:spacing w:after="150" w:line="360" w:lineRule="auto"/>
              <w:ind w:firstLine="420"/>
              <w:jc w:val="center"/>
              <w:rPr>
                <w:rFonts w:ascii="宋体" w:hAnsi="宋体"/>
                <w:sz w:val="21"/>
                <w:szCs w:val="21"/>
              </w:rPr>
            </w:pPr>
            <w:r>
              <w:rPr>
                <w:rStyle w:val="107"/>
                <w:rFonts w:hint="eastAsia" w:ascii="宋体" w:hAnsi="宋体" w:cs="仿宋"/>
                <w:sz w:val="21"/>
                <w:szCs w:val="21"/>
              </w:rPr>
              <w:t>20≤X＜300</w:t>
            </w:r>
          </w:p>
        </w:tc>
        <w:tc>
          <w:tcPr>
            <w:tcW w:w="1455"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X＜20</w:t>
            </w:r>
          </w:p>
        </w:tc>
      </w:tr>
      <w:tr>
        <w:tblPrEx>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CellMar>
            <w:top w:w="0" w:type="dxa"/>
            <w:left w:w="105" w:type="dxa"/>
            <w:bottom w:w="0" w:type="dxa"/>
            <w:right w:w="105" w:type="dxa"/>
          </w:tblCellMar>
        </w:tblPrEx>
        <w:trPr>
          <w:trHeight w:val="225" w:hRule="atLeast"/>
          <w:tblCellSpacing w:w="15" w:type="dxa"/>
          <w:jc w:val="center"/>
        </w:trPr>
        <w:tc>
          <w:tcPr>
            <w:tcW w:w="1401" w:type="dxa"/>
            <w:vMerge w:val="continue"/>
            <w:vAlign w:val="center"/>
          </w:tcPr>
          <w:p>
            <w:pPr>
              <w:widowControl/>
              <w:spacing w:line="360" w:lineRule="auto"/>
              <w:jc w:val="left"/>
              <w:rPr>
                <w:rFonts w:ascii="宋体" w:hAnsi="宋体"/>
                <w:szCs w:val="21"/>
              </w:rPr>
            </w:pPr>
          </w:p>
        </w:tc>
        <w:tc>
          <w:tcPr>
            <w:tcW w:w="1709"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营业收入（Y）</w:t>
            </w:r>
          </w:p>
        </w:tc>
        <w:tc>
          <w:tcPr>
            <w:tcW w:w="475"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万元</w:t>
            </w:r>
          </w:p>
        </w:tc>
        <w:tc>
          <w:tcPr>
            <w:tcW w:w="2059"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2000≤Y＜30000</w:t>
            </w:r>
          </w:p>
        </w:tc>
        <w:tc>
          <w:tcPr>
            <w:tcW w:w="1679" w:type="dxa"/>
            <w:tcMar>
              <w:top w:w="0" w:type="dxa"/>
              <w:left w:w="105" w:type="dxa"/>
              <w:bottom w:w="0" w:type="dxa"/>
              <w:right w:w="105" w:type="dxa"/>
            </w:tcMar>
            <w:vAlign w:val="center"/>
          </w:tcPr>
          <w:p>
            <w:pPr>
              <w:pStyle w:val="106"/>
              <w:widowControl/>
              <w:spacing w:after="150" w:line="360" w:lineRule="auto"/>
              <w:ind w:firstLine="420"/>
              <w:jc w:val="center"/>
              <w:rPr>
                <w:rFonts w:ascii="宋体" w:hAnsi="宋体"/>
                <w:sz w:val="21"/>
                <w:szCs w:val="21"/>
              </w:rPr>
            </w:pPr>
            <w:r>
              <w:rPr>
                <w:rStyle w:val="107"/>
                <w:rFonts w:hint="eastAsia" w:ascii="宋体" w:hAnsi="宋体" w:cs="仿宋"/>
                <w:sz w:val="21"/>
                <w:szCs w:val="21"/>
              </w:rPr>
              <w:t>100≤Y＜2000</w:t>
            </w:r>
          </w:p>
        </w:tc>
        <w:tc>
          <w:tcPr>
            <w:tcW w:w="1455"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Y＜100</w:t>
            </w:r>
          </w:p>
        </w:tc>
      </w:tr>
      <w:tr>
        <w:tblPrEx>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CellMar>
            <w:top w:w="0" w:type="dxa"/>
            <w:left w:w="105" w:type="dxa"/>
            <w:bottom w:w="0" w:type="dxa"/>
            <w:right w:w="105" w:type="dxa"/>
          </w:tblCellMar>
        </w:tblPrEx>
        <w:trPr>
          <w:trHeight w:val="225" w:hRule="atLeast"/>
          <w:tblCellSpacing w:w="15" w:type="dxa"/>
          <w:jc w:val="center"/>
        </w:trPr>
        <w:tc>
          <w:tcPr>
            <w:tcW w:w="1401" w:type="dxa"/>
            <w:vMerge w:val="restart"/>
            <w:tcMar>
              <w:top w:w="0" w:type="dxa"/>
              <w:left w:w="105" w:type="dxa"/>
              <w:bottom w:w="0" w:type="dxa"/>
              <w:right w:w="105" w:type="dxa"/>
            </w:tcMar>
            <w:vAlign w:val="bottom"/>
          </w:tcPr>
          <w:p>
            <w:pPr>
              <w:pStyle w:val="106"/>
              <w:widowControl/>
              <w:spacing w:after="150" w:line="360" w:lineRule="auto"/>
              <w:ind w:firstLine="420"/>
              <w:jc w:val="center"/>
              <w:rPr>
                <w:rFonts w:ascii="宋体" w:hAnsi="宋体"/>
                <w:sz w:val="21"/>
                <w:szCs w:val="21"/>
              </w:rPr>
            </w:pPr>
            <w:r>
              <w:rPr>
                <w:rStyle w:val="107"/>
                <w:rFonts w:hint="eastAsia" w:ascii="宋体" w:hAnsi="宋体" w:cs="仿宋"/>
                <w:sz w:val="21"/>
                <w:szCs w:val="21"/>
              </w:rPr>
              <w:t>住宿业</w:t>
            </w:r>
          </w:p>
        </w:tc>
        <w:tc>
          <w:tcPr>
            <w:tcW w:w="1709"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从业人员（X）</w:t>
            </w:r>
          </w:p>
        </w:tc>
        <w:tc>
          <w:tcPr>
            <w:tcW w:w="475"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人</w:t>
            </w:r>
          </w:p>
        </w:tc>
        <w:tc>
          <w:tcPr>
            <w:tcW w:w="2059"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100≤X＜300</w:t>
            </w:r>
          </w:p>
        </w:tc>
        <w:tc>
          <w:tcPr>
            <w:tcW w:w="1679" w:type="dxa"/>
            <w:tcMar>
              <w:top w:w="0" w:type="dxa"/>
              <w:left w:w="105" w:type="dxa"/>
              <w:bottom w:w="0" w:type="dxa"/>
              <w:right w:w="105" w:type="dxa"/>
            </w:tcMar>
            <w:vAlign w:val="center"/>
          </w:tcPr>
          <w:p>
            <w:pPr>
              <w:pStyle w:val="106"/>
              <w:widowControl/>
              <w:spacing w:after="150" w:line="360" w:lineRule="auto"/>
              <w:ind w:firstLine="420"/>
              <w:jc w:val="center"/>
              <w:rPr>
                <w:rFonts w:ascii="宋体" w:hAnsi="宋体"/>
                <w:sz w:val="21"/>
                <w:szCs w:val="21"/>
              </w:rPr>
            </w:pPr>
            <w:r>
              <w:rPr>
                <w:rStyle w:val="107"/>
                <w:rFonts w:hint="eastAsia" w:ascii="宋体" w:hAnsi="宋体" w:cs="仿宋"/>
                <w:sz w:val="21"/>
                <w:szCs w:val="21"/>
              </w:rPr>
              <w:t>10≤X＜100</w:t>
            </w:r>
          </w:p>
        </w:tc>
        <w:tc>
          <w:tcPr>
            <w:tcW w:w="1455"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X＜10</w:t>
            </w:r>
          </w:p>
        </w:tc>
      </w:tr>
      <w:tr>
        <w:tblPrEx>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CellMar>
            <w:top w:w="0" w:type="dxa"/>
            <w:left w:w="105" w:type="dxa"/>
            <w:bottom w:w="0" w:type="dxa"/>
            <w:right w:w="105" w:type="dxa"/>
          </w:tblCellMar>
        </w:tblPrEx>
        <w:trPr>
          <w:trHeight w:val="225" w:hRule="atLeast"/>
          <w:tblCellSpacing w:w="15" w:type="dxa"/>
          <w:jc w:val="center"/>
        </w:trPr>
        <w:tc>
          <w:tcPr>
            <w:tcW w:w="1401" w:type="dxa"/>
            <w:vMerge w:val="continue"/>
            <w:vAlign w:val="center"/>
          </w:tcPr>
          <w:p>
            <w:pPr>
              <w:widowControl/>
              <w:spacing w:line="360" w:lineRule="auto"/>
              <w:jc w:val="left"/>
              <w:rPr>
                <w:rFonts w:ascii="宋体" w:hAnsi="宋体"/>
                <w:szCs w:val="21"/>
              </w:rPr>
            </w:pPr>
          </w:p>
        </w:tc>
        <w:tc>
          <w:tcPr>
            <w:tcW w:w="1709"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营业收入（Y）</w:t>
            </w:r>
          </w:p>
        </w:tc>
        <w:tc>
          <w:tcPr>
            <w:tcW w:w="475"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万万元</w:t>
            </w:r>
          </w:p>
        </w:tc>
        <w:tc>
          <w:tcPr>
            <w:tcW w:w="2059"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2000≤Y＜10000</w:t>
            </w:r>
          </w:p>
        </w:tc>
        <w:tc>
          <w:tcPr>
            <w:tcW w:w="1679" w:type="dxa"/>
            <w:tcMar>
              <w:top w:w="0" w:type="dxa"/>
              <w:left w:w="105" w:type="dxa"/>
              <w:bottom w:w="0" w:type="dxa"/>
              <w:right w:w="105" w:type="dxa"/>
            </w:tcMar>
            <w:vAlign w:val="center"/>
          </w:tcPr>
          <w:p>
            <w:pPr>
              <w:pStyle w:val="106"/>
              <w:widowControl/>
              <w:spacing w:after="150" w:line="360" w:lineRule="auto"/>
              <w:ind w:firstLine="420"/>
              <w:jc w:val="center"/>
              <w:rPr>
                <w:rFonts w:ascii="宋体" w:hAnsi="宋体"/>
                <w:sz w:val="21"/>
                <w:szCs w:val="21"/>
              </w:rPr>
            </w:pPr>
            <w:r>
              <w:rPr>
                <w:rStyle w:val="107"/>
                <w:rFonts w:hint="eastAsia" w:ascii="宋体" w:hAnsi="宋体" w:cs="仿宋"/>
                <w:sz w:val="21"/>
                <w:szCs w:val="21"/>
              </w:rPr>
              <w:t>100≤Y＜2000</w:t>
            </w:r>
          </w:p>
        </w:tc>
        <w:tc>
          <w:tcPr>
            <w:tcW w:w="1455"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Y＜100</w:t>
            </w:r>
          </w:p>
        </w:tc>
      </w:tr>
      <w:tr>
        <w:tblPrEx>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CellMar>
            <w:top w:w="0" w:type="dxa"/>
            <w:left w:w="105" w:type="dxa"/>
            <w:bottom w:w="0" w:type="dxa"/>
            <w:right w:w="105" w:type="dxa"/>
          </w:tblCellMar>
        </w:tblPrEx>
        <w:trPr>
          <w:trHeight w:val="225" w:hRule="atLeast"/>
          <w:tblCellSpacing w:w="15" w:type="dxa"/>
          <w:jc w:val="center"/>
        </w:trPr>
        <w:tc>
          <w:tcPr>
            <w:tcW w:w="1401" w:type="dxa"/>
            <w:vMerge w:val="restart"/>
            <w:tcMar>
              <w:top w:w="0" w:type="dxa"/>
              <w:left w:w="105" w:type="dxa"/>
              <w:bottom w:w="0" w:type="dxa"/>
              <w:right w:w="105" w:type="dxa"/>
            </w:tcMar>
            <w:vAlign w:val="bottom"/>
          </w:tcPr>
          <w:p>
            <w:pPr>
              <w:pStyle w:val="106"/>
              <w:widowControl/>
              <w:spacing w:after="150" w:line="360" w:lineRule="auto"/>
              <w:ind w:firstLine="420"/>
              <w:jc w:val="center"/>
              <w:rPr>
                <w:rFonts w:ascii="宋体" w:hAnsi="宋体"/>
                <w:sz w:val="21"/>
                <w:szCs w:val="21"/>
              </w:rPr>
            </w:pPr>
            <w:r>
              <w:rPr>
                <w:rStyle w:val="107"/>
                <w:rFonts w:hint="eastAsia" w:ascii="宋体" w:hAnsi="宋体" w:cs="仿宋"/>
                <w:sz w:val="21"/>
                <w:szCs w:val="21"/>
              </w:rPr>
              <w:t>餐饮业</w:t>
            </w:r>
          </w:p>
        </w:tc>
        <w:tc>
          <w:tcPr>
            <w:tcW w:w="1709"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从业人员（X）</w:t>
            </w:r>
          </w:p>
        </w:tc>
        <w:tc>
          <w:tcPr>
            <w:tcW w:w="475"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人</w:t>
            </w:r>
          </w:p>
        </w:tc>
        <w:tc>
          <w:tcPr>
            <w:tcW w:w="2059"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100≤X＜300</w:t>
            </w:r>
          </w:p>
        </w:tc>
        <w:tc>
          <w:tcPr>
            <w:tcW w:w="1679" w:type="dxa"/>
            <w:tcMar>
              <w:top w:w="0" w:type="dxa"/>
              <w:left w:w="105" w:type="dxa"/>
              <w:bottom w:w="0" w:type="dxa"/>
              <w:right w:w="105" w:type="dxa"/>
            </w:tcMar>
            <w:vAlign w:val="center"/>
          </w:tcPr>
          <w:p>
            <w:pPr>
              <w:pStyle w:val="106"/>
              <w:widowControl/>
              <w:spacing w:after="150" w:line="360" w:lineRule="auto"/>
              <w:ind w:firstLine="420"/>
              <w:jc w:val="center"/>
              <w:rPr>
                <w:rFonts w:ascii="宋体" w:hAnsi="宋体"/>
                <w:sz w:val="21"/>
                <w:szCs w:val="21"/>
              </w:rPr>
            </w:pPr>
            <w:r>
              <w:rPr>
                <w:rStyle w:val="107"/>
                <w:rFonts w:hint="eastAsia" w:ascii="宋体" w:hAnsi="宋体" w:cs="仿宋"/>
                <w:sz w:val="21"/>
                <w:szCs w:val="21"/>
              </w:rPr>
              <w:t>10≤X＜100</w:t>
            </w:r>
          </w:p>
        </w:tc>
        <w:tc>
          <w:tcPr>
            <w:tcW w:w="1455"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X＜10</w:t>
            </w:r>
          </w:p>
        </w:tc>
      </w:tr>
      <w:tr>
        <w:tblPrEx>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CellMar>
            <w:top w:w="0" w:type="dxa"/>
            <w:left w:w="105" w:type="dxa"/>
            <w:bottom w:w="0" w:type="dxa"/>
            <w:right w:w="105" w:type="dxa"/>
          </w:tblCellMar>
        </w:tblPrEx>
        <w:trPr>
          <w:trHeight w:val="225" w:hRule="atLeast"/>
          <w:tblCellSpacing w:w="15" w:type="dxa"/>
          <w:jc w:val="center"/>
        </w:trPr>
        <w:tc>
          <w:tcPr>
            <w:tcW w:w="1401" w:type="dxa"/>
            <w:vMerge w:val="continue"/>
            <w:vAlign w:val="center"/>
          </w:tcPr>
          <w:p>
            <w:pPr>
              <w:widowControl/>
              <w:spacing w:line="360" w:lineRule="auto"/>
              <w:jc w:val="left"/>
              <w:rPr>
                <w:rFonts w:ascii="宋体" w:hAnsi="宋体"/>
                <w:szCs w:val="21"/>
              </w:rPr>
            </w:pPr>
          </w:p>
        </w:tc>
        <w:tc>
          <w:tcPr>
            <w:tcW w:w="1709"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营业收入（Y）</w:t>
            </w:r>
          </w:p>
        </w:tc>
        <w:tc>
          <w:tcPr>
            <w:tcW w:w="475"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万万元</w:t>
            </w:r>
          </w:p>
        </w:tc>
        <w:tc>
          <w:tcPr>
            <w:tcW w:w="2059"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2000≤Y＜10000</w:t>
            </w:r>
          </w:p>
        </w:tc>
        <w:tc>
          <w:tcPr>
            <w:tcW w:w="1679" w:type="dxa"/>
            <w:tcMar>
              <w:top w:w="0" w:type="dxa"/>
              <w:left w:w="105" w:type="dxa"/>
              <w:bottom w:w="0" w:type="dxa"/>
              <w:right w:w="105" w:type="dxa"/>
            </w:tcMar>
            <w:vAlign w:val="center"/>
          </w:tcPr>
          <w:p>
            <w:pPr>
              <w:pStyle w:val="106"/>
              <w:widowControl/>
              <w:spacing w:after="150" w:line="360" w:lineRule="auto"/>
              <w:ind w:firstLine="420"/>
              <w:jc w:val="center"/>
              <w:rPr>
                <w:rFonts w:ascii="宋体" w:hAnsi="宋体"/>
                <w:sz w:val="21"/>
                <w:szCs w:val="21"/>
              </w:rPr>
            </w:pPr>
            <w:r>
              <w:rPr>
                <w:rStyle w:val="107"/>
                <w:rFonts w:hint="eastAsia" w:ascii="宋体" w:hAnsi="宋体" w:cs="仿宋"/>
                <w:sz w:val="21"/>
                <w:szCs w:val="21"/>
              </w:rPr>
              <w:t>100≤Y＜2000</w:t>
            </w:r>
          </w:p>
        </w:tc>
        <w:tc>
          <w:tcPr>
            <w:tcW w:w="1455"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Y＜100</w:t>
            </w:r>
          </w:p>
        </w:tc>
      </w:tr>
      <w:tr>
        <w:tblPrEx>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CellMar>
            <w:top w:w="0" w:type="dxa"/>
            <w:left w:w="105" w:type="dxa"/>
            <w:bottom w:w="0" w:type="dxa"/>
            <w:right w:w="105" w:type="dxa"/>
          </w:tblCellMar>
        </w:tblPrEx>
        <w:trPr>
          <w:trHeight w:val="225" w:hRule="atLeast"/>
          <w:tblCellSpacing w:w="15" w:type="dxa"/>
          <w:jc w:val="center"/>
        </w:trPr>
        <w:tc>
          <w:tcPr>
            <w:tcW w:w="1401" w:type="dxa"/>
            <w:vMerge w:val="restart"/>
            <w:tcMar>
              <w:top w:w="0" w:type="dxa"/>
              <w:left w:w="105" w:type="dxa"/>
              <w:bottom w:w="0" w:type="dxa"/>
              <w:right w:w="105" w:type="dxa"/>
            </w:tcMar>
            <w:vAlign w:val="bottom"/>
          </w:tcPr>
          <w:p>
            <w:pPr>
              <w:pStyle w:val="106"/>
              <w:widowControl/>
              <w:spacing w:after="150" w:line="360" w:lineRule="auto"/>
              <w:ind w:firstLine="420"/>
              <w:jc w:val="center"/>
              <w:rPr>
                <w:rFonts w:ascii="宋体" w:hAnsi="宋体"/>
                <w:sz w:val="21"/>
                <w:szCs w:val="21"/>
              </w:rPr>
            </w:pPr>
            <w:r>
              <w:rPr>
                <w:rStyle w:val="107"/>
                <w:rFonts w:hint="eastAsia" w:ascii="宋体" w:hAnsi="宋体" w:cs="仿宋"/>
                <w:sz w:val="21"/>
                <w:szCs w:val="21"/>
              </w:rPr>
              <w:t>信息传输业</w:t>
            </w:r>
          </w:p>
        </w:tc>
        <w:tc>
          <w:tcPr>
            <w:tcW w:w="1709"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从业人员（X）</w:t>
            </w:r>
          </w:p>
        </w:tc>
        <w:tc>
          <w:tcPr>
            <w:tcW w:w="475"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人</w:t>
            </w:r>
          </w:p>
        </w:tc>
        <w:tc>
          <w:tcPr>
            <w:tcW w:w="2059"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100≤X＜2000</w:t>
            </w:r>
          </w:p>
        </w:tc>
        <w:tc>
          <w:tcPr>
            <w:tcW w:w="1679" w:type="dxa"/>
            <w:tcMar>
              <w:top w:w="0" w:type="dxa"/>
              <w:left w:w="105" w:type="dxa"/>
              <w:bottom w:w="0" w:type="dxa"/>
              <w:right w:w="105" w:type="dxa"/>
            </w:tcMar>
            <w:vAlign w:val="center"/>
          </w:tcPr>
          <w:p>
            <w:pPr>
              <w:pStyle w:val="106"/>
              <w:widowControl/>
              <w:spacing w:after="150" w:line="360" w:lineRule="auto"/>
              <w:ind w:firstLine="420"/>
              <w:jc w:val="center"/>
              <w:rPr>
                <w:rFonts w:ascii="宋体" w:hAnsi="宋体"/>
                <w:sz w:val="21"/>
                <w:szCs w:val="21"/>
              </w:rPr>
            </w:pPr>
            <w:r>
              <w:rPr>
                <w:rStyle w:val="107"/>
                <w:rFonts w:hint="eastAsia" w:ascii="宋体" w:hAnsi="宋体" w:cs="仿宋"/>
                <w:sz w:val="21"/>
                <w:szCs w:val="21"/>
              </w:rPr>
              <w:t>10≤X＜100</w:t>
            </w:r>
          </w:p>
        </w:tc>
        <w:tc>
          <w:tcPr>
            <w:tcW w:w="1455"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X＜10</w:t>
            </w:r>
          </w:p>
        </w:tc>
      </w:tr>
      <w:tr>
        <w:tblPrEx>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CellMar>
            <w:top w:w="0" w:type="dxa"/>
            <w:left w:w="105" w:type="dxa"/>
            <w:bottom w:w="0" w:type="dxa"/>
            <w:right w:w="105" w:type="dxa"/>
          </w:tblCellMar>
        </w:tblPrEx>
        <w:trPr>
          <w:trHeight w:val="225" w:hRule="atLeast"/>
          <w:tblCellSpacing w:w="15" w:type="dxa"/>
          <w:jc w:val="center"/>
        </w:trPr>
        <w:tc>
          <w:tcPr>
            <w:tcW w:w="1401" w:type="dxa"/>
            <w:vMerge w:val="continue"/>
            <w:vAlign w:val="center"/>
          </w:tcPr>
          <w:p>
            <w:pPr>
              <w:widowControl/>
              <w:spacing w:line="360" w:lineRule="auto"/>
              <w:jc w:val="left"/>
              <w:rPr>
                <w:rFonts w:ascii="宋体" w:hAnsi="宋体"/>
                <w:szCs w:val="21"/>
              </w:rPr>
            </w:pPr>
          </w:p>
        </w:tc>
        <w:tc>
          <w:tcPr>
            <w:tcW w:w="1709"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营业收入（Y）</w:t>
            </w:r>
          </w:p>
        </w:tc>
        <w:tc>
          <w:tcPr>
            <w:tcW w:w="475"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万万元</w:t>
            </w:r>
          </w:p>
        </w:tc>
        <w:tc>
          <w:tcPr>
            <w:tcW w:w="2059"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1000≤Y＜100000</w:t>
            </w:r>
          </w:p>
        </w:tc>
        <w:tc>
          <w:tcPr>
            <w:tcW w:w="1679" w:type="dxa"/>
            <w:tcMar>
              <w:top w:w="0" w:type="dxa"/>
              <w:left w:w="105" w:type="dxa"/>
              <w:bottom w:w="0" w:type="dxa"/>
              <w:right w:w="105" w:type="dxa"/>
            </w:tcMar>
            <w:vAlign w:val="center"/>
          </w:tcPr>
          <w:p>
            <w:pPr>
              <w:pStyle w:val="106"/>
              <w:widowControl/>
              <w:spacing w:after="150" w:line="360" w:lineRule="auto"/>
              <w:ind w:firstLine="420"/>
              <w:jc w:val="center"/>
              <w:rPr>
                <w:rFonts w:ascii="宋体" w:hAnsi="宋体"/>
                <w:sz w:val="21"/>
                <w:szCs w:val="21"/>
              </w:rPr>
            </w:pPr>
            <w:r>
              <w:rPr>
                <w:rStyle w:val="107"/>
                <w:rFonts w:hint="eastAsia" w:ascii="宋体" w:hAnsi="宋体" w:cs="仿宋"/>
                <w:sz w:val="21"/>
                <w:szCs w:val="21"/>
              </w:rPr>
              <w:t>100≤Y＜1000</w:t>
            </w:r>
          </w:p>
        </w:tc>
        <w:tc>
          <w:tcPr>
            <w:tcW w:w="1455"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Y＜100</w:t>
            </w:r>
          </w:p>
        </w:tc>
      </w:tr>
      <w:tr>
        <w:tblPrEx>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CellMar>
            <w:top w:w="0" w:type="dxa"/>
            <w:left w:w="105" w:type="dxa"/>
            <w:bottom w:w="0" w:type="dxa"/>
            <w:right w:w="105" w:type="dxa"/>
          </w:tblCellMar>
        </w:tblPrEx>
        <w:trPr>
          <w:trHeight w:val="225" w:hRule="atLeast"/>
          <w:tblCellSpacing w:w="15" w:type="dxa"/>
          <w:jc w:val="center"/>
        </w:trPr>
        <w:tc>
          <w:tcPr>
            <w:tcW w:w="1401" w:type="dxa"/>
            <w:vMerge w:val="restart"/>
            <w:tcMar>
              <w:top w:w="0" w:type="dxa"/>
              <w:left w:w="105" w:type="dxa"/>
              <w:bottom w:w="0" w:type="dxa"/>
              <w:right w:w="105" w:type="dxa"/>
            </w:tcMar>
            <w:vAlign w:val="bottom"/>
          </w:tcPr>
          <w:p>
            <w:pPr>
              <w:pStyle w:val="106"/>
              <w:widowControl/>
              <w:spacing w:after="150" w:line="360" w:lineRule="auto"/>
              <w:ind w:firstLine="420"/>
              <w:jc w:val="center"/>
              <w:rPr>
                <w:rFonts w:ascii="宋体" w:hAnsi="宋体"/>
                <w:sz w:val="21"/>
                <w:szCs w:val="21"/>
              </w:rPr>
            </w:pPr>
            <w:r>
              <w:rPr>
                <w:rStyle w:val="107"/>
                <w:rFonts w:hint="eastAsia" w:ascii="宋体" w:hAnsi="宋体" w:cs="仿宋"/>
                <w:sz w:val="21"/>
                <w:szCs w:val="21"/>
              </w:rPr>
              <w:t>软件和信息技术服务业</w:t>
            </w:r>
          </w:p>
        </w:tc>
        <w:tc>
          <w:tcPr>
            <w:tcW w:w="1709"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从业人员（X）</w:t>
            </w:r>
          </w:p>
        </w:tc>
        <w:tc>
          <w:tcPr>
            <w:tcW w:w="475"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人</w:t>
            </w:r>
          </w:p>
        </w:tc>
        <w:tc>
          <w:tcPr>
            <w:tcW w:w="2059"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100≤X＜300</w:t>
            </w:r>
          </w:p>
        </w:tc>
        <w:tc>
          <w:tcPr>
            <w:tcW w:w="1679" w:type="dxa"/>
            <w:tcMar>
              <w:top w:w="0" w:type="dxa"/>
              <w:left w:w="105" w:type="dxa"/>
              <w:bottom w:w="0" w:type="dxa"/>
              <w:right w:w="105" w:type="dxa"/>
            </w:tcMar>
            <w:vAlign w:val="center"/>
          </w:tcPr>
          <w:p>
            <w:pPr>
              <w:pStyle w:val="106"/>
              <w:widowControl/>
              <w:spacing w:after="150" w:line="360" w:lineRule="auto"/>
              <w:ind w:firstLine="420"/>
              <w:jc w:val="center"/>
              <w:rPr>
                <w:rFonts w:ascii="宋体" w:hAnsi="宋体"/>
                <w:sz w:val="21"/>
                <w:szCs w:val="21"/>
              </w:rPr>
            </w:pPr>
            <w:r>
              <w:rPr>
                <w:rStyle w:val="107"/>
                <w:rFonts w:hint="eastAsia" w:ascii="宋体" w:hAnsi="宋体" w:cs="仿宋"/>
                <w:sz w:val="21"/>
                <w:szCs w:val="21"/>
              </w:rPr>
              <w:t>10≤X＜100</w:t>
            </w:r>
          </w:p>
        </w:tc>
        <w:tc>
          <w:tcPr>
            <w:tcW w:w="1455"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X＜10</w:t>
            </w:r>
          </w:p>
        </w:tc>
      </w:tr>
      <w:tr>
        <w:tblPrEx>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CellMar>
            <w:top w:w="0" w:type="dxa"/>
            <w:left w:w="105" w:type="dxa"/>
            <w:bottom w:w="0" w:type="dxa"/>
            <w:right w:w="105" w:type="dxa"/>
          </w:tblCellMar>
        </w:tblPrEx>
        <w:trPr>
          <w:trHeight w:val="225" w:hRule="atLeast"/>
          <w:tblCellSpacing w:w="15" w:type="dxa"/>
          <w:jc w:val="center"/>
        </w:trPr>
        <w:tc>
          <w:tcPr>
            <w:tcW w:w="1401" w:type="dxa"/>
            <w:vMerge w:val="continue"/>
            <w:vAlign w:val="center"/>
          </w:tcPr>
          <w:p>
            <w:pPr>
              <w:widowControl/>
              <w:spacing w:line="360" w:lineRule="auto"/>
              <w:jc w:val="left"/>
              <w:rPr>
                <w:rFonts w:ascii="宋体" w:hAnsi="宋体"/>
                <w:szCs w:val="21"/>
              </w:rPr>
            </w:pPr>
          </w:p>
        </w:tc>
        <w:tc>
          <w:tcPr>
            <w:tcW w:w="1709"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营业收入（Y）</w:t>
            </w:r>
          </w:p>
        </w:tc>
        <w:tc>
          <w:tcPr>
            <w:tcW w:w="475"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万万元</w:t>
            </w:r>
          </w:p>
        </w:tc>
        <w:tc>
          <w:tcPr>
            <w:tcW w:w="2059"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1000≤Y＜10000</w:t>
            </w:r>
          </w:p>
        </w:tc>
        <w:tc>
          <w:tcPr>
            <w:tcW w:w="1679" w:type="dxa"/>
            <w:tcMar>
              <w:top w:w="0" w:type="dxa"/>
              <w:left w:w="105" w:type="dxa"/>
              <w:bottom w:w="0" w:type="dxa"/>
              <w:right w:w="105" w:type="dxa"/>
            </w:tcMar>
            <w:vAlign w:val="center"/>
          </w:tcPr>
          <w:p>
            <w:pPr>
              <w:pStyle w:val="106"/>
              <w:widowControl/>
              <w:spacing w:after="150" w:line="360" w:lineRule="auto"/>
              <w:ind w:firstLine="420"/>
              <w:jc w:val="center"/>
              <w:rPr>
                <w:rFonts w:ascii="宋体" w:hAnsi="宋体"/>
                <w:sz w:val="21"/>
                <w:szCs w:val="21"/>
              </w:rPr>
            </w:pPr>
            <w:r>
              <w:rPr>
                <w:rStyle w:val="107"/>
                <w:rFonts w:hint="eastAsia" w:ascii="宋体" w:hAnsi="宋体" w:cs="仿宋"/>
                <w:sz w:val="21"/>
                <w:szCs w:val="21"/>
              </w:rPr>
              <w:t>50≤Y＜1000</w:t>
            </w:r>
          </w:p>
        </w:tc>
        <w:tc>
          <w:tcPr>
            <w:tcW w:w="1455"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Y＜50</w:t>
            </w:r>
          </w:p>
        </w:tc>
      </w:tr>
      <w:tr>
        <w:tblPrEx>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CellMar>
            <w:top w:w="0" w:type="dxa"/>
            <w:left w:w="105" w:type="dxa"/>
            <w:bottom w:w="0" w:type="dxa"/>
            <w:right w:w="105" w:type="dxa"/>
          </w:tblCellMar>
        </w:tblPrEx>
        <w:trPr>
          <w:trHeight w:val="225" w:hRule="atLeast"/>
          <w:tblCellSpacing w:w="15" w:type="dxa"/>
          <w:jc w:val="center"/>
        </w:trPr>
        <w:tc>
          <w:tcPr>
            <w:tcW w:w="1401" w:type="dxa"/>
            <w:vMerge w:val="restart"/>
            <w:tcMar>
              <w:top w:w="0" w:type="dxa"/>
              <w:left w:w="105" w:type="dxa"/>
              <w:bottom w:w="0" w:type="dxa"/>
              <w:right w:w="105" w:type="dxa"/>
            </w:tcMar>
            <w:vAlign w:val="bottom"/>
          </w:tcPr>
          <w:p>
            <w:pPr>
              <w:pStyle w:val="106"/>
              <w:widowControl/>
              <w:spacing w:after="150" w:line="360" w:lineRule="auto"/>
              <w:ind w:firstLine="420"/>
              <w:jc w:val="center"/>
              <w:rPr>
                <w:rFonts w:ascii="宋体" w:hAnsi="宋体"/>
                <w:sz w:val="21"/>
                <w:szCs w:val="21"/>
              </w:rPr>
            </w:pPr>
            <w:r>
              <w:rPr>
                <w:rStyle w:val="107"/>
                <w:rFonts w:hint="eastAsia" w:ascii="宋体" w:hAnsi="宋体" w:cs="仿宋"/>
                <w:sz w:val="21"/>
                <w:szCs w:val="21"/>
              </w:rPr>
              <w:t>房地产开发经营</w:t>
            </w:r>
          </w:p>
        </w:tc>
        <w:tc>
          <w:tcPr>
            <w:tcW w:w="1709"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营业收入（Y）</w:t>
            </w:r>
          </w:p>
        </w:tc>
        <w:tc>
          <w:tcPr>
            <w:tcW w:w="475"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万万元</w:t>
            </w:r>
          </w:p>
        </w:tc>
        <w:tc>
          <w:tcPr>
            <w:tcW w:w="2059"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1000≤Y＜200000</w:t>
            </w:r>
          </w:p>
        </w:tc>
        <w:tc>
          <w:tcPr>
            <w:tcW w:w="1679" w:type="dxa"/>
            <w:tcMar>
              <w:top w:w="0" w:type="dxa"/>
              <w:left w:w="105" w:type="dxa"/>
              <w:bottom w:w="0" w:type="dxa"/>
              <w:right w:w="105" w:type="dxa"/>
            </w:tcMar>
            <w:vAlign w:val="center"/>
          </w:tcPr>
          <w:p>
            <w:pPr>
              <w:pStyle w:val="106"/>
              <w:widowControl/>
              <w:spacing w:after="150" w:line="360" w:lineRule="auto"/>
              <w:ind w:firstLine="420"/>
              <w:jc w:val="center"/>
              <w:rPr>
                <w:rFonts w:ascii="宋体" w:hAnsi="宋体"/>
                <w:sz w:val="21"/>
                <w:szCs w:val="21"/>
              </w:rPr>
            </w:pPr>
            <w:r>
              <w:rPr>
                <w:rStyle w:val="107"/>
                <w:rFonts w:hint="eastAsia" w:ascii="宋体" w:hAnsi="宋体" w:cs="仿宋"/>
                <w:sz w:val="21"/>
                <w:szCs w:val="21"/>
              </w:rPr>
              <w:t>100≤X＜1000</w:t>
            </w:r>
          </w:p>
        </w:tc>
        <w:tc>
          <w:tcPr>
            <w:tcW w:w="1455"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X＜100</w:t>
            </w:r>
          </w:p>
        </w:tc>
      </w:tr>
      <w:tr>
        <w:tblPrEx>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CellMar>
            <w:top w:w="0" w:type="dxa"/>
            <w:left w:w="105" w:type="dxa"/>
            <w:bottom w:w="0" w:type="dxa"/>
            <w:right w:w="105" w:type="dxa"/>
          </w:tblCellMar>
        </w:tblPrEx>
        <w:trPr>
          <w:trHeight w:val="225" w:hRule="atLeast"/>
          <w:tblCellSpacing w:w="15" w:type="dxa"/>
          <w:jc w:val="center"/>
        </w:trPr>
        <w:tc>
          <w:tcPr>
            <w:tcW w:w="1401" w:type="dxa"/>
            <w:vMerge w:val="continue"/>
            <w:vAlign w:val="center"/>
          </w:tcPr>
          <w:p>
            <w:pPr>
              <w:widowControl/>
              <w:spacing w:line="360" w:lineRule="auto"/>
              <w:jc w:val="left"/>
              <w:rPr>
                <w:rFonts w:ascii="宋体" w:hAnsi="宋体"/>
                <w:szCs w:val="21"/>
              </w:rPr>
            </w:pPr>
          </w:p>
        </w:tc>
        <w:tc>
          <w:tcPr>
            <w:tcW w:w="1709"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资产总额（Z）</w:t>
            </w:r>
          </w:p>
        </w:tc>
        <w:tc>
          <w:tcPr>
            <w:tcW w:w="475"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万万元</w:t>
            </w:r>
          </w:p>
        </w:tc>
        <w:tc>
          <w:tcPr>
            <w:tcW w:w="2059"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5000≤Z＜10000</w:t>
            </w:r>
          </w:p>
        </w:tc>
        <w:tc>
          <w:tcPr>
            <w:tcW w:w="1679" w:type="dxa"/>
            <w:tcMar>
              <w:top w:w="0" w:type="dxa"/>
              <w:left w:w="105" w:type="dxa"/>
              <w:bottom w:w="0" w:type="dxa"/>
              <w:right w:w="105" w:type="dxa"/>
            </w:tcMar>
            <w:vAlign w:val="center"/>
          </w:tcPr>
          <w:p>
            <w:pPr>
              <w:pStyle w:val="106"/>
              <w:widowControl/>
              <w:spacing w:after="150" w:line="360" w:lineRule="auto"/>
              <w:ind w:firstLine="420"/>
              <w:jc w:val="center"/>
              <w:rPr>
                <w:rFonts w:ascii="宋体" w:hAnsi="宋体"/>
                <w:sz w:val="21"/>
                <w:szCs w:val="21"/>
              </w:rPr>
            </w:pPr>
            <w:r>
              <w:rPr>
                <w:rStyle w:val="107"/>
                <w:rFonts w:hint="eastAsia" w:ascii="宋体" w:hAnsi="宋体" w:cs="仿宋"/>
                <w:sz w:val="21"/>
                <w:szCs w:val="21"/>
              </w:rPr>
              <w:t>2000≤Y＜5000</w:t>
            </w:r>
          </w:p>
        </w:tc>
        <w:tc>
          <w:tcPr>
            <w:tcW w:w="1455"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Y＜2000</w:t>
            </w:r>
          </w:p>
        </w:tc>
      </w:tr>
      <w:tr>
        <w:tblPrEx>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CellMar>
            <w:top w:w="0" w:type="dxa"/>
            <w:left w:w="105" w:type="dxa"/>
            <w:bottom w:w="0" w:type="dxa"/>
            <w:right w:w="105" w:type="dxa"/>
          </w:tblCellMar>
        </w:tblPrEx>
        <w:trPr>
          <w:trHeight w:val="225" w:hRule="atLeast"/>
          <w:tblCellSpacing w:w="15" w:type="dxa"/>
          <w:jc w:val="center"/>
        </w:trPr>
        <w:tc>
          <w:tcPr>
            <w:tcW w:w="1401" w:type="dxa"/>
            <w:vMerge w:val="restart"/>
            <w:tcMar>
              <w:top w:w="0" w:type="dxa"/>
              <w:left w:w="105" w:type="dxa"/>
              <w:bottom w:w="0" w:type="dxa"/>
              <w:right w:w="105" w:type="dxa"/>
            </w:tcMar>
            <w:vAlign w:val="bottom"/>
          </w:tcPr>
          <w:p>
            <w:pPr>
              <w:pStyle w:val="106"/>
              <w:widowControl/>
              <w:spacing w:after="150" w:line="360" w:lineRule="auto"/>
              <w:ind w:firstLine="420"/>
              <w:jc w:val="center"/>
              <w:rPr>
                <w:rFonts w:ascii="宋体" w:hAnsi="宋体"/>
                <w:sz w:val="21"/>
                <w:szCs w:val="21"/>
              </w:rPr>
            </w:pPr>
            <w:r>
              <w:rPr>
                <w:rStyle w:val="107"/>
                <w:rFonts w:hint="eastAsia" w:ascii="宋体" w:hAnsi="宋体" w:cs="仿宋"/>
                <w:sz w:val="21"/>
                <w:szCs w:val="21"/>
              </w:rPr>
              <w:t>物业管理</w:t>
            </w:r>
          </w:p>
        </w:tc>
        <w:tc>
          <w:tcPr>
            <w:tcW w:w="1709"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从业人员（X）</w:t>
            </w:r>
          </w:p>
        </w:tc>
        <w:tc>
          <w:tcPr>
            <w:tcW w:w="475"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人</w:t>
            </w:r>
          </w:p>
        </w:tc>
        <w:tc>
          <w:tcPr>
            <w:tcW w:w="2059"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300≤X＜1000</w:t>
            </w:r>
          </w:p>
        </w:tc>
        <w:tc>
          <w:tcPr>
            <w:tcW w:w="1679" w:type="dxa"/>
            <w:tcMar>
              <w:top w:w="0" w:type="dxa"/>
              <w:left w:w="105" w:type="dxa"/>
              <w:bottom w:w="0" w:type="dxa"/>
              <w:right w:w="105" w:type="dxa"/>
            </w:tcMar>
            <w:vAlign w:val="center"/>
          </w:tcPr>
          <w:p>
            <w:pPr>
              <w:pStyle w:val="106"/>
              <w:widowControl/>
              <w:spacing w:after="150" w:line="360" w:lineRule="auto"/>
              <w:ind w:firstLine="420"/>
              <w:jc w:val="center"/>
              <w:rPr>
                <w:rFonts w:ascii="宋体" w:hAnsi="宋体"/>
                <w:sz w:val="21"/>
                <w:szCs w:val="21"/>
              </w:rPr>
            </w:pPr>
            <w:r>
              <w:rPr>
                <w:rStyle w:val="107"/>
                <w:rFonts w:hint="eastAsia" w:ascii="宋体" w:hAnsi="宋体" w:cs="仿宋"/>
                <w:sz w:val="21"/>
                <w:szCs w:val="21"/>
              </w:rPr>
              <w:t>100≤X＜300</w:t>
            </w:r>
          </w:p>
        </w:tc>
        <w:tc>
          <w:tcPr>
            <w:tcW w:w="1455"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X＜100</w:t>
            </w:r>
          </w:p>
        </w:tc>
      </w:tr>
      <w:tr>
        <w:tblPrEx>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CellMar>
            <w:top w:w="0" w:type="dxa"/>
            <w:left w:w="105" w:type="dxa"/>
            <w:bottom w:w="0" w:type="dxa"/>
            <w:right w:w="105" w:type="dxa"/>
          </w:tblCellMar>
        </w:tblPrEx>
        <w:trPr>
          <w:trHeight w:val="225" w:hRule="atLeast"/>
          <w:tblCellSpacing w:w="15" w:type="dxa"/>
          <w:jc w:val="center"/>
        </w:trPr>
        <w:tc>
          <w:tcPr>
            <w:tcW w:w="1401" w:type="dxa"/>
            <w:vMerge w:val="continue"/>
            <w:vAlign w:val="center"/>
          </w:tcPr>
          <w:p>
            <w:pPr>
              <w:widowControl/>
              <w:spacing w:line="360" w:lineRule="auto"/>
              <w:jc w:val="left"/>
              <w:rPr>
                <w:rFonts w:ascii="宋体" w:hAnsi="宋体"/>
                <w:szCs w:val="21"/>
              </w:rPr>
            </w:pPr>
          </w:p>
        </w:tc>
        <w:tc>
          <w:tcPr>
            <w:tcW w:w="1709"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营业收入（Y）</w:t>
            </w:r>
          </w:p>
        </w:tc>
        <w:tc>
          <w:tcPr>
            <w:tcW w:w="475"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万万元</w:t>
            </w:r>
          </w:p>
        </w:tc>
        <w:tc>
          <w:tcPr>
            <w:tcW w:w="2059"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1000≤Y＜5000</w:t>
            </w:r>
          </w:p>
        </w:tc>
        <w:tc>
          <w:tcPr>
            <w:tcW w:w="1679" w:type="dxa"/>
            <w:tcMar>
              <w:top w:w="0" w:type="dxa"/>
              <w:left w:w="105" w:type="dxa"/>
              <w:bottom w:w="0" w:type="dxa"/>
              <w:right w:w="105" w:type="dxa"/>
            </w:tcMar>
            <w:vAlign w:val="center"/>
          </w:tcPr>
          <w:p>
            <w:pPr>
              <w:pStyle w:val="106"/>
              <w:widowControl/>
              <w:spacing w:after="150" w:line="360" w:lineRule="auto"/>
              <w:ind w:firstLine="420"/>
              <w:jc w:val="center"/>
              <w:rPr>
                <w:rFonts w:ascii="宋体" w:hAnsi="宋体"/>
                <w:sz w:val="21"/>
                <w:szCs w:val="21"/>
              </w:rPr>
            </w:pPr>
            <w:r>
              <w:rPr>
                <w:rStyle w:val="107"/>
                <w:rFonts w:hint="eastAsia" w:ascii="宋体" w:hAnsi="宋体" w:cs="仿宋"/>
                <w:sz w:val="21"/>
                <w:szCs w:val="21"/>
              </w:rPr>
              <w:t>500≤Y＜1000</w:t>
            </w:r>
          </w:p>
        </w:tc>
        <w:tc>
          <w:tcPr>
            <w:tcW w:w="1455"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Y＜500</w:t>
            </w:r>
          </w:p>
        </w:tc>
      </w:tr>
      <w:tr>
        <w:tblPrEx>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CellMar>
            <w:top w:w="0" w:type="dxa"/>
            <w:left w:w="105" w:type="dxa"/>
            <w:bottom w:w="0" w:type="dxa"/>
            <w:right w:w="105" w:type="dxa"/>
          </w:tblCellMar>
        </w:tblPrEx>
        <w:trPr>
          <w:trHeight w:val="225" w:hRule="atLeast"/>
          <w:tblCellSpacing w:w="15" w:type="dxa"/>
          <w:jc w:val="center"/>
        </w:trPr>
        <w:tc>
          <w:tcPr>
            <w:tcW w:w="1401" w:type="dxa"/>
            <w:vMerge w:val="restart"/>
            <w:tcMar>
              <w:top w:w="0" w:type="dxa"/>
              <w:left w:w="105" w:type="dxa"/>
              <w:bottom w:w="0" w:type="dxa"/>
              <w:right w:w="105" w:type="dxa"/>
            </w:tcMar>
            <w:vAlign w:val="bottom"/>
          </w:tcPr>
          <w:p>
            <w:pPr>
              <w:pStyle w:val="106"/>
              <w:widowControl/>
              <w:spacing w:after="150" w:line="360" w:lineRule="auto"/>
              <w:ind w:firstLine="420"/>
              <w:jc w:val="center"/>
              <w:rPr>
                <w:rFonts w:ascii="宋体" w:hAnsi="宋体"/>
                <w:sz w:val="21"/>
                <w:szCs w:val="21"/>
              </w:rPr>
            </w:pPr>
            <w:r>
              <w:rPr>
                <w:rStyle w:val="107"/>
                <w:rFonts w:hint="eastAsia" w:ascii="宋体" w:hAnsi="宋体" w:cs="仿宋"/>
                <w:sz w:val="21"/>
                <w:szCs w:val="21"/>
              </w:rPr>
              <w:t>租赁和商务服务业</w:t>
            </w:r>
          </w:p>
        </w:tc>
        <w:tc>
          <w:tcPr>
            <w:tcW w:w="1709"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从业人员（X）</w:t>
            </w:r>
          </w:p>
        </w:tc>
        <w:tc>
          <w:tcPr>
            <w:tcW w:w="475"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人</w:t>
            </w:r>
          </w:p>
        </w:tc>
        <w:tc>
          <w:tcPr>
            <w:tcW w:w="2059"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100≤X＜300</w:t>
            </w:r>
          </w:p>
        </w:tc>
        <w:tc>
          <w:tcPr>
            <w:tcW w:w="1679" w:type="dxa"/>
            <w:tcMar>
              <w:top w:w="0" w:type="dxa"/>
              <w:left w:w="105" w:type="dxa"/>
              <w:bottom w:w="0" w:type="dxa"/>
              <w:right w:w="105" w:type="dxa"/>
            </w:tcMar>
            <w:vAlign w:val="center"/>
          </w:tcPr>
          <w:p>
            <w:pPr>
              <w:pStyle w:val="106"/>
              <w:widowControl/>
              <w:spacing w:after="150" w:line="360" w:lineRule="auto"/>
              <w:ind w:firstLine="420"/>
              <w:jc w:val="center"/>
              <w:rPr>
                <w:rFonts w:ascii="宋体" w:hAnsi="宋体"/>
                <w:sz w:val="21"/>
                <w:szCs w:val="21"/>
              </w:rPr>
            </w:pPr>
            <w:r>
              <w:rPr>
                <w:rStyle w:val="107"/>
                <w:rFonts w:hint="eastAsia" w:ascii="宋体" w:hAnsi="宋体" w:cs="仿宋"/>
                <w:sz w:val="21"/>
                <w:szCs w:val="21"/>
              </w:rPr>
              <w:t>10≤X＜100</w:t>
            </w:r>
          </w:p>
        </w:tc>
        <w:tc>
          <w:tcPr>
            <w:tcW w:w="1455"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X＜10</w:t>
            </w:r>
          </w:p>
        </w:tc>
      </w:tr>
      <w:tr>
        <w:tblPrEx>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CellMar>
            <w:top w:w="0" w:type="dxa"/>
            <w:left w:w="105" w:type="dxa"/>
            <w:bottom w:w="0" w:type="dxa"/>
            <w:right w:w="105" w:type="dxa"/>
          </w:tblCellMar>
        </w:tblPrEx>
        <w:trPr>
          <w:trHeight w:val="225" w:hRule="atLeast"/>
          <w:tblCellSpacing w:w="15" w:type="dxa"/>
          <w:jc w:val="center"/>
        </w:trPr>
        <w:tc>
          <w:tcPr>
            <w:tcW w:w="1401" w:type="dxa"/>
            <w:vMerge w:val="continue"/>
            <w:vAlign w:val="center"/>
          </w:tcPr>
          <w:p>
            <w:pPr>
              <w:widowControl/>
              <w:spacing w:line="360" w:lineRule="auto"/>
              <w:jc w:val="left"/>
              <w:rPr>
                <w:rFonts w:ascii="宋体" w:hAnsi="宋体"/>
                <w:szCs w:val="21"/>
              </w:rPr>
            </w:pPr>
          </w:p>
        </w:tc>
        <w:tc>
          <w:tcPr>
            <w:tcW w:w="1709"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资产总额（Z）</w:t>
            </w:r>
          </w:p>
        </w:tc>
        <w:tc>
          <w:tcPr>
            <w:tcW w:w="475"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万万元</w:t>
            </w:r>
          </w:p>
        </w:tc>
        <w:tc>
          <w:tcPr>
            <w:tcW w:w="2059"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8000≤Z＜120000</w:t>
            </w:r>
          </w:p>
        </w:tc>
        <w:tc>
          <w:tcPr>
            <w:tcW w:w="1679" w:type="dxa"/>
            <w:tcMar>
              <w:top w:w="0" w:type="dxa"/>
              <w:left w:w="105" w:type="dxa"/>
              <w:bottom w:w="0" w:type="dxa"/>
              <w:right w:w="105" w:type="dxa"/>
            </w:tcMar>
            <w:vAlign w:val="center"/>
          </w:tcPr>
          <w:p>
            <w:pPr>
              <w:pStyle w:val="106"/>
              <w:widowControl/>
              <w:spacing w:after="150" w:line="360" w:lineRule="auto"/>
              <w:ind w:firstLine="420"/>
              <w:jc w:val="center"/>
              <w:rPr>
                <w:rFonts w:ascii="宋体" w:hAnsi="宋体"/>
                <w:sz w:val="21"/>
                <w:szCs w:val="21"/>
              </w:rPr>
            </w:pPr>
            <w:r>
              <w:rPr>
                <w:rStyle w:val="107"/>
                <w:rFonts w:hint="eastAsia" w:ascii="宋体" w:hAnsi="宋体" w:cs="仿宋"/>
                <w:sz w:val="21"/>
                <w:szCs w:val="21"/>
              </w:rPr>
              <w:t>100≤Z＜8000</w:t>
            </w:r>
          </w:p>
        </w:tc>
        <w:tc>
          <w:tcPr>
            <w:tcW w:w="1455"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Y＜100</w:t>
            </w:r>
          </w:p>
        </w:tc>
      </w:tr>
      <w:tr>
        <w:tblPrEx>
          <w:tblBorders>
            <w:top w:val="single" w:color="999999" w:sz="6" w:space="0"/>
            <w:left w:val="single" w:color="999999" w:sz="6" w:space="0"/>
            <w:bottom w:val="none" w:color="000000" w:sz="0" w:space="0"/>
            <w:right w:val="none" w:color="000000" w:sz="0" w:space="0"/>
            <w:insideH w:val="none" w:color="000000" w:sz="0" w:space="0"/>
            <w:insideV w:val="none" w:color="000000" w:sz="0" w:space="0"/>
          </w:tblBorders>
          <w:tblCellMar>
            <w:top w:w="0" w:type="dxa"/>
            <w:left w:w="105" w:type="dxa"/>
            <w:bottom w:w="0" w:type="dxa"/>
            <w:right w:w="105" w:type="dxa"/>
          </w:tblCellMar>
        </w:tblPrEx>
        <w:trPr>
          <w:trHeight w:val="225" w:hRule="atLeast"/>
          <w:tblCellSpacing w:w="15" w:type="dxa"/>
          <w:jc w:val="center"/>
        </w:trPr>
        <w:tc>
          <w:tcPr>
            <w:tcW w:w="1401" w:type="dxa"/>
            <w:tcMar>
              <w:top w:w="0" w:type="dxa"/>
              <w:left w:w="105" w:type="dxa"/>
              <w:bottom w:w="0" w:type="dxa"/>
              <w:right w:w="105" w:type="dxa"/>
            </w:tcMar>
            <w:vAlign w:val="bottom"/>
          </w:tcPr>
          <w:p>
            <w:pPr>
              <w:pStyle w:val="106"/>
              <w:widowControl/>
              <w:spacing w:after="150" w:line="360" w:lineRule="auto"/>
              <w:ind w:firstLine="420"/>
              <w:jc w:val="center"/>
              <w:rPr>
                <w:rFonts w:ascii="宋体" w:hAnsi="宋体"/>
                <w:sz w:val="21"/>
                <w:szCs w:val="21"/>
              </w:rPr>
            </w:pPr>
            <w:r>
              <w:rPr>
                <w:rStyle w:val="107"/>
                <w:rFonts w:hint="eastAsia" w:ascii="宋体" w:hAnsi="宋体" w:cs="仿宋"/>
                <w:sz w:val="21"/>
                <w:szCs w:val="21"/>
              </w:rPr>
              <w:t>其他未列明行业</w:t>
            </w:r>
          </w:p>
        </w:tc>
        <w:tc>
          <w:tcPr>
            <w:tcW w:w="1709"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从业人员（X）</w:t>
            </w:r>
          </w:p>
        </w:tc>
        <w:tc>
          <w:tcPr>
            <w:tcW w:w="475"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人</w:t>
            </w:r>
          </w:p>
        </w:tc>
        <w:tc>
          <w:tcPr>
            <w:tcW w:w="2059"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100≤X＜300</w:t>
            </w:r>
          </w:p>
        </w:tc>
        <w:tc>
          <w:tcPr>
            <w:tcW w:w="1679" w:type="dxa"/>
            <w:tcMar>
              <w:top w:w="0" w:type="dxa"/>
              <w:left w:w="105" w:type="dxa"/>
              <w:bottom w:w="0" w:type="dxa"/>
              <w:right w:w="105" w:type="dxa"/>
            </w:tcMar>
            <w:vAlign w:val="center"/>
          </w:tcPr>
          <w:p>
            <w:pPr>
              <w:pStyle w:val="106"/>
              <w:widowControl/>
              <w:spacing w:after="150" w:line="360" w:lineRule="auto"/>
              <w:ind w:firstLine="420"/>
              <w:jc w:val="center"/>
              <w:rPr>
                <w:rFonts w:ascii="宋体" w:hAnsi="宋体"/>
                <w:sz w:val="21"/>
                <w:szCs w:val="21"/>
              </w:rPr>
            </w:pPr>
            <w:r>
              <w:rPr>
                <w:rStyle w:val="107"/>
                <w:rFonts w:hint="eastAsia" w:ascii="宋体" w:hAnsi="宋体" w:cs="仿宋"/>
                <w:sz w:val="21"/>
                <w:szCs w:val="21"/>
              </w:rPr>
              <w:t>10≤X＜100</w:t>
            </w:r>
          </w:p>
        </w:tc>
        <w:tc>
          <w:tcPr>
            <w:tcW w:w="1455" w:type="dxa"/>
            <w:tcMar>
              <w:top w:w="0" w:type="dxa"/>
              <w:left w:w="105" w:type="dxa"/>
              <w:bottom w:w="0" w:type="dxa"/>
              <w:right w:w="105" w:type="dxa"/>
            </w:tcMar>
            <w:vAlign w:val="center"/>
          </w:tcPr>
          <w:p>
            <w:pPr>
              <w:pStyle w:val="106"/>
              <w:widowControl/>
              <w:spacing w:after="150" w:line="360" w:lineRule="auto"/>
              <w:ind w:firstLine="420"/>
              <w:rPr>
                <w:rFonts w:ascii="宋体" w:hAnsi="宋体"/>
                <w:sz w:val="21"/>
                <w:szCs w:val="21"/>
              </w:rPr>
            </w:pPr>
            <w:r>
              <w:rPr>
                <w:rStyle w:val="107"/>
                <w:rFonts w:hint="eastAsia" w:ascii="宋体" w:hAnsi="宋体" w:cs="仿宋"/>
                <w:sz w:val="21"/>
                <w:szCs w:val="21"/>
              </w:rPr>
              <w:t>X＜10</w:t>
            </w:r>
          </w:p>
        </w:tc>
      </w:tr>
    </w:tbl>
    <w:p>
      <w:pPr>
        <w:spacing w:line="360" w:lineRule="auto"/>
        <w:jc w:val="center"/>
        <w:rPr>
          <w:rFonts w:ascii="宋体" w:hAnsi="宋体"/>
          <w:b/>
          <w:color w:val="000000"/>
          <w:szCs w:val="21"/>
        </w:rPr>
      </w:pPr>
      <w:r>
        <w:rPr>
          <w:rStyle w:val="107"/>
          <w:rFonts w:hint="eastAsia" w:ascii="宋体" w:hAnsi="宋体" w:cs="仿宋"/>
          <w:szCs w:val="21"/>
        </w:rPr>
        <w:t>说明：上述标准参照《关于印发中小企业划型标准规定的通知》（工信部联企业[2011]300号），大型、中型和小型企业须同时满足所列指标的下限，否则下划一档；微型企业只须满足所列指标中的一项即可。</w:t>
      </w:r>
    </w:p>
    <w:p>
      <w:pPr>
        <w:spacing w:line="360" w:lineRule="auto"/>
        <w:rPr>
          <w:rFonts w:ascii="宋体" w:hAnsi="宋体"/>
          <w:b/>
          <w:color w:val="000000"/>
          <w:szCs w:val="21"/>
        </w:rPr>
        <w:sectPr>
          <w:pgSz w:w="11906" w:h="16838"/>
          <w:pgMar w:top="1015" w:right="1196" w:bottom="868" w:left="1259" w:header="851" w:footer="907" w:gutter="0"/>
          <w:cols w:space="720" w:num="1"/>
          <w:titlePg/>
          <w:docGrid w:type="lines" w:linePitch="286" w:charSpace="0"/>
        </w:sectPr>
      </w:pPr>
    </w:p>
    <w:p>
      <w:pPr>
        <w:spacing w:line="360" w:lineRule="auto"/>
        <w:jc w:val="center"/>
        <w:rPr>
          <w:rFonts w:ascii="宋体" w:hAnsi="宋体"/>
          <w:b/>
          <w:color w:val="000000"/>
          <w:szCs w:val="21"/>
        </w:rPr>
      </w:pPr>
      <w:r>
        <w:rPr>
          <w:rFonts w:hint="eastAsia" w:ascii="宋体" w:hAnsi="宋体"/>
          <w:b/>
          <w:color w:val="000000"/>
          <w:szCs w:val="21"/>
        </w:rPr>
        <w:t>谈判响应报价表</w:t>
      </w:r>
    </w:p>
    <w:p>
      <w:pPr>
        <w:pStyle w:val="38"/>
        <w:rPr>
          <w:rFonts w:ascii="宋体" w:hAnsi="宋体" w:eastAsia="宋体" w:cs="宋体"/>
          <w:sz w:val="21"/>
          <w:szCs w:val="21"/>
        </w:rPr>
      </w:pPr>
    </w:p>
    <w:p>
      <w:pPr>
        <w:pStyle w:val="22"/>
        <w:spacing w:line="360" w:lineRule="auto"/>
        <w:rPr>
          <w:rFonts w:ascii="宋体" w:hAnsi="宋体"/>
          <w:color w:val="000000"/>
          <w:sz w:val="21"/>
          <w:szCs w:val="21"/>
        </w:rPr>
      </w:pPr>
      <w:r>
        <w:rPr>
          <w:rFonts w:hint="eastAsia" w:ascii="宋体" w:hAnsi="宋体"/>
          <w:color w:val="000000"/>
          <w:sz w:val="21"/>
          <w:szCs w:val="21"/>
        </w:rPr>
        <w:t xml:space="preserve">项目名称： </w:t>
      </w:r>
    </w:p>
    <w:p>
      <w:pPr>
        <w:spacing w:line="360" w:lineRule="auto"/>
        <w:rPr>
          <w:rFonts w:ascii="宋体" w:hAnsi="宋体"/>
          <w:color w:val="000000"/>
          <w:szCs w:val="21"/>
        </w:rPr>
      </w:pPr>
      <w:r>
        <w:rPr>
          <w:rFonts w:hint="eastAsia" w:ascii="宋体" w:hAnsi="宋体"/>
          <w:szCs w:val="21"/>
        </w:rPr>
        <w:t xml:space="preserve">项目编号：  </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961"/>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17" w:type="dxa"/>
            <w:vAlign w:val="center"/>
          </w:tcPr>
          <w:p>
            <w:pPr>
              <w:spacing w:line="360" w:lineRule="auto"/>
              <w:jc w:val="center"/>
              <w:rPr>
                <w:rFonts w:ascii="宋体" w:hAnsi="宋体"/>
                <w:color w:val="000000"/>
                <w:szCs w:val="21"/>
              </w:rPr>
            </w:pPr>
            <w:r>
              <w:rPr>
                <w:rFonts w:hint="eastAsia" w:ascii="宋体" w:hAnsi="宋体"/>
                <w:color w:val="000000"/>
                <w:szCs w:val="21"/>
              </w:rPr>
              <w:t>序号</w:t>
            </w:r>
          </w:p>
        </w:tc>
        <w:tc>
          <w:tcPr>
            <w:tcW w:w="4961" w:type="dxa"/>
            <w:vAlign w:val="center"/>
          </w:tcPr>
          <w:p>
            <w:pPr>
              <w:spacing w:line="360" w:lineRule="auto"/>
              <w:jc w:val="center"/>
              <w:rPr>
                <w:rFonts w:ascii="宋体" w:hAnsi="宋体"/>
                <w:b/>
                <w:szCs w:val="21"/>
              </w:rPr>
            </w:pPr>
            <w:r>
              <w:rPr>
                <w:rFonts w:hint="eastAsia" w:ascii="宋体" w:hAnsi="宋体"/>
                <w:szCs w:val="21"/>
              </w:rPr>
              <w:t>项目名称</w:t>
            </w:r>
          </w:p>
        </w:tc>
        <w:tc>
          <w:tcPr>
            <w:tcW w:w="3119" w:type="dxa"/>
            <w:vAlign w:val="center"/>
          </w:tcPr>
          <w:p>
            <w:pPr>
              <w:spacing w:line="360" w:lineRule="auto"/>
              <w:jc w:val="center"/>
              <w:rPr>
                <w:rFonts w:ascii="宋体" w:hAnsi="宋体"/>
                <w:szCs w:val="21"/>
              </w:rPr>
            </w:pPr>
            <w:r>
              <w:rPr>
                <w:rFonts w:hint="eastAsia" w:ascii="宋体" w:hAnsi="宋体"/>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817" w:type="dxa"/>
          </w:tcPr>
          <w:p>
            <w:pPr>
              <w:spacing w:line="360" w:lineRule="auto"/>
              <w:jc w:val="center"/>
              <w:rPr>
                <w:rFonts w:ascii="宋体" w:hAnsi="宋体"/>
                <w:color w:val="000000"/>
                <w:szCs w:val="21"/>
              </w:rPr>
            </w:pPr>
          </w:p>
        </w:tc>
        <w:tc>
          <w:tcPr>
            <w:tcW w:w="4961" w:type="dxa"/>
            <w:vAlign w:val="center"/>
          </w:tcPr>
          <w:p>
            <w:pPr>
              <w:spacing w:line="360" w:lineRule="auto"/>
              <w:jc w:val="center"/>
              <w:rPr>
                <w:rFonts w:ascii="宋体" w:hAnsi="宋体"/>
                <w:color w:val="000000"/>
                <w:szCs w:val="21"/>
              </w:rPr>
            </w:pPr>
          </w:p>
        </w:tc>
        <w:tc>
          <w:tcPr>
            <w:tcW w:w="3119" w:type="dxa"/>
            <w:vAlign w:val="center"/>
          </w:tcPr>
          <w:p>
            <w:pPr>
              <w:spacing w:line="360" w:lineRule="auto"/>
              <w:rPr>
                <w:rFonts w:ascii="宋体" w:hAnsi="宋体"/>
                <w:color w:val="000000"/>
                <w:szCs w:val="21"/>
                <w:u w:val="single"/>
              </w:rPr>
            </w:pPr>
          </w:p>
        </w:tc>
      </w:tr>
    </w:tbl>
    <w:p>
      <w:pPr>
        <w:spacing w:line="360" w:lineRule="auto"/>
        <w:rPr>
          <w:rFonts w:ascii="宋体" w:hAnsi="宋体"/>
          <w:color w:val="000000"/>
          <w:szCs w:val="21"/>
        </w:rPr>
      </w:pPr>
      <w:r>
        <w:rPr>
          <w:rFonts w:hint="eastAsia" w:ascii="宋体" w:hAnsi="宋体"/>
          <w:color w:val="000000"/>
          <w:szCs w:val="21"/>
        </w:rPr>
        <w:t xml:space="preserve">负责人（签字或盖章）：                    </w:t>
      </w:r>
    </w:p>
    <w:p>
      <w:pPr>
        <w:spacing w:line="360" w:lineRule="auto"/>
        <w:rPr>
          <w:rFonts w:ascii="宋体" w:hAnsi="宋体"/>
          <w:color w:val="000000"/>
          <w:szCs w:val="21"/>
          <w:u w:val="single"/>
        </w:rPr>
      </w:pPr>
      <w:r>
        <w:rPr>
          <w:rFonts w:hint="eastAsia" w:ascii="宋体" w:hAnsi="宋体"/>
          <w:color w:val="000000"/>
          <w:szCs w:val="21"/>
        </w:rPr>
        <w:t>谈判供应商全称（盖章）：</w:t>
      </w:r>
    </w:p>
    <w:p>
      <w:pPr>
        <w:spacing w:line="360" w:lineRule="auto"/>
        <w:rPr>
          <w:rFonts w:ascii="宋体" w:hAnsi="宋体"/>
          <w:color w:val="000000"/>
          <w:szCs w:val="21"/>
        </w:rPr>
      </w:pPr>
      <w:r>
        <w:rPr>
          <w:rFonts w:hint="eastAsia" w:ascii="宋体" w:hAnsi="宋体"/>
          <w:color w:val="000000"/>
          <w:szCs w:val="21"/>
        </w:rPr>
        <w:t xml:space="preserve">                                               日期：    年   月    日</w:t>
      </w:r>
    </w:p>
    <w:p>
      <w:pPr>
        <w:spacing w:line="360" w:lineRule="auto"/>
        <w:rPr>
          <w:rFonts w:ascii="宋体" w:hAnsi="宋体"/>
          <w:b/>
          <w:szCs w:val="21"/>
        </w:rPr>
      </w:pPr>
    </w:p>
    <w:p>
      <w:pPr>
        <w:spacing w:line="360" w:lineRule="auto"/>
        <w:rPr>
          <w:rFonts w:ascii="宋体" w:hAnsi="宋体"/>
          <w:b/>
          <w:szCs w:val="21"/>
        </w:rPr>
      </w:pPr>
      <w:r>
        <w:rPr>
          <w:rFonts w:hint="eastAsia" w:ascii="宋体" w:hAnsi="宋体"/>
          <w:b/>
          <w:szCs w:val="21"/>
        </w:rPr>
        <w:t>价格构成或报价要求：</w:t>
      </w:r>
    </w:p>
    <w:p>
      <w:pPr>
        <w:spacing w:line="360" w:lineRule="auto"/>
        <w:rPr>
          <w:rFonts w:ascii="宋体" w:hAnsi="宋体"/>
          <w:color w:val="000000"/>
          <w:szCs w:val="21"/>
        </w:rPr>
      </w:pPr>
      <w:r>
        <w:rPr>
          <w:rFonts w:hint="eastAsia" w:ascii="宋体" w:hAnsi="宋体"/>
          <w:color w:val="000000"/>
          <w:szCs w:val="21"/>
        </w:rPr>
        <w:t>一、此表可以根据需要自行增减行数，且该表报价非本次谈判中的最后报价。</w:t>
      </w:r>
    </w:p>
    <w:p>
      <w:pPr>
        <w:spacing w:line="360" w:lineRule="auto"/>
        <w:rPr>
          <w:rFonts w:ascii="宋体" w:hAnsi="宋体"/>
          <w:b/>
          <w:color w:val="000000"/>
          <w:szCs w:val="21"/>
        </w:rPr>
      </w:pPr>
    </w:p>
    <w:p>
      <w:pPr>
        <w:spacing w:line="360" w:lineRule="auto"/>
        <w:rPr>
          <w:rFonts w:ascii="宋体" w:hAnsi="宋体"/>
          <w:szCs w:val="21"/>
        </w:rPr>
      </w:pPr>
    </w:p>
    <w:p>
      <w:pPr>
        <w:spacing w:line="360" w:lineRule="auto"/>
        <w:jc w:val="center"/>
        <w:rPr>
          <w:rFonts w:ascii="宋体" w:hAnsi="宋体"/>
          <w:b/>
          <w:color w:val="000000"/>
          <w:szCs w:val="21"/>
        </w:rPr>
        <w:sectPr>
          <w:pgSz w:w="11906" w:h="16838"/>
          <w:pgMar w:top="1015" w:right="1196" w:bottom="868" w:left="1259" w:header="851" w:footer="907" w:gutter="0"/>
          <w:cols w:space="720" w:num="1"/>
          <w:titlePg/>
          <w:docGrid w:type="lines" w:linePitch="286" w:charSpace="0"/>
        </w:sectPr>
      </w:pPr>
    </w:p>
    <w:p>
      <w:pPr>
        <w:spacing w:line="360" w:lineRule="auto"/>
        <w:jc w:val="center"/>
        <w:rPr>
          <w:rFonts w:ascii="宋体" w:hAnsi="宋体"/>
          <w:b/>
          <w:color w:val="000000"/>
          <w:szCs w:val="21"/>
        </w:rPr>
      </w:pPr>
      <w:r>
        <w:rPr>
          <w:rFonts w:hint="eastAsia" w:ascii="宋体" w:hAnsi="宋体"/>
          <w:b/>
          <w:color w:val="000000"/>
          <w:szCs w:val="21"/>
        </w:rPr>
        <w:t>五、项目需求响应方案</w:t>
      </w:r>
    </w:p>
    <w:p/>
    <w:p>
      <w:pPr>
        <w:pStyle w:val="96"/>
        <w:spacing w:line="360" w:lineRule="auto"/>
        <w:ind w:firstLine="561"/>
        <w:jc w:val="center"/>
        <w:rPr>
          <w:rFonts w:ascii="宋体" w:hAnsi="宋体"/>
          <w:b/>
          <w:sz w:val="21"/>
          <w:szCs w:val="21"/>
        </w:rPr>
        <w:sectPr>
          <w:pgSz w:w="11906" w:h="16838"/>
          <w:pgMar w:top="1015" w:right="1196" w:bottom="868" w:left="1259" w:header="851" w:footer="907" w:gutter="0"/>
          <w:cols w:space="720" w:num="1"/>
          <w:titlePg/>
          <w:docGrid w:type="lines" w:linePitch="286" w:charSpace="0"/>
        </w:sectPr>
      </w:pPr>
    </w:p>
    <w:p>
      <w:pPr>
        <w:pStyle w:val="34"/>
        <w:shd w:val="clear" w:color="060000" w:fill="auto"/>
        <w:spacing w:line="315" w:lineRule="atLeast"/>
        <w:jc w:val="center"/>
        <w:rPr>
          <w:b/>
          <w:sz w:val="21"/>
          <w:szCs w:val="21"/>
        </w:rPr>
      </w:pPr>
      <w:r>
        <w:rPr>
          <w:rFonts w:hint="eastAsia"/>
          <w:b/>
          <w:sz w:val="21"/>
          <w:szCs w:val="21"/>
        </w:rPr>
        <w:t>拟投入人员一览表</w:t>
      </w:r>
    </w:p>
    <w:p>
      <w:pPr>
        <w:rPr>
          <w:rFonts w:ascii="宋体" w:hAnsi="宋体" w:cs="宋体"/>
          <w:b/>
          <w:bCs/>
          <w:szCs w:val="21"/>
        </w:rPr>
      </w:pPr>
      <w:r>
        <w:rPr>
          <w:rFonts w:hint="eastAsia" w:ascii="宋体" w:hAnsi="宋体" w:cs="宋体"/>
          <w:szCs w:val="21"/>
        </w:rPr>
        <w:t>供应商全称（加盖公章）：                             项目名称：</w:t>
      </w:r>
    </w:p>
    <w:tbl>
      <w:tblPr>
        <w:tblStyle w:val="3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1021"/>
        <w:gridCol w:w="934"/>
        <w:gridCol w:w="1330"/>
        <w:gridCol w:w="1402"/>
        <w:gridCol w:w="1848"/>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661" w:type="pct"/>
            <w:vAlign w:val="center"/>
          </w:tcPr>
          <w:p>
            <w:pPr>
              <w:spacing w:before="286" w:beforeLines="100" w:line="360" w:lineRule="auto"/>
              <w:ind w:right="-2"/>
              <w:jc w:val="center"/>
              <w:rPr>
                <w:rFonts w:ascii="宋体" w:hAnsi="宋体" w:cs="宋体"/>
                <w:szCs w:val="21"/>
              </w:rPr>
            </w:pPr>
            <w:r>
              <w:rPr>
                <w:rFonts w:hint="eastAsia" w:ascii="宋体" w:hAnsi="宋体" w:cs="宋体"/>
                <w:szCs w:val="21"/>
              </w:rPr>
              <w:t>序号</w:t>
            </w:r>
          </w:p>
        </w:tc>
        <w:tc>
          <w:tcPr>
            <w:tcW w:w="528" w:type="pct"/>
            <w:vAlign w:val="center"/>
          </w:tcPr>
          <w:p>
            <w:pPr>
              <w:spacing w:before="286" w:beforeLines="100" w:line="360" w:lineRule="auto"/>
              <w:ind w:right="-2"/>
              <w:jc w:val="center"/>
              <w:rPr>
                <w:rFonts w:ascii="宋体" w:hAnsi="宋体" w:cs="宋体"/>
                <w:szCs w:val="21"/>
              </w:rPr>
            </w:pPr>
            <w:r>
              <w:rPr>
                <w:rFonts w:hint="eastAsia" w:ascii="宋体" w:hAnsi="宋体" w:cs="宋体"/>
                <w:szCs w:val="21"/>
              </w:rPr>
              <w:t>岗位</w:t>
            </w:r>
          </w:p>
        </w:tc>
        <w:tc>
          <w:tcPr>
            <w:tcW w:w="483" w:type="pct"/>
            <w:vAlign w:val="center"/>
          </w:tcPr>
          <w:p>
            <w:pPr>
              <w:spacing w:before="286" w:beforeLines="100" w:line="360" w:lineRule="auto"/>
              <w:ind w:right="-2"/>
              <w:jc w:val="center"/>
              <w:rPr>
                <w:rFonts w:ascii="宋体" w:hAnsi="宋体" w:cs="宋体"/>
                <w:szCs w:val="21"/>
              </w:rPr>
            </w:pPr>
            <w:r>
              <w:rPr>
                <w:rFonts w:hint="eastAsia" w:ascii="宋体" w:hAnsi="宋体" w:cs="宋体"/>
                <w:szCs w:val="21"/>
              </w:rPr>
              <w:t>姓 名</w:t>
            </w:r>
          </w:p>
        </w:tc>
        <w:tc>
          <w:tcPr>
            <w:tcW w:w="688" w:type="pct"/>
            <w:vAlign w:val="center"/>
          </w:tcPr>
          <w:p>
            <w:pPr>
              <w:spacing w:before="286" w:beforeLines="100" w:line="360" w:lineRule="auto"/>
              <w:ind w:right="-2"/>
              <w:jc w:val="center"/>
              <w:rPr>
                <w:rFonts w:ascii="宋体" w:hAnsi="宋体" w:cs="宋体"/>
                <w:szCs w:val="21"/>
              </w:rPr>
            </w:pPr>
            <w:r>
              <w:rPr>
                <w:rFonts w:hint="eastAsia" w:ascii="宋体" w:hAnsi="宋体" w:cs="宋体"/>
                <w:szCs w:val="21"/>
              </w:rPr>
              <w:t>性别</w:t>
            </w:r>
          </w:p>
        </w:tc>
        <w:tc>
          <w:tcPr>
            <w:tcW w:w="725" w:type="pct"/>
            <w:vAlign w:val="center"/>
          </w:tcPr>
          <w:p>
            <w:pPr>
              <w:spacing w:before="286" w:beforeLines="100" w:line="360" w:lineRule="auto"/>
              <w:ind w:right="-2"/>
              <w:jc w:val="center"/>
              <w:rPr>
                <w:rFonts w:ascii="宋体" w:hAnsi="宋体" w:cs="宋体"/>
                <w:szCs w:val="21"/>
              </w:rPr>
            </w:pPr>
            <w:r>
              <w:rPr>
                <w:rFonts w:hint="eastAsia" w:ascii="宋体" w:hAnsi="宋体" w:cs="宋体"/>
                <w:szCs w:val="21"/>
              </w:rPr>
              <w:t>出生年月</w:t>
            </w:r>
          </w:p>
        </w:tc>
        <w:tc>
          <w:tcPr>
            <w:tcW w:w="956" w:type="pct"/>
            <w:vAlign w:val="center"/>
          </w:tcPr>
          <w:p>
            <w:pPr>
              <w:spacing w:before="286" w:beforeLines="100" w:line="360" w:lineRule="auto"/>
              <w:ind w:right="-2"/>
              <w:jc w:val="center"/>
              <w:rPr>
                <w:rFonts w:ascii="宋体" w:hAnsi="宋体" w:cs="宋体"/>
                <w:szCs w:val="21"/>
              </w:rPr>
            </w:pPr>
            <w:r>
              <w:rPr>
                <w:rFonts w:hint="eastAsia" w:ascii="宋体" w:hAnsi="宋体" w:cs="宋体"/>
                <w:szCs w:val="21"/>
              </w:rPr>
              <w:t>证书</w:t>
            </w:r>
          </w:p>
        </w:tc>
        <w:tc>
          <w:tcPr>
            <w:tcW w:w="956" w:type="pct"/>
            <w:vAlign w:val="center"/>
          </w:tcPr>
          <w:p>
            <w:pPr>
              <w:spacing w:before="286" w:beforeLines="100" w:line="360" w:lineRule="auto"/>
              <w:ind w:right="-2"/>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pct"/>
            <w:vAlign w:val="center"/>
          </w:tcPr>
          <w:p>
            <w:pPr>
              <w:spacing w:line="360" w:lineRule="auto"/>
              <w:ind w:right="-2"/>
              <w:jc w:val="center"/>
              <w:rPr>
                <w:rFonts w:ascii="宋体" w:hAnsi="宋体" w:cs="宋体"/>
                <w:szCs w:val="21"/>
              </w:rPr>
            </w:pPr>
          </w:p>
        </w:tc>
        <w:tc>
          <w:tcPr>
            <w:tcW w:w="528" w:type="pct"/>
            <w:vAlign w:val="center"/>
          </w:tcPr>
          <w:p>
            <w:pPr>
              <w:spacing w:line="360" w:lineRule="auto"/>
              <w:ind w:right="-2"/>
              <w:jc w:val="center"/>
              <w:rPr>
                <w:rFonts w:ascii="宋体" w:hAnsi="宋体" w:cs="宋体"/>
                <w:szCs w:val="21"/>
              </w:rPr>
            </w:pPr>
          </w:p>
        </w:tc>
        <w:tc>
          <w:tcPr>
            <w:tcW w:w="483" w:type="pct"/>
            <w:vAlign w:val="center"/>
          </w:tcPr>
          <w:p>
            <w:pPr>
              <w:spacing w:line="360" w:lineRule="auto"/>
              <w:ind w:right="-2"/>
              <w:jc w:val="center"/>
              <w:rPr>
                <w:rFonts w:ascii="宋体" w:hAnsi="宋体" w:cs="宋体"/>
                <w:szCs w:val="21"/>
              </w:rPr>
            </w:pPr>
          </w:p>
        </w:tc>
        <w:tc>
          <w:tcPr>
            <w:tcW w:w="688" w:type="pct"/>
            <w:vAlign w:val="center"/>
          </w:tcPr>
          <w:p>
            <w:pPr>
              <w:spacing w:line="360" w:lineRule="auto"/>
              <w:ind w:right="-2"/>
              <w:jc w:val="center"/>
              <w:rPr>
                <w:rFonts w:ascii="宋体" w:hAnsi="宋体" w:cs="宋体"/>
                <w:szCs w:val="21"/>
              </w:rPr>
            </w:pPr>
          </w:p>
        </w:tc>
        <w:tc>
          <w:tcPr>
            <w:tcW w:w="725" w:type="pct"/>
            <w:vAlign w:val="center"/>
          </w:tcPr>
          <w:p>
            <w:pPr>
              <w:spacing w:line="360" w:lineRule="auto"/>
              <w:ind w:right="-2"/>
              <w:jc w:val="center"/>
              <w:rPr>
                <w:rFonts w:ascii="宋体" w:hAnsi="宋体" w:cs="宋体"/>
                <w:szCs w:val="21"/>
              </w:rPr>
            </w:pPr>
          </w:p>
        </w:tc>
        <w:tc>
          <w:tcPr>
            <w:tcW w:w="956" w:type="pct"/>
            <w:vAlign w:val="center"/>
          </w:tcPr>
          <w:p>
            <w:pPr>
              <w:spacing w:line="360" w:lineRule="auto"/>
              <w:ind w:right="-2"/>
              <w:jc w:val="center"/>
              <w:rPr>
                <w:rFonts w:ascii="宋体" w:hAnsi="宋体" w:cs="宋体"/>
                <w:szCs w:val="21"/>
              </w:rPr>
            </w:pPr>
          </w:p>
        </w:tc>
        <w:tc>
          <w:tcPr>
            <w:tcW w:w="956" w:type="pct"/>
            <w:vAlign w:val="center"/>
          </w:tcPr>
          <w:p>
            <w:pPr>
              <w:spacing w:line="360" w:lineRule="auto"/>
              <w:ind w:right="-2"/>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pct"/>
            <w:vAlign w:val="center"/>
          </w:tcPr>
          <w:p>
            <w:pPr>
              <w:spacing w:line="360" w:lineRule="auto"/>
              <w:ind w:right="-2"/>
              <w:jc w:val="center"/>
              <w:rPr>
                <w:rFonts w:ascii="宋体" w:hAnsi="宋体" w:cs="宋体"/>
                <w:szCs w:val="21"/>
              </w:rPr>
            </w:pPr>
          </w:p>
        </w:tc>
        <w:tc>
          <w:tcPr>
            <w:tcW w:w="528" w:type="pct"/>
            <w:vAlign w:val="center"/>
          </w:tcPr>
          <w:p>
            <w:pPr>
              <w:spacing w:line="360" w:lineRule="auto"/>
              <w:ind w:right="-2"/>
              <w:jc w:val="center"/>
              <w:rPr>
                <w:rFonts w:ascii="宋体" w:hAnsi="宋体" w:cs="宋体"/>
                <w:szCs w:val="21"/>
              </w:rPr>
            </w:pPr>
          </w:p>
        </w:tc>
        <w:tc>
          <w:tcPr>
            <w:tcW w:w="483" w:type="pct"/>
            <w:vAlign w:val="center"/>
          </w:tcPr>
          <w:p>
            <w:pPr>
              <w:spacing w:line="360" w:lineRule="auto"/>
              <w:ind w:right="-2"/>
              <w:jc w:val="center"/>
              <w:rPr>
                <w:rFonts w:ascii="宋体" w:hAnsi="宋体" w:cs="宋体"/>
                <w:szCs w:val="21"/>
              </w:rPr>
            </w:pPr>
          </w:p>
        </w:tc>
        <w:tc>
          <w:tcPr>
            <w:tcW w:w="688" w:type="pct"/>
            <w:vAlign w:val="center"/>
          </w:tcPr>
          <w:p>
            <w:pPr>
              <w:spacing w:line="360" w:lineRule="auto"/>
              <w:ind w:right="-2"/>
              <w:jc w:val="center"/>
              <w:rPr>
                <w:rFonts w:ascii="宋体" w:hAnsi="宋体" w:cs="宋体"/>
                <w:szCs w:val="21"/>
              </w:rPr>
            </w:pPr>
          </w:p>
        </w:tc>
        <w:tc>
          <w:tcPr>
            <w:tcW w:w="725" w:type="pct"/>
            <w:vAlign w:val="center"/>
          </w:tcPr>
          <w:p>
            <w:pPr>
              <w:spacing w:line="360" w:lineRule="auto"/>
              <w:ind w:right="-2"/>
              <w:jc w:val="center"/>
              <w:rPr>
                <w:rFonts w:ascii="宋体" w:hAnsi="宋体" w:cs="宋体"/>
                <w:szCs w:val="21"/>
              </w:rPr>
            </w:pPr>
          </w:p>
        </w:tc>
        <w:tc>
          <w:tcPr>
            <w:tcW w:w="956" w:type="pct"/>
            <w:vAlign w:val="center"/>
          </w:tcPr>
          <w:p>
            <w:pPr>
              <w:spacing w:line="360" w:lineRule="auto"/>
              <w:ind w:right="-2"/>
              <w:jc w:val="center"/>
              <w:rPr>
                <w:rFonts w:ascii="宋体" w:hAnsi="宋体" w:cs="宋体"/>
                <w:szCs w:val="21"/>
              </w:rPr>
            </w:pPr>
          </w:p>
        </w:tc>
        <w:tc>
          <w:tcPr>
            <w:tcW w:w="956" w:type="pct"/>
            <w:vAlign w:val="center"/>
          </w:tcPr>
          <w:p>
            <w:pPr>
              <w:spacing w:line="360" w:lineRule="auto"/>
              <w:ind w:right="-2"/>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pct"/>
            <w:vAlign w:val="center"/>
          </w:tcPr>
          <w:p>
            <w:pPr>
              <w:spacing w:line="360" w:lineRule="auto"/>
              <w:ind w:right="-2"/>
              <w:jc w:val="center"/>
              <w:rPr>
                <w:rFonts w:ascii="宋体" w:hAnsi="宋体" w:cs="宋体"/>
                <w:szCs w:val="21"/>
              </w:rPr>
            </w:pPr>
          </w:p>
        </w:tc>
        <w:tc>
          <w:tcPr>
            <w:tcW w:w="528" w:type="pct"/>
            <w:vAlign w:val="center"/>
          </w:tcPr>
          <w:p>
            <w:pPr>
              <w:spacing w:line="360" w:lineRule="auto"/>
              <w:ind w:right="-2"/>
              <w:jc w:val="center"/>
              <w:rPr>
                <w:rFonts w:ascii="宋体" w:hAnsi="宋体" w:cs="宋体"/>
                <w:szCs w:val="21"/>
              </w:rPr>
            </w:pPr>
          </w:p>
        </w:tc>
        <w:tc>
          <w:tcPr>
            <w:tcW w:w="483" w:type="pct"/>
            <w:vAlign w:val="center"/>
          </w:tcPr>
          <w:p>
            <w:pPr>
              <w:spacing w:line="360" w:lineRule="auto"/>
              <w:ind w:right="-2"/>
              <w:jc w:val="center"/>
              <w:rPr>
                <w:rFonts w:ascii="宋体" w:hAnsi="宋体" w:cs="宋体"/>
                <w:szCs w:val="21"/>
              </w:rPr>
            </w:pPr>
          </w:p>
        </w:tc>
        <w:tc>
          <w:tcPr>
            <w:tcW w:w="688" w:type="pct"/>
            <w:vAlign w:val="center"/>
          </w:tcPr>
          <w:p>
            <w:pPr>
              <w:spacing w:line="360" w:lineRule="auto"/>
              <w:ind w:right="-2"/>
              <w:jc w:val="center"/>
              <w:rPr>
                <w:rFonts w:ascii="宋体" w:hAnsi="宋体" w:cs="宋体"/>
                <w:szCs w:val="21"/>
              </w:rPr>
            </w:pPr>
          </w:p>
        </w:tc>
        <w:tc>
          <w:tcPr>
            <w:tcW w:w="725" w:type="pct"/>
            <w:vAlign w:val="center"/>
          </w:tcPr>
          <w:p>
            <w:pPr>
              <w:spacing w:line="360" w:lineRule="auto"/>
              <w:ind w:right="-2"/>
              <w:jc w:val="center"/>
              <w:rPr>
                <w:rFonts w:ascii="宋体" w:hAnsi="宋体" w:cs="宋体"/>
                <w:szCs w:val="21"/>
              </w:rPr>
            </w:pPr>
          </w:p>
        </w:tc>
        <w:tc>
          <w:tcPr>
            <w:tcW w:w="956" w:type="pct"/>
            <w:vAlign w:val="center"/>
          </w:tcPr>
          <w:p>
            <w:pPr>
              <w:spacing w:line="360" w:lineRule="auto"/>
              <w:ind w:right="-2"/>
              <w:jc w:val="center"/>
              <w:rPr>
                <w:rFonts w:ascii="宋体" w:hAnsi="宋体" w:cs="宋体"/>
                <w:szCs w:val="21"/>
              </w:rPr>
            </w:pPr>
          </w:p>
        </w:tc>
        <w:tc>
          <w:tcPr>
            <w:tcW w:w="956" w:type="pct"/>
            <w:vAlign w:val="center"/>
          </w:tcPr>
          <w:p>
            <w:pPr>
              <w:spacing w:line="360" w:lineRule="auto"/>
              <w:ind w:right="-2"/>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pct"/>
            <w:vAlign w:val="center"/>
          </w:tcPr>
          <w:p>
            <w:pPr>
              <w:spacing w:line="360" w:lineRule="auto"/>
              <w:ind w:right="-2"/>
              <w:jc w:val="center"/>
              <w:rPr>
                <w:rFonts w:ascii="宋体" w:hAnsi="宋体" w:cs="宋体"/>
                <w:szCs w:val="21"/>
              </w:rPr>
            </w:pPr>
          </w:p>
        </w:tc>
        <w:tc>
          <w:tcPr>
            <w:tcW w:w="528" w:type="pct"/>
            <w:vAlign w:val="center"/>
          </w:tcPr>
          <w:p>
            <w:pPr>
              <w:spacing w:line="360" w:lineRule="auto"/>
              <w:ind w:right="-2"/>
              <w:jc w:val="center"/>
              <w:rPr>
                <w:rFonts w:ascii="宋体" w:hAnsi="宋体" w:cs="宋体"/>
                <w:szCs w:val="21"/>
              </w:rPr>
            </w:pPr>
          </w:p>
        </w:tc>
        <w:tc>
          <w:tcPr>
            <w:tcW w:w="483" w:type="pct"/>
            <w:vAlign w:val="center"/>
          </w:tcPr>
          <w:p>
            <w:pPr>
              <w:spacing w:line="360" w:lineRule="auto"/>
              <w:ind w:right="-2"/>
              <w:jc w:val="center"/>
              <w:rPr>
                <w:rFonts w:ascii="宋体" w:hAnsi="宋体" w:cs="宋体"/>
                <w:szCs w:val="21"/>
              </w:rPr>
            </w:pPr>
          </w:p>
        </w:tc>
        <w:tc>
          <w:tcPr>
            <w:tcW w:w="688" w:type="pct"/>
            <w:vAlign w:val="center"/>
          </w:tcPr>
          <w:p>
            <w:pPr>
              <w:spacing w:line="360" w:lineRule="auto"/>
              <w:ind w:right="-2"/>
              <w:jc w:val="center"/>
              <w:rPr>
                <w:rFonts w:ascii="宋体" w:hAnsi="宋体" w:cs="宋体"/>
                <w:szCs w:val="21"/>
              </w:rPr>
            </w:pPr>
          </w:p>
        </w:tc>
        <w:tc>
          <w:tcPr>
            <w:tcW w:w="725" w:type="pct"/>
            <w:vAlign w:val="center"/>
          </w:tcPr>
          <w:p>
            <w:pPr>
              <w:spacing w:line="360" w:lineRule="auto"/>
              <w:ind w:right="-2"/>
              <w:jc w:val="center"/>
              <w:rPr>
                <w:rFonts w:ascii="宋体" w:hAnsi="宋体" w:cs="宋体"/>
                <w:szCs w:val="21"/>
              </w:rPr>
            </w:pPr>
          </w:p>
        </w:tc>
        <w:tc>
          <w:tcPr>
            <w:tcW w:w="956" w:type="pct"/>
            <w:vAlign w:val="center"/>
          </w:tcPr>
          <w:p>
            <w:pPr>
              <w:spacing w:line="360" w:lineRule="auto"/>
              <w:ind w:right="-2"/>
              <w:jc w:val="center"/>
              <w:rPr>
                <w:rFonts w:ascii="宋体" w:hAnsi="宋体" w:cs="宋体"/>
                <w:szCs w:val="21"/>
              </w:rPr>
            </w:pPr>
          </w:p>
        </w:tc>
        <w:tc>
          <w:tcPr>
            <w:tcW w:w="956" w:type="pct"/>
            <w:vAlign w:val="center"/>
          </w:tcPr>
          <w:p>
            <w:pPr>
              <w:spacing w:line="360" w:lineRule="auto"/>
              <w:ind w:right="-2"/>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pct"/>
            <w:vAlign w:val="center"/>
          </w:tcPr>
          <w:p>
            <w:pPr>
              <w:spacing w:line="360" w:lineRule="auto"/>
              <w:ind w:right="-2"/>
              <w:jc w:val="center"/>
              <w:rPr>
                <w:rFonts w:ascii="宋体" w:hAnsi="宋体" w:cs="宋体"/>
                <w:szCs w:val="21"/>
              </w:rPr>
            </w:pPr>
          </w:p>
        </w:tc>
        <w:tc>
          <w:tcPr>
            <w:tcW w:w="528" w:type="pct"/>
            <w:vAlign w:val="center"/>
          </w:tcPr>
          <w:p>
            <w:pPr>
              <w:spacing w:line="360" w:lineRule="auto"/>
              <w:ind w:right="-2"/>
              <w:jc w:val="center"/>
              <w:rPr>
                <w:rFonts w:ascii="宋体" w:hAnsi="宋体" w:cs="宋体"/>
                <w:szCs w:val="21"/>
              </w:rPr>
            </w:pPr>
          </w:p>
        </w:tc>
        <w:tc>
          <w:tcPr>
            <w:tcW w:w="483" w:type="pct"/>
            <w:vAlign w:val="center"/>
          </w:tcPr>
          <w:p>
            <w:pPr>
              <w:spacing w:line="360" w:lineRule="auto"/>
              <w:ind w:right="-2"/>
              <w:jc w:val="center"/>
              <w:rPr>
                <w:rFonts w:ascii="宋体" w:hAnsi="宋体" w:cs="宋体"/>
                <w:szCs w:val="21"/>
              </w:rPr>
            </w:pPr>
          </w:p>
        </w:tc>
        <w:tc>
          <w:tcPr>
            <w:tcW w:w="688" w:type="pct"/>
            <w:vAlign w:val="center"/>
          </w:tcPr>
          <w:p>
            <w:pPr>
              <w:spacing w:line="360" w:lineRule="auto"/>
              <w:ind w:right="-2"/>
              <w:jc w:val="center"/>
              <w:rPr>
                <w:rFonts w:ascii="宋体" w:hAnsi="宋体" w:cs="宋体"/>
                <w:szCs w:val="21"/>
              </w:rPr>
            </w:pPr>
          </w:p>
        </w:tc>
        <w:tc>
          <w:tcPr>
            <w:tcW w:w="725" w:type="pct"/>
            <w:vAlign w:val="center"/>
          </w:tcPr>
          <w:p>
            <w:pPr>
              <w:spacing w:line="360" w:lineRule="auto"/>
              <w:ind w:right="-2"/>
              <w:jc w:val="center"/>
              <w:rPr>
                <w:rFonts w:ascii="宋体" w:hAnsi="宋体" w:cs="宋体"/>
                <w:szCs w:val="21"/>
              </w:rPr>
            </w:pPr>
          </w:p>
        </w:tc>
        <w:tc>
          <w:tcPr>
            <w:tcW w:w="956" w:type="pct"/>
            <w:vAlign w:val="center"/>
          </w:tcPr>
          <w:p>
            <w:pPr>
              <w:spacing w:line="360" w:lineRule="auto"/>
              <w:ind w:right="-2"/>
              <w:jc w:val="center"/>
              <w:rPr>
                <w:rFonts w:ascii="宋体" w:hAnsi="宋体" w:cs="宋体"/>
                <w:szCs w:val="21"/>
              </w:rPr>
            </w:pPr>
          </w:p>
        </w:tc>
        <w:tc>
          <w:tcPr>
            <w:tcW w:w="956" w:type="pct"/>
            <w:vAlign w:val="center"/>
          </w:tcPr>
          <w:p>
            <w:pPr>
              <w:spacing w:line="360" w:lineRule="auto"/>
              <w:ind w:right="-2"/>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pct"/>
            <w:vAlign w:val="center"/>
          </w:tcPr>
          <w:p>
            <w:pPr>
              <w:spacing w:line="360" w:lineRule="auto"/>
              <w:ind w:right="-2"/>
              <w:jc w:val="center"/>
              <w:rPr>
                <w:rFonts w:ascii="宋体" w:hAnsi="宋体" w:cs="宋体"/>
                <w:szCs w:val="21"/>
              </w:rPr>
            </w:pPr>
          </w:p>
        </w:tc>
        <w:tc>
          <w:tcPr>
            <w:tcW w:w="528" w:type="pct"/>
            <w:vAlign w:val="center"/>
          </w:tcPr>
          <w:p>
            <w:pPr>
              <w:spacing w:line="360" w:lineRule="auto"/>
              <w:ind w:right="-2"/>
              <w:jc w:val="center"/>
              <w:rPr>
                <w:rFonts w:ascii="宋体" w:hAnsi="宋体" w:cs="宋体"/>
                <w:szCs w:val="21"/>
              </w:rPr>
            </w:pPr>
          </w:p>
        </w:tc>
        <w:tc>
          <w:tcPr>
            <w:tcW w:w="483" w:type="pct"/>
            <w:vAlign w:val="center"/>
          </w:tcPr>
          <w:p>
            <w:pPr>
              <w:spacing w:line="360" w:lineRule="auto"/>
              <w:ind w:right="-2"/>
              <w:jc w:val="center"/>
              <w:rPr>
                <w:rFonts w:ascii="宋体" w:hAnsi="宋体" w:cs="宋体"/>
                <w:szCs w:val="21"/>
              </w:rPr>
            </w:pPr>
          </w:p>
        </w:tc>
        <w:tc>
          <w:tcPr>
            <w:tcW w:w="688" w:type="pct"/>
            <w:vAlign w:val="center"/>
          </w:tcPr>
          <w:p>
            <w:pPr>
              <w:spacing w:line="360" w:lineRule="auto"/>
              <w:ind w:right="-2"/>
              <w:jc w:val="center"/>
              <w:rPr>
                <w:rFonts w:ascii="宋体" w:hAnsi="宋体" w:cs="宋体"/>
                <w:szCs w:val="21"/>
              </w:rPr>
            </w:pPr>
          </w:p>
        </w:tc>
        <w:tc>
          <w:tcPr>
            <w:tcW w:w="725" w:type="pct"/>
            <w:vAlign w:val="center"/>
          </w:tcPr>
          <w:p>
            <w:pPr>
              <w:spacing w:line="360" w:lineRule="auto"/>
              <w:ind w:right="-2"/>
              <w:jc w:val="center"/>
              <w:rPr>
                <w:rFonts w:ascii="宋体" w:hAnsi="宋体" w:cs="宋体"/>
                <w:szCs w:val="21"/>
              </w:rPr>
            </w:pPr>
          </w:p>
        </w:tc>
        <w:tc>
          <w:tcPr>
            <w:tcW w:w="956" w:type="pct"/>
            <w:vAlign w:val="center"/>
          </w:tcPr>
          <w:p>
            <w:pPr>
              <w:spacing w:line="360" w:lineRule="auto"/>
              <w:ind w:right="-2"/>
              <w:jc w:val="center"/>
              <w:rPr>
                <w:rFonts w:ascii="宋体" w:hAnsi="宋体" w:cs="宋体"/>
                <w:szCs w:val="21"/>
              </w:rPr>
            </w:pPr>
          </w:p>
        </w:tc>
        <w:tc>
          <w:tcPr>
            <w:tcW w:w="956" w:type="pct"/>
            <w:vAlign w:val="center"/>
          </w:tcPr>
          <w:p>
            <w:pPr>
              <w:spacing w:line="360" w:lineRule="auto"/>
              <w:ind w:right="-2"/>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61" w:type="pct"/>
            <w:vAlign w:val="center"/>
          </w:tcPr>
          <w:p>
            <w:pPr>
              <w:spacing w:line="360" w:lineRule="auto"/>
              <w:ind w:right="-2"/>
              <w:jc w:val="center"/>
              <w:rPr>
                <w:rFonts w:ascii="宋体" w:hAnsi="宋体" w:cs="宋体"/>
                <w:szCs w:val="21"/>
              </w:rPr>
            </w:pPr>
          </w:p>
        </w:tc>
        <w:tc>
          <w:tcPr>
            <w:tcW w:w="528" w:type="pct"/>
            <w:vAlign w:val="center"/>
          </w:tcPr>
          <w:p>
            <w:pPr>
              <w:spacing w:line="360" w:lineRule="auto"/>
              <w:ind w:right="-2"/>
              <w:jc w:val="center"/>
              <w:rPr>
                <w:rFonts w:ascii="宋体" w:hAnsi="宋体" w:cs="宋体"/>
                <w:szCs w:val="21"/>
              </w:rPr>
            </w:pPr>
          </w:p>
        </w:tc>
        <w:tc>
          <w:tcPr>
            <w:tcW w:w="483" w:type="pct"/>
            <w:vAlign w:val="center"/>
          </w:tcPr>
          <w:p>
            <w:pPr>
              <w:spacing w:line="360" w:lineRule="auto"/>
              <w:ind w:right="-2"/>
              <w:jc w:val="center"/>
              <w:rPr>
                <w:rFonts w:ascii="宋体" w:hAnsi="宋体" w:cs="宋体"/>
                <w:szCs w:val="21"/>
              </w:rPr>
            </w:pPr>
          </w:p>
        </w:tc>
        <w:tc>
          <w:tcPr>
            <w:tcW w:w="688" w:type="pct"/>
            <w:vAlign w:val="center"/>
          </w:tcPr>
          <w:p>
            <w:pPr>
              <w:spacing w:line="360" w:lineRule="auto"/>
              <w:ind w:right="-2"/>
              <w:jc w:val="center"/>
              <w:rPr>
                <w:rFonts w:ascii="宋体" w:hAnsi="宋体" w:cs="宋体"/>
                <w:szCs w:val="21"/>
              </w:rPr>
            </w:pPr>
          </w:p>
        </w:tc>
        <w:tc>
          <w:tcPr>
            <w:tcW w:w="725" w:type="pct"/>
            <w:vAlign w:val="center"/>
          </w:tcPr>
          <w:p>
            <w:pPr>
              <w:spacing w:line="360" w:lineRule="auto"/>
              <w:ind w:right="-2"/>
              <w:jc w:val="center"/>
              <w:rPr>
                <w:rFonts w:ascii="宋体" w:hAnsi="宋体" w:cs="宋体"/>
                <w:szCs w:val="21"/>
              </w:rPr>
            </w:pPr>
          </w:p>
        </w:tc>
        <w:tc>
          <w:tcPr>
            <w:tcW w:w="956" w:type="pct"/>
            <w:vAlign w:val="center"/>
          </w:tcPr>
          <w:p>
            <w:pPr>
              <w:spacing w:line="360" w:lineRule="auto"/>
              <w:ind w:right="-2"/>
              <w:jc w:val="center"/>
              <w:rPr>
                <w:rFonts w:ascii="宋体" w:hAnsi="宋体" w:cs="宋体"/>
                <w:szCs w:val="21"/>
              </w:rPr>
            </w:pPr>
          </w:p>
        </w:tc>
        <w:tc>
          <w:tcPr>
            <w:tcW w:w="956" w:type="pct"/>
            <w:vAlign w:val="center"/>
          </w:tcPr>
          <w:p>
            <w:pPr>
              <w:spacing w:line="360" w:lineRule="auto"/>
              <w:ind w:right="-2"/>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pct"/>
            <w:vAlign w:val="center"/>
          </w:tcPr>
          <w:p>
            <w:pPr>
              <w:spacing w:line="360" w:lineRule="auto"/>
              <w:ind w:right="-2"/>
              <w:jc w:val="center"/>
              <w:rPr>
                <w:rFonts w:ascii="宋体" w:hAnsi="宋体" w:cs="宋体"/>
                <w:szCs w:val="21"/>
              </w:rPr>
            </w:pPr>
          </w:p>
        </w:tc>
        <w:tc>
          <w:tcPr>
            <w:tcW w:w="528" w:type="pct"/>
            <w:vAlign w:val="center"/>
          </w:tcPr>
          <w:p>
            <w:pPr>
              <w:spacing w:line="360" w:lineRule="auto"/>
              <w:ind w:right="-2"/>
              <w:jc w:val="center"/>
              <w:rPr>
                <w:rFonts w:ascii="宋体" w:hAnsi="宋体" w:cs="宋体"/>
                <w:szCs w:val="21"/>
              </w:rPr>
            </w:pPr>
          </w:p>
        </w:tc>
        <w:tc>
          <w:tcPr>
            <w:tcW w:w="483" w:type="pct"/>
            <w:vAlign w:val="center"/>
          </w:tcPr>
          <w:p>
            <w:pPr>
              <w:spacing w:line="360" w:lineRule="auto"/>
              <w:ind w:right="-2"/>
              <w:jc w:val="center"/>
              <w:rPr>
                <w:rFonts w:ascii="宋体" w:hAnsi="宋体" w:cs="宋体"/>
                <w:szCs w:val="21"/>
              </w:rPr>
            </w:pPr>
          </w:p>
        </w:tc>
        <w:tc>
          <w:tcPr>
            <w:tcW w:w="688" w:type="pct"/>
            <w:vAlign w:val="center"/>
          </w:tcPr>
          <w:p>
            <w:pPr>
              <w:spacing w:line="360" w:lineRule="auto"/>
              <w:ind w:right="-2"/>
              <w:jc w:val="center"/>
              <w:rPr>
                <w:rFonts w:ascii="宋体" w:hAnsi="宋体" w:cs="宋体"/>
                <w:szCs w:val="21"/>
              </w:rPr>
            </w:pPr>
          </w:p>
        </w:tc>
        <w:tc>
          <w:tcPr>
            <w:tcW w:w="725" w:type="pct"/>
            <w:vAlign w:val="center"/>
          </w:tcPr>
          <w:p>
            <w:pPr>
              <w:spacing w:line="360" w:lineRule="auto"/>
              <w:ind w:right="-2"/>
              <w:jc w:val="center"/>
              <w:rPr>
                <w:rFonts w:ascii="宋体" w:hAnsi="宋体" w:cs="宋体"/>
                <w:szCs w:val="21"/>
              </w:rPr>
            </w:pPr>
          </w:p>
        </w:tc>
        <w:tc>
          <w:tcPr>
            <w:tcW w:w="956" w:type="pct"/>
            <w:vAlign w:val="center"/>
          </w:tcPr>
          <w:p>
            <w:pPr>
              <w:spacing w:line="360" w:lineRule="auto"/>
              <w:ind w:right="-2"/>
              <w:jc w:val="center"/>
              <w:rPr>
                <w:rFonts w:ascii="宋体" w:hAnsi="宋体" w:cs="宋体"/>
                <w:szCs w:val="21"/>
              </w:rPr>
            </w:pPr>
          </w:p>
        </w:tc>
        <w:tc>
          <w:tcPr>
            <w:tcW w:w="956" w:type="pct"/>
            <w:vAlign w:val="center"/>
          </w:tcPr>
          <w:p>
            <w:pPr>
              <w:spacing w:line="360" w:lineRule="auto"/>
              <w:ind w:right="-2"/>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 w:type="pct"/>
            <w:vAlign w:val="center"/>
          </w:tcPr>
          <w:p>
            <w:pPr>
              <w:spacing w:line="360" w:lineRule="auto"/>
              <w:ind w:right="-2"/>
              <w:jc w:val="center"/>
              <w:rPr>
                <w:rFonts w:ascii="宋体" w:hAnsi="宋体" w:cs="宋体"/>
                <w:szCs w:val="21"/>
              </w:rPr>
            </w:pPr>
          </w:p>
        </w:tc>
        <w:tc>
          <w:tcPr>
            <w:tcW w:w="528" w:type="pct"/>
            <w:vAlign w:val="center"/>
          </w:tcPr>
          <w:p>
            <w:pPr>
              <w:spacing w:line="360" w:lineRule="auto"/>
              <w:ind w:right="-2"/>
              <w:jc w:val="center"/>
              <w:rPr>
                <w:rFonts w:ascii="宋体" w:hAnsi="宋体" w:cs="宋体"/>
                <w:szCs w:val="21"/>
              </w:rPr>
            </w:pPr>
          </w:p>
        </w:tc>
        <w:tc>
          <w:tcPr>
            <w:tcW w:w="483" w:type="pct"/>
            <w:vAlign w:val="center"/>
          </w:tcPr>
          <w:p>
            <w:pPr>
              <w:spacing w:line="360" w:lineRule="auto"/>
              <w:ind w:right="-2"/>
              <w:jc w:val="center"/>
              <w:rPr>
                <w:rFonts w:ascii="宋体" w:hAnsi="宋体" w:cs="宋体"/>
                <w:szCs w:val="21"/>
              </w:rPr>
            </w:pPr>
          </w:p>
        </w:tc>
        <w:tc>
          <w:tcPr>
            <w:tcW w:w="688" w:type="pct"/>
            <w:vAlign w:val="center"/>
          </w:tcPr>
          <w:p>
            <w:pPr>
              <w:spacing w:line="360" w:lineRule="auto"/>
              <w:ind w:right="-2"/>
              <w:jc w:val="center"/>
              <w:rPr>
                <w:rFonts w:ascii="宋体" w:hAnsi="宋体" w:cs="宋体"/>
                <w:szCs w:val="21"/>
              </w:rPr>
            </w:pPr>
          </w:p>
        </w:tc>
        <w:tc>
          <w:tcPr>
            <w:tcW w:w="725" w:type="pct"/>
            <w:vAlign w:val="center"/>
          </w:tcPr>
          <w:p>
            <w:pPr>
              <w:spacing w:line="360" w:lineRule="auto"/>
              <w:ind w:right="-2"/>
              <w:jc w:val="center"/>
              <w:rPr>
                <w:rFonts w:ascii="宋体" w:hAnsi="宋体" w:cs="宋体"/>
                <w:szCs w:val="21"/>
              </w:rPr>
            </w:pPr>
          </w:p>
        </w:tc>
        <w:tc>
          <w:tcPr>
            <w:tcW w:w="956" w:type="pct"/>
            <w:vAlign w:val="center"/>
          </w:tcPr>
          <w:p>
            <w:pPr>
              <w:spacing w:line="360" w:lineRule="auto"/>
              <w:ind w:right="-2"/>
              <w:jc w:val="center"/>
              <w:rPr>
                <w:rFonts w:ascii="宋体" w:hAnsi="宋体" w:cs="宋体"/>
                <w:szCs w:val="21"/>
              </w:rPr>
            </w:pPr>
          </w:p>
        </w:tc>
        <w:tc>
          <w:tcPr>
            <w:tcW w:w="956" w:type="pct"/>
            <w:vAlign w:val="center"/>
          </w:tcPr>
          <w:p>
            <w:pPr>
              <w:spacing w:line="360" w:lineRule="auto"/>
              <w:ind w:right="-2"/>
              <w:jc w:val="center"/>
              <w:rPr>
                <w:rFonts w:ascii="宋体" w:hAnsi="宋体" w:cs="宋体"/>
                <w:szCs w:val="21"/>
              </w:rPr>
            </w:pPr>
          </w:p>
        </w:tc>
      </w:tr>
    </w:tbl>
    <w:p>
      <w:pPr>
        <w:rPr>
          <w:rFonts w:ascii="宋体" w:hAnsi="宋体" w:cs="宋体"/>
          <w:szCs w:val="21"/>
        </w:rPr>
      </w:pPr>
    </w:p>
    <w:p>
      <w:pPr>
        <w:rPr>
          <w:rFonts w:ascii="宋体" w:hAnsi="宋体" w:cs="宋体"/>
          <w:szCs w:val="21"/>
        </w:rPr>
      </w:pPr>
      <w:r>
        <w:rPr>
          <w:rFonts w:hint="eastAsia" w:ascii="宋体" w:hAnsi="宋体" w:cs="宋体"/>
          <w:szCs w:val="21"/>
        </w:rPr>
        <w:t>法定代表人或授权代表签字：</w:t>
      </w:r>
    </w:p>
    <w:p>
      <w:pPr>
        <w:jc w:val="right"/>
        <w:rPr>
          <w:rFonts w:ascii="宋体" w:hAnsi="宋体" w:cs="宋体"/>
          <w:szCs w:val="21"/>
        </w:rPr>
      </w:pPr>
    </w:p>
    <w:p>
      <w:pPr>
        <w:jc w:val="right"/>
        <w:rPr>
          <w:rFonts w:ascii="宋体" w:hAnsi="宋体" w:cs="宋体"/>
          <w:szCs w:val="21"/>
        </w:rPr>
      </w:pPr>
      <w:r>
        <w:rPr>
          <w:rFonts w:hint="eastAsia" w:ascii="宋体" w:hAnsi="宋体" w:cs="宋体"/>
          <w:szCs w:val="21"/>
        </w:rPr>
        <w:t>日期：     年    月     日</w:t>
      </w:r>
    </w:p>
    <w:p>
      <w:pPr>
        <w:pStyle w:val="2"/>
      </w:pPr>
    </w:p>
    <w:p>
      <w:pPr>
        <w:pStyle w:val="17"/>
        <w:numPr>
          <w:ilvl w:val="0"/>
          <w:numId w:val="0"/>
        </w:numPr>
        <w:rPr>
          <w:rFonts w:ascii="宋体" w:hAnsi="宋体" w:cs="宋体"/>
        </w:rPr>
      </w:pPr>
    </w:p>
    <w:p>
      <w:pPr>
        <w:pStyle w:val="17"/>
        <w:numPr>
          <w:ilvl w:val="0"/>
          <w:numId w:val="0"/>
        </w:numPr>
        <w:rPr>
          <w:rFonts w:ascii="宋体" w:hAnsi="宋体" w:cs="宋体"/>
        </w:rPr>
      </w:pPr>
    </w:p>
    <w:p>
      <w:pPr>
        <w:rPr>
          <w:rFonts w:ascii="宋体" w:hAnsi="宋体" w:cs="宋体"/>
        </w:rPr>
      </w:pPr>
      <w:r>
        <w:rPr>
          <w:rFonts w:hint="eastAsia" w:ascii="宋体" w:hAnsi="宋体" w:cs="宋体"/>
        </w:rPr>
        <w:t>注：需提供证书、</w:t>
      </w:r>
      <w:r>
        <w:rPr>
          <w:rFonts w:hint="eastAsia" w:ascii="楷体_GB2312" w:hAnsi="楷体_GB2312"/>
        </w:rPr>
        <w:t>身份证复印件</w:t>
      </w:r>
      <w:r>
        <w:rPr>
          <w:rFonts w:hint="eastAsia" w:ascii="宋体" w:hAnsi="宋体" w:cs="宋体"/>
        </w:rPr>
        <w:t>等相关证明材料，复印件加盖投标人公章。</w:t>
      </w:r>
    </w:p>
    <w:p>
      <w:pPr>
        <w:jc w:val="center"/>
        <w:rPr>
          <w:rFonts w:ascii="宋体" w:hAnsi="宋体" w:cs="宋体"/>
        </w:rPr>
      </w:pPr>
    </w:p>
    <w:p>
      <w:pPr>
        <w:jc w:val="center"/>
        <w:rPr>
          <w:rFonts w:ascii="宋体" w:hAnsi="宋体" w:cs="宋体"/>
        </w:rPr>
      </w:pPr>
    </w:p>
    <w:p>
      <w:pPr>
        <w:jc w:val="center"/>
        <w:rPr>
          <w:rFonts w:ascii="宋体" w:hAnsi="宋体" w:cs="宋体"/>
        </w:rPr>
      </w:pPr>
    </w:p>
    <w:p>
      <w:pPr>
        <w:jc w:val="center"/>
        <w:rPr>
          <w:rFonts w:ascii="宋体" w:hAnsi="宋体" w:cs="宋体"/>
        </w:rPr>
      </w:pPr>
    </w:p>
    <w:p>
      <w:pPr>
        <w:jc w:val="center"/>
        <w:rPr>
          <w:rFonts w:ascii="宋体" w:hAnsi="宋体" w:cs="宋体"/>
        </w:rPr>
      </w:pPr>
    </w:p>
    <w:p>
      <w:pPr>
        <w:jc w:val="center"/>
        <w:rPr>
          <w:rFonts w:ascii="宋体" w:hAnsi="宋体" w:cs="宋体"/>
        </w:rPr>
      </w:pPr>
    </w:p>
    <w:p>
      <w:pPr>
        <w:jc w:val="center"/>
        <w:rPr>
          <w:rFonts w:ascii="宋体" w:hAnsi="宋体" w:cs="宋体"/>
        </w:rPr>
      </w:pPr>
    </w:p>
    <w:p>
      <w:pPr>
        <w:jc w:val="center"/>
        <w:rPr>
          <w:rFonts w:ascii="宋体" w:hAnsi="宋体" w:cs="宋体"/>
        </w:rPr>
      </w:pPr>
    </w:p>
    <w:p>
      <w:pPr>
        <w:jc w:val="center"/>
        <w:rPr>
          <w:rFonts w:ascii="宋体" w:hAnsi="宋体" w:cs="宋体"/>
        </w:rPr>
      </w:pPr>
    </w:p>
    <w:p>
      <w:pPr>
        <w:jc w:val="center"/>
        <w:rPr>
          <w:rFonts w:ascii="宋体" w:hAnsi="宋体" w:cs="宋体"/>
        </w:rPr>
      </w:pPr>
    </w:p>
    <w:p>
      <w:pPr>
        <w:jc w:val="center"/>
        <w:rPr>
          <w:rFonts w:ascii="宋体" w:hAnsi="宋体" w:cs="宋体"/>
        </w:rPr>
      </w:pPr>
    </w:p>
    <w:p>
      <w:pPr>
        <w:jc w:val="center"/>
        <w:rPr>
          <w:rFonts w:ascii="宋体" w:hAnsi="宋体" w:cs="宋体"/>
        </w:rPr>
      </w:pPr>
    </w:p>
    <w:p>
      <w:pPr>
        <w:jc w:val="center"/>
        <w:rPr>
          <w:rFonts w:ascii="宋体" w:hAnsi="宋体" w:cs="宋体"/>
        </w:rPr>
      </w:pPr>
    </w:p>
    <w:p>
      <w:pPr>
        <w:jc w:val="center"/>
        <w:rPr>
          <w:rFonts w:ascii="宋体" w:hAnsi="宋体" w:cs="宋体"/>
        </w:rPr>
      </w:pPr>
    </w:p>
    <w:p>
      <w:pPr>
        <w:jc w:val="center"/>
        <w:rPr>
          <w:rFonts w:ascii="宋体" w:hAnsi="宋体" w:cs="宋体"/>
        </w:rPr>
      </w:pPr>
    </w:p>
    <w:p>
      <w:pPr>
        <w:jc w:val="center"/>
        <w:rPr>
          <w:rFonts w:ascii="宋体" w:hAnsi="宋体" w:cs="宋体"/>
        </w:rPr>
      </w:pPr>
    </w:p>
    <w:p>
      <w:pPr>
        <w:jc w:val="center"/>
        <w:rPr>
          <w:rFonts w:ascii="宋体" w:hAnsi="宋体" w:cs="宋体"/>
        </w:rPr>
      </w:pPr>
    </w:p>
    <w:p>
      <w:pPr>
        <w:jc w:val="center"/>
        <w:rPr>
          <w:rFonts w:ascii="宋体" w:hAnsi="宋体" w:cs="宋体"/>
        </w:rPr>
      </w:pPr>
    </w:p>
    <w:p>
      <w:pPr>
        <w:jc w:val="center"/>
        <w:rPr>
          <w:rFonts w:ascii="宋体" w:hAnsi="宋体" w:cs="宋体"/>
        </w:rPr>
      </w:pPr>
    </w:p>
    <w:p>
      <w:pPr>
        <w:spacing w:line="360" w:lineRule="auto"/>
        <w:jc w:val="center"/>
        <w:rPr>
          <w:rFonts w:ascii="宋体" w:hAnsi="宋体"/>
          <w:b/>
          <w:sz w:val="24"/>
        </w:rPr>
      </w:pPr>
    </w:p>
    <w:p>
      <w:pPr>
        <w:spacing w:line="360" w:lineRule="auto"/>
        <w:jc w:val="center"/>
        <w:rPr>
          <w:rFonts w:ascii="宋体" w:hAnsi="宋体"/>
          <w:b/>
          <w:sz w:val="24"/>
        </w:rPr>
      </w:pPr>
      <w:r>
        <w:rPr>
          <w:rFonts w:hint="eastAsia" w:ascii="宋体" w:hAnsi="宋体"/>
          <w:b/>
          <w:sz w:val="24"/>
        </w:rPr>
        <w:t>响应偏离表</w:t>
      </w:r>
    </w:p>
    <w:p>
      <w:pPr>
        <w:spacing w:line="360" w:lineRule="auto"/>
        <w:rPr>
          <w:rFonts w:ascii="宋体" w:hAnsi="宋体"/>
          <w:szCs w:val="21"/>
        </w:rPr>
      </w:pPr>
      <w:r>
        <w:rPr>
          <w:rFonts w:hint="eastAsia" w:ascii="宋体" w:hAnsi="宋体"/>
          <w:szCs w:val="21"/>
        </w:rPr>
        <w:t>项目名称：</w:t>
      </w:r>
    </w:p>
    <w:p>
      <w:pPr>
        <w:spacing w:line="360" w:lineRule="auto"/>
        <w:rPr>
          <w:rFonts w:ascii="宋体" w:hAnsi="宋体"/>
          <w:szCs w:val="21"/>
        </w:rPr>
      </w:pPr>
      <w:r>
        <w:rPr>
          <w:rFonts w:hint="eastAsia" w:ascii="宋体" w:hAnsi="宋体"/>
          <w:szCs w:val="21"/>
        </w:rPr>
        <w:t>项目编号：</w:t>
      </w:r>
    </w:p>
    <w:tbl>
      <w:tblPr>
        <w:tblStyle w:val="39"/>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325"/>
        <w:gridCol w:w="1880"/>
        <w:gridCol w:w="1404"/>
        <w:gridCol w:w="1643"/>
        <w:gridCol w:w="1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959" w:type="dxa"/>
            <w:vAlign w:val="center"/>
          </w:tcPr>
          <w:p>
            <w:pPr>
              <w:spacing w:line="320" w:lineRule="exact"/>
              <w:jc w:val="center"/>
              <w:rPr>
                <w:rFonts w:ascii="宋体" w:hAnsi="宋体"/>
                <w:szCs w:val="21"/>
              </w:rPr>
            </w:pPr>
            <w:r>
              <w:rPr>
                <w:rFonts w:hint="eastAsia" w:ascii="宋体" w:hAnsi="宋体"/>
                <w:szCs w:val="21"/>
              </w:rPr>
              <w:t>序号</w:t>
            </w:r>
          </w:p>
        </w:tc>
        <w:tc>
          <w:tcPr>
            <w:tcW w:w="2325" w:type="dxa"/>
            <w:vAlign w:val="center"/>
          </w:tcPr>
          <w:p>
            <w:pPr>
              <w:spacing w:line="320" w:lineRule="exact"/>
              <w:jc w:val="center"/>
              <w:rPr>
                <w:rFonts w:ascii="宋体" w:hAnsi="宋体"/>
                <w:szCs w:val="21"/>
              </w:rPr>
            </w:pPr>
            <w:r>
              <w:rPr>
                <w:rFonts w:hint="eastAsia" w:ascii="宋体" w:hAnsi="宋体"/>
                <w:szCs w:val="21"/>
              </w:rPr>
              <w:t>项目</w:t>
            </w:r>
          </w:p>
        </w:tc>
        <w:tc>
          <w:tcPr>
            <w:tcW w:w="1880" w:type="dxa"/>
            <w:vAlign w:val="center"/>
          </w:tcPr>
          <w:p>
            <w:pPr>
              <w:spacing w:line="360" w:lineRule="auto"/>
              <w:jc w:val="center"/>
              <w:rPr>
                <w:rFonts w:ascii="宋体" w:hAnsi="宋体"/>
                <w:szCs w:val="21"/>
              </w:rPr>
            </w:pPr>
            <w:r>
              <w:rPr>
                <w:rFonts w:hint="eastAsia" w:ascii="宋体" w:hAnsi="宋体"/>
                <w:szCs w:val="21"/>
              </w:rPr>
              <w:t>磋商要求</w:t>
            </w:r>
          </w:p>
        </w:tc>
        <w:tc>
          <w:tcPr>
            <w:tcW w:w="1404" w:type="dxa"/>
            <w:vAlign w:val="center"/>
          </w:tcPr>
          <w:p>
            <w:pPr>
              <w:spacing w:line="360" w:lineRule="auto"/>
              <w:jc w:val="center"/>
              <w:rPr>
                <w:rFonts w:ascii="宋体" w:hAnsi="宋体"/>
                <w:szCs w:val="21"/>
              </w:rPr>
            </w:pPr>
            <w:r>
              <w:rPr>
                <w:rFonts w:hint="eastAsia" w:ascii="宋体" w:hAnsi="宋体"/>
                <w:szCs w:val="21"/>
              </w:rPr>
              <w:t>响应承诺</w:t>
            </w:r>
          </w:p>
        </w:tc>
        <w:tc>
          <w:tcPr>
            <w:tcW w:w="1643" w:type="dxa"/>
            <w:vAlign w:val="center"/>
          </w:tcPr>
          <w:p>
            <w:pPr>
              <w:spacing w:line="320" w:lineRule="exact"/>
              <w:jc w:val="center"/>
              <w:rPr>
                <w:rFonts w:ascii="宋体" w:hAnsi="宋体"/>
                <w:szCs w:val="21"/>
              </w:rPr>
            </w:pPr>
            <w:r>
              <w:rPr>
                <w:rFonts w:hint="eastAsia" w:ascii="宋体" w:hAnsi="宋体"/>
                <w:szCs w:val="21"/>
              </w:rPr>
              <w:t>超出、符</w:t>
            </w:r>
          </w:p>
          <w:p>
            <w:pPr>
              <w:spacing w:line="320" w:lineRule="exact"/>
              <w:jc w:val="center"/>
              <w:rPr>
                <w:rFonts w:ascii="宋体" w:hAnsi="宋体"/>
                <w:szCs w:val="21"/>
              </w:rPr>
            </w:pPr>
            <w:r>
              <w:rPr>
                <w:rFonts w:hint="eastAsia" w:ascii="宋体" w:hAnsi="宋体"/>
                <w:szCs w:val="21"/>
              </w:rPr>
              <w:t>合或偏离</w:t>
            </w:r>
          </w:p>
        </w:tc>
        <w:tc>
          <w:tcPr>
            <w:tcW w:w="1643" w:type="dxa"/>
            <w:vAlign w:val="center"/>
          </w:tcPr>
          <w:p>
            <w:pPr>
              <w:spacing w:line="360" w:lineRule="auto"/>
              <w:jc w:val="center"/>
              <w:rPr>
                <w:rFonts w:ascii="宋体" w:hAnsi="宋体"/>
                <w:szCs w:val="21"/>
              </w:rPr>
            </w:pPr>
            <w:r>
              <w:rPr>
                <w:rFonts w:hint="eastAsia" w:ascii="宋体" w:hAnsi="宋体"/>
                <w:szCs w:val="21"/>
              </w:rPr>
              <w:t>原因或说明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9" w:type="dxa"/>
          </w:tcPr>
          <w:p>
            <w:pPr>
              <w:spacing w:line="320" w:lineRule="exact"/>
              <w:jc w:val="center"/>
              <w:rPr>
                <w:rFonts w:ascii="宋体" w:hAnsi="宋体"/>
                <w:szCs w:val="21"/>
              </w:rPr>
            </w:pPr>
            <w:r>
              <w:rPr>
                <w:rFonts w:hint="eastAsia" w:ascii="宋体" w:hAnsi="宋体"/>
                <w:szCs w:val="21"/>
              </w:rPr>
              <w:t>1</w:t>
            </w:r>
          </w:p>
        </w:tc>
        <w:tc>
          <w:tcPr>
            <w:tcW w:w="2325" w:type="dxa"/>
            <w:vAlign w:val="center"/>
          </w:tcPr>
          <w:p>
            <w:pPr>
              <w:spacing w:line="0" w:lineRule="atLeast"/>
              <w:jc w:val="center"/>
              <w:rPr>
                <w:rFonts w:ascii="宋体" w:hAnsi="宋体"/>
                <w:szCs w:val="21"/>
              </w:rPr>
            </w:pPr>
            <w:r>
              <w:rPr>
                <w:rFonts w:hint="eastAsia" w:ascii="宋体" w:hAnsi="宋体"/>
                <w:szCs w:val="21"/>
              </w:rPr>
              <w:t>工期要求</w:t>
            </w:r>
          </w:p>
        </w:tc>
        <w:tc>
          <w:tcPr>
            <w:tcW w:w="1880" w:type="dxa"/>
            <w:vAlign w:val="center"/>
          </w:tcPr>
          <w:p>
            <w:pPr>
              <w:spacing w:line="0" w:lineRule="atLeast"/>
              <w:jc w:val="center"/>
              <w:rPr>
                <w:rFonts w:ascii="宋体" w:hAnsi="宋体"/>
                <w:szCs w:val="21"/>
              </w:rPr>
            </w:pPr>
            <w:r>
              <w:rPr>
                <w:rFonts w:hint="eastAsia" w:ascii="宋体" w:hAnsi="宋体"/>
                <w:szCs w:val="21"/>
              </w:rPr>
              <w:t>合同约定工期</w:t>
            </w:r>
          </w:p>
        </w:tc>
        <w:tc>
          <w:tcPr>
            <w:tcW w:w="1404" w:type="dxa"/>
            <w:vAlign w:val="center"/>
          </w:tcPr>
          <w:p>
            <w:pPr>
              <w:spacing w:line="0" w:lineRule="atLeast"/>
              <w:jc w:val="center"/>
              <w:rPr>
                <w:rFonts w:ascii="宋体" w:hAnsi="宋体"/>
                <w:szCs w:val="21"/>
              </w:rPr>
            </w:pPr>
          </w:p>
        </w:tc>
        <w:tc>
          <w:tcPr>
            <w:tcW w:w="1643" w:type="dxa"/>
            <w:vAlign w:val="center"/>
          </w:tcPr>
          <w:p>
            <w:pPr>
              <w:spacing w:line="0" w:lineRule="atLeast"/>
              <w:jc w:val="center"/>
              <w:rPr>
                <w:rFonts w:ascii="宋体" w:hAnsi="宋体"/>
                <w:szCs w:val="21"/>
              </w:rPr>
            </w:pPr>
          </w:p>
        </w:tc>
        <w:tc>
          <w:tcPr>
            <w:tcW w:w="1643"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exact"/>
          <w:jc w:val="center"/>
        </w:trPr>
        <w:tc>
          <w:tcPr>
            <w:tcW w:w="959" w:type="dxa"/>
          </w:tcPr>
          <w:p>
            <w:pPr>
              <w:spacing w:line="320" w:lineRule="exact"/>
              <w:jc w:val="center"/>
              <w:rPr>
                <w:rFonts w:ascii="宋体" w:hAnsi="宋体"/>
                <w:szCs w:val="21"/>
              </w:rPr>
            </w:pPr>
            <w:r>
              <w:rPr>
                <w:rFonts w:hint="eastAsia" w:ascii="宋体" w:hAnsi="宋体"/>
                <w:szCs w:val="21"/>
              </w:rPr>
              <w:t>2</w:t>
            </w:r>
          </w:p>
        </w:tc>
        <w:tc>
          <w:tcPr>
            <w:tcW w:w="232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szCs w:val="21"/>
              </w:rPr>
            </w:pPr>
            <w:r>
              <w:rPr>
                <w:rFonts w:hint="eastAsia" w:ascii="宋体" w:hAnsi="宋体"/>
                <w:szCs w:val="21"/>
              </w:rPr>
              <w:t>质量承诺</w:t>
            </w:r>
          </w:p>
        </w:tc>
        <w:tc>
          <w:tcPr>
            <w:tcW w:w="1880" w:type="dxa"/>
            <w:vAlign w:val="center"/>
          </w:tcPr>
          <w:p>
            <w:pPr>
              <w:spacing w:line="0" w:lineRule="atLeast"/>
              <w:jc w:val="center"/>
              <w:rPr>
                <w:rFonts w:ascii="宋体" w:hAnsi="宋体"/>
                <w:szCs w:val="21"/>
              </w:rPr>
            </w:pPr>
            <w:r>
              <w:rPr>
                <w:rFonts w:hint="eastAsia" w:ascii="宋体" w:hAnsi="宋体"/>
                <w:szCs w:val="21"/>
              </w:rPr>
              <w:t>合格未一次性通过竣工验收，除执行合同条款外，另罚扣1000元</w:t>
            </w:r>
          </w:p>
        </w:tc>
        <w:tc>
          <w:tcPr>
            <w:tcW w:w="1404" w:type="dxa"/>
            <w:vAlign w:val="center"/>
          </w:tcPr>
          <w:p>
            <w:pPr>
              <w:spacing w:line="0" w:lineRule="atLeast"/>
              <w:jc w:val="center"/>
              <w:rPr>
                <w:rFonts w:ascii="宋体" w:hAnsi="宋体"/>
                <w:szCs w:val="21"/>
              </w:rPr>
            </w:pPr>
          </w:p>
        </w:tc>
        <w:tc>
          <w:tcPr>
            <w:tcW w:w="1643" w:type="dxa"/>
            <w:vAlign w:val="center"/>
          </w:tcPr>
          <w:p>
            <w:pPr>
              <w:spacing w:line="0" w:lineRule="atLeast"/>
              <w:jc w:val="center"/>
              <w:rPr>
                <w:rFonts w:ascii="宋体" w:hAnsi="宋体"/>
                <w:szCs w:val="21"/>
              </w:rPr>
            </w:pPr>
          </w:p>
        </w:tc>
        <w:tc>
          <w:tcPr>
            <w:tcW w:w="1643"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exact"/>
          <w:jc w:val="center"/>
        </w:trPr>
        <w:tc>
          <w:tcPr>
            <w:tcW w:w="959" w:type="dxa"/>
          </w:tcPr>
          <w:p>
            <w:pPr>
              <w:spacing w:line="320" w:lineRule="exact"/>
              <w:jc w:val="center"/>
              <w:rPr>
                <w:rFonts w:ascii="宋体" w:hAnsi="宋体"/>
                <w:szCs w:val="21"/>
              </w:rPr>
            </w:pPr>
            <w:r>
              <w:rPr>
                <w:rFonts w:hint="eastAsia" w:ascii="宋体" w:hAnsi="宋体"/>
                <w:szCs w:val="21"/>
              </w:rPr>
              <w:t>3</w:t>
            </w:r>
          </w:p>
        </w:tc>
        <w:tc>
          <w:tcPr>
            <w:tcW w:w="2325" w:type="dxa"/>
            <w:vAlign w:val="center"/>
          </w:tcPr>
          <w:p>
            <w:pPr>
              <w:spacing w:line="0" w:lineRule="atLeast"/>
              <w:jc w:val="center"/>
              <w:rPr>
                <w:rFonts w:ascii="宋体" w:hAnsi="宋体"/>
                <w:szCs w:val="21"/>
              </w:rPr>
            </w:pPr>
            <w:r>
              <w:rPr>
                <w:rFonts w:hint="eastAsia" w:ascii="宋体" w:hAnsi="宋体"/>
                <w:szCs w:val="21"/>
              </w:rPr>
              <w:t>延期赔偿金额</w:t>
            </w:r>
          </w:p>
        </w:tc>
        <w:tc>
          <w:tcPr>
            <w:tcW w:w="1880" w:type="dxa"/>
            <w:vAlign w:val="center"/>
          </w:tcPr>
          <w:p>
            <w:pPr>
              <w:spacing w:line="0" w:lineRule="atLeast"/>
              <w:jc w:val="center"/>
              <w:rPr>
                <w:rFonts w:ascii="宋体" w:hAnsi="宋体"/>
                <w:szCs w:val="21"/>
              </w:rPr>
            </w:pPr>
            <w:r>
              <w:rPr>
                <w:rFonts w:hint="eastAsia" w:ascii="宋体" w:hAnsi="宋体"/>
                <w:szCs w:val="21"/>
              </w:rPr>
              <w:t>每延期一天罚扣1000元，超期10天加倍罚扣</w:t>
            </w:r>
          </w:p>
        </w:tc>
        <w:tc>
          <w:tcPr>
            <w:tcW w:w="1404" w:type="dxa"/>
            <w:vAlign w:val="center"/>
          </w:tcPr>
          <w:p>
            <w:pPr>
              <w:spacing w:line="0" w:lineRule="atLeast"/>
              <w:jc w:val="center"/>
              <w:rPr>
                <w:rFonts w:ascii="宋体" w:hAnsi="宋体"/>
                <w:szCs w:val="21"/>
              </w:rPr>
            </w:pPr>
          </w:p>
        </w:tc>
        <w:tc>
          <w:tcPr>
            <w:tcW w:w="1643" w:type="dxa"/>
            <w:vAlign w:val="center"/>
          </w:tcPr>
          <w:p>
            <w:pPr>
              <w:spacing w:line="0" w:lineRule="atLeast"/>
              <w:jc w:val="center"/>
              <w:rPr>
                <w:rFonts w:ascii="宋体" w:hAnsi="宋体"/>
                <w:szCs w:val="21"/>
              </w:rPr>
            </w:pPr>
          </w:p>
        </w:tc>
        <w:tc>
          <w:tcPr>
            <w:tcW w:w="1643"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9" w:type="dxa"/>
          </w:tcPr>
          <w:p>
            <w:pPr>
              <w:spacing w:line="360" w:lineRule="auto"/>
              <w:jc w:val="center"/>
              <w:rPr>
                <w:rFonts w:ascii="宋体" w:hAnsi="宋体"/>
                <w:szCs w:val="21"/>
              </w:rPr>
            </w:pPr>
            <w:r>
              <w:rPr>
                <w:rFonts w:hint="eastAsia" w:ascii="宋体" w:hAnsi="宋体"/>
                <w:szCs w:val="21"/>
              </w:rPr>
              <w:t>4</w:t>
            </w:r>
          </w:p>
        </w:tc>
        <w:tc>
          <w:tcPr>
            <w:tcW w:w="2325" w:type="dxa"/>
            <w:vAlign w:val="center"/>
          </w:tcPr>
          <w:p>
            <w:pPr>
              <w:spacing w:line="0" w:lineRule="atLeast"/>
              <w:jc w:val="center"/>
              <w:rPr>
                <w:rFonts w:ascii="宋体" w:hAnsi="宋体"/>
                <w:szCs w:val="21"/>
              </w:rPr>
            </w:pPr>
            <w:r>
              <w:rPr>
                <w:rFonts w:hint="eastAsia" w:ascii="宋体" w:hAnsi="宋体"/>
                <w:szCs w:val="21"/>
              </w:rPr>
              <w:t>安全承诺</w:t>
            </w:r>
          </w:p>
        </w:tc>
        <w:tc>
          <w:tcPr>
            <w:tcW w:w="1880" w:type="dxa"/>
            <w:vAlign w:val="center"/>
          </w:tcPr>
          <w:p>
            <w:pPr>
              <w:spacing w:line="0" w:lineRule="atLeast"/>
              <w:jc w:val="center"/>
              <w:rPr>
                <w:rFonts w:ascii="宋体" w:hAnsi="宋体"/>
                <w:szCs w:val="21"/>
              </w:rPr>
            </w:pPr>
            <w:r>
              <w:rPr>
                <w:rFonts w:hint="eastAsia" w:ascii="宋体" w:hAnsi="宋体"/>
                <w:szCs w:val="21"/>
              </w:rPr>
              <w:t>与工程相关的一切安全责任由我方负责</w:t>
            </w:r>
          </w:p>
        </w:tc>
        <w:tc>
          <w:tcPr>
            <w:tcW w:w="1404" w:type="dxa"/>
            <w:vAlign w:val="center"/>
          </w:tcPr>
          <w:p>
            <w:pPr>
              <w:spacing w:line="0" w:lineRule="atLeast"/>
              <w:jc w:val="center"/>
              <w:rPr>
                <w:rFonts w:ascii="宋体" w:hAnsi="宋体"/>
                <w:szCs w:val="21"/>
              </w:rPr>
            </w:pPr>
          </w:p>
        </w:tc>
        <w:tc>
          <w:tcPr>
            <w:tcW w:w="1643" w:type="dxa"/>
            <w:vAlign w:val="center"/>
          </w:tcPr>
          <w:p>
            <w:pPr>
              <w:spacing w:line="0" w:lineRule="atLeast"/>
              <w:jc w:val="center"/>
              <w:rPr>
                <w:rFonts w:ascii="宋体" w:hAnsi="宋体"/>
                <w:szCs w:val="21"/>
              </w:rPr>
            </w:pPr>
          </w:p>
        </w:tc>
        <w:tc>
          <w:tcPr>
            <w:tcW w:w="1643"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9" w:type="dxa"/>
          </w:tcPr>
          <w:p>
            <w:pPr>
              <w:spacing w:line="360" w:lineRule="auto"/>
              <w:jc w:val="center"/>
              <w:rPr>
                <w:rFonts w:ascii="宋体" w:hAnsi="宋体"/>
                <w:szCs w:val="21"/>
              </w:rPr>
            </w:pPr>
            <w:r>
              <w:rPr>
                <w:rFonts w:hint="eastAsia" w:ascii="宋体" w:hAnsi="宋体"/>
                <w:szCs w:val="21"/>
              </w:rPr>
              <w:t>5</w:t>
            </w:r>
          </w:p>
        </w:tc>
        <w:tc>
          <w:tcPr>
            <w:tcW w:w="2325" w:type="dxa"/>
            <w:vAlign w:val="center"/>
          </w:tcPr>
          <w:p>
            <w:pPr>
              <w:spacing w:line="0" w:lineRule="atLeast"/>
              <w:jc w:val="center"/>
              <w:rPr>
                <w:rFonts w:ascii="宋体" w:hAnsi="宋体"/>
                <w:szCs w:val="21"/>
              </w:rPr>
            </w:pPr>
            <w:r>
              <w:rPr>
                <w:rFonts w:hint="eastAsia" w:ascii="宋体" w:hAnsi="宋体"/>
                <w:szCs w:val="21"/>
              </w:rPr>
              <w:t>主要保修项目及保修期</w:t>
            </w:r>
          </w:p>
        </w:tc>
        <w:tc>
          <w:tcPr>
            <w:tcW w:w="1880" w:type="dxa"/>
            <w:vAlign w:val="center"/>
          </w:tcPr>
          <w:p>
            <w:pPr>
              <w:spacing w:line="0" w:lineRule="atLeast"/>
              <w:jc w:val="center"/>
              <w:rPr>
                <w:rFonts w:ascii="宋体" w:hAnsi="宋体"/>
                <w:szCs w:val="21"/>
              </w:rPr>
            </w:pPr>
            <w:r>
              <w:rPr>
                <w:rFonts w:hint="eastAsia" w:ascii="宋体" w:hAnsi="宋体"/>
                <w:szCs w:val="21"/>
              </w:rPr>
              <w:t>竣工验收后二年</w:t>
            </w:r>
          </w:p>
        </w:tc>
        <w:tc>
          <w:tcPr>
            <w:tcW w:w="1404" w:type="dxa"/>
            <w:vAlign w:val="center"/>
          </w:tcPr>
          <w:p>
            <w:pPr>
              <w:spacing w:line="0" w:lineRule="atLeast"/>
              <w:jc w:val="center"/>
              <w:rPr>
                <w:rFonts w:ascii="宋体" w:hAnsi="宋体"/>
                <w:szCs w:val="21"/>
              </w:rPr>
            </w:pPr>
          </w:p>
        </w:tc>
        <w:tc>
          <w:tcPr>
            <w:tcW w:w="1643" w:type="dxa"/>
            <w:vAlign w:val="center"/>
          </w:tcPr>
          <w:p>
            <w:pPr>
              <w:spacing w:line="0" w:lineRule="atLeast"/>
              <w:jc w:val="center"/>
              <w:rPr>
                <w:rFonts w:ascii="宋体" w:hAnsi="宋体"/>
                <w:szCs w:val="21"/>
              </w:rPr>
            </w:pPr>
          </w:p>
        </w:tc>
        <w:tc>
          <w:tcPr>
            <w:tcW w:w="1643"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9" w:type="dxa"/>
          </w:tcPr>
          <w:p>
            <w:pPr>
              <w:spacing w:line="360" w:lineRule="auto"/>
              <w:rPr>
                <w:rFonts w:ascii="宋体" w:hAnsi="宋体"/>
                <w:szCs w:val="21"/>
              </w:rPr>
            </w:pPr>
          </w:p>
        </w:tc>
        <w:tc>
          <w:tcPr>
            <w:tcW w:w="2325" w:type="dxa"/>
            <w:vAlign w:val="center"/>
          </w:tcPr>
          <w:p>
            <w:pPr>
              <w:spacing w:line="0" w:lineRule="atLeast"/>
              <w:jc w:val="center"/>
              <w:rPr>
                <w:rFonts w:ascii="宋体" w:hAnsi="宋体"/>
                <w:szCs w:val="21"/>
              </w:rPr>
            </w:pPr>
          </w:p>
        </w:tc>
        <w:tc>
          <w:tcPr>
            <w:tcW w:w="1880" w:type="dxa"/>
            <w:vAlign w:val="center"/>
          </w:tcPr>
          <w:p>
            <w:pPr>
              <w:spacing w:line="0" w:lineRule="atLeast"/>
              <w:jc w:val="center"/>
              <w:rPr>
                <w:rFonts w:ascii="宋体" w:hAnsi="宋体"/>
                <w:szCs w:val="21"/>
              </w:rPr>
            </w:pPr>
          </w:p>
        </w:tc>
        <w:tc>
          <w:tcPr>
            <w:tcW w:w="1404" w:type="dxa"/>
            <w:vAlign w:val="center"/>
          </w:tcPr>
          <w:p>
            <w:pPr>
              <w:spacing w:line="0" w:lineRule="atLeast"/>
              <w:jc w:val="center"/>
              <w:rPr>
                <w:rFonts w:ascii="宋体" w:hAnsi="宋体"/>
                <w:szCs w:val="21"/>
              </w:rPr>
            </w:pPr>
          </w:p>
        </w:tc>
        <w:tc>
          <w:tcPr>
            <w:tcW w:w="1643" w:type="dxa"/>
            <w:vAlign w:val="center"/>
          </w:tcPr>
          <w:p>
            <w:pPr>
              <w:spacing w:line="0" w:lineRule="atLeast"/>
              <w:jc w:val="center"/>
              <w:rPr>
                <w:rFonts w:ascii="宋体" w:hAnsi="宋体"/>
                <w:szCs w:val="21"/>
              </w:rPr>
            </w:pPr>
          </w:p>
        </w:tc>
        <w:tc>
          <w:tcPr>
            <w:tcW w:w="1643"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9" w:type="dxa"/>
          </w:tcPr>
          <w:p>
            <w:pPr>
              <w:spacing w:line="360" w:lineRule="auto"/>
              <w:rPr>
                <w:rFonts w:ascii="宋体" w:hAnsi="宋体"/>
                <w:szCs w:val="21"/>
              </w:rPr>
            </w:pPr>
          </w:p>
        </w:tc>
        <w:tc>
          <w:tcPr>
            <w:tcW w:w="2325" w:type="dxa"/>
            <w:vAlign w:val="center"/>
          </w:tcPr>
          <w:p>
            <w:pPr>
              <w:spacing w:line="0" w:lineRule="atLeast"/>
              <w:jc w:val="center"/>
              <w:rPr>
                <w:rFonts w:ascii="宋体" w:hAnsi="宋体"/>
                <w:szCs w:val="21"/>
              </w:rPr>
            </w:pPr>
            <w:r>
              <w:rPr>
                <w:rFonts w:hint="eastAsia" w:ascii="宋体" w:hAnsi="宋体"/>
                <w:szCs w:val="21"/>
              </w:rPr>
              <w:t>……</w:t>
            </w:r>
          </w:p>
        </w:tc>
        <w:tc>
          <w:tcPr>
            <w:tcW w:w="1880" w:type="dxa"/>
            <w:vAlign w:val="center"/>
          </w:tcPr>
          <w:p>
            <w:pPr>
              <w:spacing w:line="0" w:lineRule="atLeast"/>
              <w:jc w:val="center"/>
              <w:rPr>
                <w:rFonts w:ascii="宋体" w:hAnsi="宋体"/>
                <w:szCs w:val="21"/>
              </w:rPr>
            </w:pPr>
          </w:p>
        </w:tc>
        <w:tc>
          <w:tcPr>
            <w:tcW w:w="1404" w:type="dxa"/>
            <w:vAlign w:val="center"/>
          </w:tcPr>
          <w:p>
            <w:pPr>
              <w:spacing w:line="0" w:lineRule="atLeast"/>
              <w:jc w:val="center"/>
              <w:rPr>
                <w:rFonts w:ascii="宋体" w:hAnsi="宋体"/>
                <w:szCs w:val="21"/>
              </w:rPr>
            </w:pPr>
          </w:p>
        </w:tc>
        <w:tc>
          <w:tcPr>
            <w:tcW w:w="1643" w:type="dxa"/>
            <w:vAlign w:val="center"/>
          </w:tcPr>
          <w:p>
            <w:pPr>
              <w:spacing w:line="0" w:lineRule="atLeast"/>
              <w:jc w:val="center"/>
              <w:rPr>
                <w:rFonts w:ascii="宋体" w:hAnsi="宋体"/>
                <w:szCs w:val="21"/>
              </w:rPr>
            </w:pPr>
          </w:p>
        </w:tc>
        <w:tc>
          <w:tcPr>
            <w:tcW w:w="1643"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59" w:type="dxa"/>
          </w:tcPr>
          <w:p>
            <w:pPr>
              <w:spacing w:line="360" w:lineRule="auto"/>
              <w:rPr>
                <w:rFonts w:ascii="宋体" w:hAnsi="宋体"/>
                <w:szCs w:val="21"/>
              </w:rPr>
            </w:pPr>
          </w:p>
        </w:tc>
        <w:tc>
          <w:tcPr>
            <w:tcW w:w="2325" w:type="dxa"/>
          </w:tcPr>
          <w:p>
            <w:pPr>
              <w:spacing w:line="320" w:lineRule="exact"/>
              <w:jc w:val="center"/>
              <w:rPr>
                <w:rFonts w:ascii="宋体" w:hAnsi="宋体"/>
                <w:szCs w:val="21"/>
              </w:rPr>
            </w:pPr>
            <w:r>
              <w:rPr>
                <w:rFonts w:hint="eastAsia" w:ascii="宋体" w:hAnsi="宋体"/>
                <w:szCs w:val="21"/>
              </w:rPr>
              <w:t>其他</w:t>
            </w:r>
          </w:p>
        </w:tc>
        <w:tc>
          <w:tcPr>
            <w:tcW w:w="1880" w:type="dxa"/>
          </w:tcPr>
          <w:p>
            <w:pPr>
              <w:spacing w:line="360" w:lineRule="auto"/>
              <w:rPr>
                <w:rFonts w:ascii="宋体" w:hAnsi="宋体"/>
                <w:szCs w:val="21"/>
              </w:rPr>
            </w:pPr>
          </w:p>
        </w:tc>
        <w:tc>
          <w:tcPr>
            <w:tcW w:w="1404" w:type="dxa"/>
          </w:tcPr>
          <w:p>
            <w:pPr>
              <w:spacing w:line="360" w:lineRule="auto"/>
              <w:rPr>
                <w:rFonts w:ascii="宋体" w:hAnsi="宋体"/>
                <w:szCs w:val="21"/>
              </w:rPr>
            </w:pPr>
          </w:p>
        </w:tc>
        <w:tc>
          <w:tcPr>
            <w:tcW w:w="1643" w:type="dxa"/>
          </w:tcPr>
          <w:p>
            <w:pPr>
              <w:spacing w:line="360" w:lineRule="auto"/>
              <w:rPr>
                <w:rFonts w:ascii="宋体" w:hAnsi="宋体"/>
                <w:szCs w:val="21"/>
              </w:rPr>
            </w:pPr>
          </w:p>
        </w:tc>
        <w:tc>
          <w:tcPr>
            <w:tcW w:w="1643" w:type="dxa"/>
          </w:tcPr>
          <w:p>
            <w:pPr>
              <w:spacing w:line="360" w:lineRule="auto"/>
              <w:rPr>
                <w:rFonts w:ascii="宋体" w:hAnsi="宋体"/>
                <w:szCs w:val="21"/>
              </w:rPr>
            </w:pPr>
          </w:p>
        </w:tc>
      </w:tr>
    </w:tbl>
    <w:p>
      <w:pPr>
        <w:spacing w:line="360" w:lineRule="auto"/>
        <w:rPr>
          <w:rFonts w:ascii="宋体" w:hAnsi="宋体"/>
          <w:bCs/>
          <w:szCs w:val="21"/>
        </w:rPr>
      </w:pPr>
      <w:r>
        <w:rPr>
          <w:rFonts w:hint="eastAsia" w:ascii="宋体" w:hAnsi="宋体"/>
          <w:bCs/>
          <w:szCs w:val="21"/>
        </w:rPr>
        <w:t>法定代表人或授权代表（签字或盖章）：</w:t>
      </w:r>
    </w:p>
    <w:p>
      <w:pPr>
        <w:spacing w:line="360" w:lineRule="auto"/>
        <w:rPr>
          <w:rFonts w:ascii="宋体" w:hAnsi="宋体"/>
          <w:bCs/>
          <w:szCs w:val="21"/>
        </w:rPr>
      </w:pPr>
      <w:r>
        <w:rPr>
          <w:rFonts w:hint="eastAsia" w:ascii="宋体" w:hAnsi="宋体"/>
          <w:bCs/>
          <w:szCs w:val="21"/>
        </w:rPr>
        <w:t>磋商供应商全称（盖章）：</w:t>
      </w:r>
    </w:p>
    <w:p>
      <w:pPr>
        <w:spacing w:line="360" w:lineRule="auto"/>
        <w:rPr>
          <w:rFonts w:ascii="宋体" w:hAnsi="宋体"/>
          <w:bCs/>
          <w:szCs w:val="21"/>
        </w:rPr>
      </w:pPr>
      <w:r>
        <w:rPr>
          <w:rFonts w:hint="eastAsia" w:ascii="宋体" w:hAnsi="宋体"/>
          <w:bCs/>
          <w:szCs w:val="21"/>
        </w:rPr>
        <w:t>日   期：  年   月  日</w:t>
      </w:r>
    </w:p>
    <w:p>
      <w:pPr>
        <w:jc w:val="center"/>
        <w:rPr>
          <w:rFonts w:ascii="宋体" w:hAnsi="宋体" w:cs="宋体"/>
        </w:rPr>
      </w:pPr>
      <w:r>
        <w:rPr>
          <w:rFonts w:hint="eastAsia" w:ascii="宋体" w:hAnsi="宋体"/>
          <w:bCs/>
          <w:szCs w:val="21"/>
        </w:rPr>
        <w:t>注：供应商应按照磋商文件中要求的技术要求指标逐项、详细、真实的填写。行数不够可以添加，有具体参数的应填写详细参数，否则该响应文件可能被拒绝。</w:t>
      </w:r>
    </w:p>
    <w:p>
      <w:pPr>
        <w:jc w:val="center"/>
        <w:rPr>
          <w:rFonts w:cs="楷体_GB2312" w:asciiTheme="minorEastAsia" w:hAnsiTheme="minorEastAsia" w:eastAsiaTheme="minorEastAsia"/>
          <w:b/>
          <w:sz w:val="44"/>
          <w:szCs w:val="44"/>
        </w:rPr>
      </w:pPr>
    </w:p>
    <w:p>
      <w:pPr>
        <w:jc w:val="center"/>
        <w:rPr>
          <w:rFonts w:cs="楷体_GB2312" w:asciiTheme="minorEastAsia" w:hAnsiTheme="minorEastAsia" w:eastAsiaTheme="minorEastAsia"/>
          <w:b/>
          <w:sz w:val="44"/>
          <w:szCs w:val="44"/>
        </w:rPr>
      </w:pPr>
    </w:p>
    <w:p>
      <w:pPr>
        <w:jc w:val="center"/>
        <w:rPr>
          <w:rFonts w:cs="楷体_GB2312" w:asciiTheme="minorEastAsia" w:hAnsiTheme="minorEastAsia" w:eastAsiaTheme="minorEastAsia"/>
          <w:b/>
          <w:sz w:val="44"/>
          <w:szCs w:val="44"/>
        </w:rPr>
      </w:pPr>
    </w:p>
    <w:p>
      <w:pPr>
        <w:jc w:val="center"/>
        <w:rPr>
          <w:rFonts w:cs="楷体_GB2312" w:asciiTheme="minorEastAsia" w:hAnsiTheme="minorEastAsia" w:eastAsiaTheme="minorEastAsia"/>
          <w:b/>
          <w:sz w:val="44"/>
          <w:szCs w:val="44"/>
        </w:rPr>
      </w:pPr>
    </w:p>
    <w:p>
      <w:pPr>
        <w:jc w:val="center"/>
        <w:rPr>
          <w:rFonts w:cs="楷体_GB2312" w:asciiTheme="minorEastAsia" w:hAnsiTheme="minorEastAsia" w:eastAsiaTheme="minorEastAsia"/>
          <w:b/>
          <w:sz w:val="44"/>
          <w:szCs w:val="44"/>
        </w:rPr>
      </w:pPr>
    </w:p>
    <w:p>
      <w:pPr>
        <w:jc w:val="center"/>
        <w:rPr>
          <w:rFonts w:cs="楷体_GB2312" w:asciiTheme="minorEastAsia" w:hAnsiTheme="minorEastAsia" w:eastAsiaTheme="minorEastAsia"/>
          <w:b/>
          <w:sz w:val="44"/>
          <w:szCs w:val="44"/>
        </w:rPr>
      </w:pPr>
    </w:p>
    <w:p>
      <w:pPr>
        <w:jc w:val="center"/>
        <w:rPr>
          <w:rFonts w:cs="楷体_GB2312" w:asciiTheme="minorEastAsia" w:hAnsiTheme="minorEastAsia" w:eastAsiaTheme="minorEastAsia"/>
          <w:b/>
          <w:sz w:val="44"/>
          <w:szCs w:val="44"/>
        </w:rPr>
      </w:pPr>
    </w:p>
    <w:p>
      <w:pPr>
        <w:jc w:val="center"/>
        <w:rPr>
          <w:rFonts w:cs="楷体_GB2312" w:asciiTheme="minorEastAsia" w:hAnsiTheme="minorEastAsia" w:eastAsiaTheme="minorEastAsia"/>
          <w:b/>
          <w:sz w:val="44"/>
          <w:szCs w:val="44"/>
        </w:rPr>
      </w:pPr>
      <w:r>
        <w:rPr>
          <w:rFonts w:hint="eastAsia" w:cs="楷体_GB2312" w:asciiTheme="minorEastAsia" w:hAnsiTheme="minorEastAsia" w:eastAsiaTheme="minorEastAsia"/>
          <w:b/>
          <w:sz w:val="44"/>
          <w:szCs w:val="44"/>
        </w:rPr>
        <w:t>供应商参加谈判确认函</w:t>
      </w:r>
    </w:p>
    <w:p>
      <w:pPr>
        <w:rPr>
          <w:rFonts w:cs="楷体_GB2312" w:asciiTheme="minorEastAsia" w:hAnsiTheme="minorEastAsia" w:eastAsiaTheme="minorEastAsia"/>
          <w:sz w:val="32"/>
          <w:szCs w:val="32"/>
        </w:rPr>
      </w:pPr>
      <w:r>
        <w:rPr>
          <w:rFonts w:hint="eastAsia" w:cs="楷体_GB2312" w:asciiTheme="minorEastAsia" w:hAnsiTheme="minorEastAsia" w:eastAsiaTheme="minorEastAsia"/>
          <w:sz w:val="32"/>
          <w:szCs w:val="32"/>
        </w:rPr>
        <w:t>江苏唯诚建设咨询有限公司：</w:t>
      </w:r>
    </w:p>
    <w:p>
      <w:pPr>
        <w:rPr>
          <w:rFonts w:cs="楷体_GB2312" w:asciiTheme="minorEastAsia" w:hAnsiTheme="minorEastAsia" w:eastAsiaTheme="minorEastAsia"/>
          <w:sz w:val="32"/>
          <w:szCs w:val="32"/>
        </w:rPr>
      </w:pPr>
      <w:r>
        <w:rPr>
          <w:rFonts w:hint="eastAsia" w:cs="楷体_GB2312" w:asciiTheme="minorEastAsia" w:hAnsiTheme="minorEastAsia" w:eastAsiaTheme="minorEastAsia"/>
          <w:sz w:val="32"/>
          <w:szCs w:val="32"/>
        </w:rPr>
        <w:t>　　本单位将参加贵公司于月日开标的采购编号为的项目的谈判。本单位已在网站成功下载标书，特发函确认。</w:t>
      </w:r>
    </w:p>
    <w:p>
      <w:pPr>
        <w:ind w:left="4160" w:hanging="4160" w:hangingChars="1300"/>
        <w:rPr>
          <w:rFonts w:cs="楷体_GB2312" w:asciiTheme="minorEastAsia" w:hAnsiTheme="minorEastAsia" w:eastAsiaTheme="minorEastAsia"/>
          <w:sz w:val="32"/>
          <w:szCs w:val="32"/>
        </w:rPr>
      </w:pPr>
      <w:r>
        <w:rPr>
          <w:rFonts w:hint="eastAsia" w:cs="楷体_GB2312" w:asciiTheme="minorEastAsia" w:hAnsiTheme="minorEastAsia" w:eastAsiaTheme="minorEastAsia"/>
          <w:sz w:val="32"/>
          <w:szCs w:val="32"/>
        </w:rPr>
        <w:t xml:space="preserve">　　　　　　          </w:t>
      </w:r>
      <w:r>
        <w:rPr>
          <w:rFonts w:hint="eastAsia" w:cs="楷体_GB2312" w:asciiTheme="minorEastAsia" w:hAnsiTheme="minorEastAsia" w:eastAsiaTheme="minorEastAsia"/>
          <w:sz w:val="32"/>
          <w:szCs w:val="32"/>
          <w:u w:val="single"/>
        </w:rPr>
        <w:t xml:space="preserve">  　             </w:t>
      </w:r>
      <w:r>
        <w:rPr>
          <w:rFonts w:hint="eastAsia" w:cs="楷体_GB2312" w:asciiTheme="minorEastAsia" w:hAnsiTheme="minorEastAsia" w:eastAsiaTheme="minorEastAsia"/>
          <w:sz w:val="32"/>
          <w:szCs w:val="32"/>
        </w:rPr>
        <w:t>（单位公章）</w:t>
      </w:r>
    </w:p>
    <w:p>
      <w:pPr>
        <w:pBdr>
          <w:bottom w:val="single" w:color="auto" w:sz="6" w:space="1"/>
        </w:pBdr>
        <w:ind w:left="5280" w:hanging="5280" w:hangingChars="1650"/>
        <w:rPr>
          <w:rFonts w:cs="楷体_GB2312" w:asciiTheme="minorEastAsia" w:hAnsiTheme="minorEastAsia" w:eastAsiaTheme="minorEastAsia"/>
          <w:sz w:val="32"/>
          <w:szCs w:val="32"/>
        </w:rPr>
      </w:pPr>
      <w:r>
        <w:rPr>
          <w:rFonts w:hint="eastAsia" w:cs="楷体_GB2312" w:asciiTheme="minorEastAsia" w:hAnsiTheme="minorEastAsia" w:eastAsiaTheme="minorEastAsia"/>
          <w:sz w:val="32"/>
          <w:szCs w:val="32"/>
        </w:rPr>
        <w:t>　　　　　　　　　　　　　    　年　　　月　　　日</w:t>
      </w:r>
    </w:p>
    <w:p>
      <w:pPr>
        <w:ind w:left="5280" w:hanging="5280" w:hangingChars="1650"/>
        <w:rPr>
          <w:rFonts w:cs="楷体_GB2312" w:asciiTheme="minorEastAsia" w:hAnsiTheme="minorEastAsia" w:eastAsiaTheme="minorEastAsia"/>
          <w:sz w:val="32"/>
          <w:szCs w:val="32"/>
        </w:rPr>
      </w:pPr>
      <w:r>
        <w:rPr>
          <w:rFonts w:hint="eastAsia" w:cs="楷体_GB2312" w:asciiTheme="minorEastAsia" w:hAnsiTheme="minorEastAsia" w:eastAsiaTheme="minorEastAsia"/>
          <w:sz w:val="32"/>
          <w:szCs w:val="32"/>
        </w:rPr>
        <w:t>附：</w:t>
      </w:r>
    </w:p>
    <w:p>
      <w:pPr>
        <w:ind w:left="5963" w:hanging="5963" w:hangingChars="1650"/>
        <w:jc w:val="center"/>
        <w:rPr>
          <w:rFonts w:cs="楷体_GB2312" w:asciiTheme="minorEastAsia" w:hAnsiTheme="minorEastAsia" w:eastAsiaTheme="minorEastAsia"/>
          <w:b/>
          <w:sz w:val="36"/>
          <w:szCs w:val="36"/>
        </w:rPr>
      </w:pPr>
      <w:r>
        <w:rPr>
          <w:rFonts w:hint="eastAsia" w:cs="楷体_GB2312" w:asciiTheme="minorEastAsia" w:hAnsiTheme="minorEastAsia" w:eastAsiaTheme="minorEastAsia"/>
          <w:b/>
          <w:sz w:val="36"/>
          <w:szCs w:val="36"/>
        </w:rPr>
        <w:t>供应商联系表</w:t>
      </w:r>
    </w:p>
    <w:tbl>
      <w:tblPr>
        <w:tblStyle w:val="39"/>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7"/>
        <w:gridCol w:w="2551"/>
        <w:gridCol w:w="2550"/>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7" w:type="dxa"/>
          </w:tcPr>
          <w:p>
            <w:pPr>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单位名称</w:t>
            </w:r>
          </w:p>
        </w:tc>
        <w:tc>
          <w:tcPr>
            <w:tcW w:w="7330" w:type="dxa"/>
            <w:gridSpan w:val="3"/>
          </w:tcPr>
          <w:p>
            <w:pPr>
              <w:jc w:val="center"/>
              <w:rPr>
                <w:rFonts w:cs="楷体_GB2312"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7" w:type="dxa"/>
          </w:tcPr>
          <w:p>
            <w:pPr>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单位地址</w:t>
            </w:r>
          </w:p>
        </w:tc>
        <w:tc>
          <w:tcPr>
            <w:tcW w:w="7330" w:type="dxa"/>
            <w:gridSpan w:val="3"/>
          </w:tcPr>
          <w:p>
            <w:pPr>
              <w:jc w:val="center"/>
              <w:rPr>
                <w:rFonts w:cs="楷体_GB2312"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7" w:type="dxa"/>
          </w:tcPr>
          <w:p>
            <w:pPr>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法定代表人</w:t>
            </w:r>
          </w:p>
        </w:tc>
        <w:tc>
          <w:tcPr>
            <w:tcW w:w="2551" w:type="dxa"/>
          </w:tcPr>
          <w:p>
            <w:pPr>
              <w:rPr>
                <w:rFonts w:cs="楷体_GB2312" w:asciiTheme="minorEastAsia" w:hAnsiTheme="minorEastAsia" w:eastAsiaTheme="minorEastAsia"/>
                <w:sz w:val="28"/>
                <w:szCs w:val="28"/>
              </w:rPr>
            </w:pPr>
          </w:p>
        </w:tc>
        <w:tc>
          <w:tcPr>
            <w:tcW w:w="2550" w:type="dxa"/>
          </w:tcPr>
          <w:p>
            <w:pPr>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邮    编</w:t>
            </w:r>
          </w:p>
        </w:tc>
        <w:tc>
          <w:tcPr>
            <w:tcW w:w="2229" w:type="dxa"/>
          </w:tcPr>
          <w:p>
            <w:pPr>
              <w:jc w:val="center"/>
              <w:rPr>
                <w:rFonts w:cs="楷体_GB2312"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7" w:type="dxa"/>
          </w:tcPr>
          <w:p>
            <w:pPr>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单位电话</w:t>
            </w:r>
          </w:p>
        </w:tc>
        <w:tc>
          <w:tcPr>
            <w:tcW w:w="2551" w:type="dxa"/>
          </w:tcPr>
          <w:p>
            <w:pPr>
              <w:jc w:val="center"/>
              <w:rPr>
                <w:rFonts w:cs="楷体_GB2312" w:asciiTheme="minorEastAsia" w:hAnsiTheme="minorEastAsia" w:eastAsiaTheme="minorEastAsia"/>
                <w:sz w:val="28"/>
                <w:szCs w:val="28"/>
              </w:rPr>
            </w:pPr>
          </w:p>
        </w:tc>
        <w:tc>
          <w:tcPr>
            <w:tcW w:w="2550" w:type="dxa"/>
          </w:tcPr>
          <w:p>
            <w:pPr>
              <w:jc w:val="left"/>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传真号码</w:t>
            </w:r>
          </w:p>
        </w:tc>
        <w:tc>
          <w:tcPr>
            <w:tcW w:w="2229" w:type="dxa"/>
          </w:tcPr>
          <w:p>
            <w:pPr>
              <w:jc w:val="center"/>
              <w:rPr>
                <w:rFonts w:cs="楷体_GB2312"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7" w:type="dxa"/>
          </w:tcPr>
          <w:p>
            <w:pPr>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项目联系人</w:t>
            </w:r>
          </w:p>
        </w:tc>
        <w:tc>
          <w:tcPr>
            <w:tcW w:w="2551" w:type="dxa"/>
          </w:tcPr>
          <w:p>
            <w:pPr>
              <w:jc w:val="center"/>
              <w:rPr>
                <w:rFonts w:cs="楷体_GB2312" w:asciiTheme="minorEastAsia" w:hAnsiTheme="minorEastAsia" w:eastAsiaTheme="minorEastAsia"/>
                <w:sz w:val="28"/>
                <w:szCs w:val="28"/>
              </w:rPr>
            </w:pPr>
          </w:p>
        </w:tc>
        <w:tc>
          <w:tcPr>
            <w:tcW w:w="2550" w:type="dxa"/>
          </w:tcPr>
          <w:p>
            <w:pPr>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邮    箱</w:t>
            </w:r>
          </w:p>
        </w:tc>
        <w:tc>
          <w:tcPr>
            <w:tcW w:w="2229" w:type="dxa"/>
          </w:tcPr>
          <w:p>
            <w:pPr>
              <w:jc w:val="center"/>
              <w:rPr>
                <w:rFonts w:cs="楷体_GB2312"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7" w:type="dxa"/>
          </w:tcPr>
          <w:p>
            <w:pPr>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联系人电话</w:t>
            </w:r>
          </w:p>
        </w:tc>
        <w:tc>
          <w:tcPr>
            <w:tcW w:w="2551" w:type="dxa"/>
          </w:tcPr>
          <w:p>
            <w:pPr>
              <w:jc w:val="center"/>
              <w:rPr>
                <w:rFonts w:cs="楷体_GB2312" w:asciiTheme="minorEastAsia" w:hAnsiTheme="minorEastAsia" w:eastAsiaTheme="minorEastAsia"/>
                <w:sz w:val="28"/>
                <w:szCs w:val="28"/>
              </w:rPr>
            </w:pPr>
          </w:p>
        </w:tc>
        <w:tc>
          <w:tcPr>
            <w:tcW w:w="2550" w:type="dxa"/>
          </w:tcPr>
          <w:p>
            <w:pPr>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联系人手机</w:t>
            </w:r>
          </w:p>
        </w:tc>
        <w:tc>
          <w:tcPr>
            <w:tcW w:w="2229" w:type="dxa"/>
          </w:tcPr>
          <w:p>
            <w:pPr>
              <w:jc w:val="center"/>
              <w:rPr>
                <w:rFonts w:cs="楷体_GB2312"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67" w:type="dxa"/>
          </w:tcPr>
          <w:p>
            <w:pPr>
              <w:rPr>
                <w:rFonts w:cs="楷体_GB2312" w:asciiTheme="minorEastAsia" w:hAnsiTheme="minorEastAsia" w:eastAsiaTheme="minorEastAsia"/>
                <w:sz w:val="28"/>
                <w:szCs w:val="28"/>
              </w:rPr>
            </w:pPr>
            <w:r>
              <w:rPr>
                <w:rFonts w:hint="eastAsia" w:cs="楷体_GB2312" w:asciiTheme="minorEastAsia" w:hAnsiTheme="minorEastAsia" w:eastAsiaTheme="minorEastAsia"/>
                <w:sz w:val="28"/>
                <w:szCs w:val="28"/>
              </w:rPr>
              <w:t>所投项目名称</w:t>
            </w:r>
          </w:p>
        </w:tc>
        <w:tc>
          <w:tcPr>
            <w:tcW w:w="7330" w:type="dxa"/>
            <w:gridSpan w:val="3"/>
          </w:tcPr>
          <w:p>
            <w:pPr>
              <w:jc w:val="center"/>
              <w:rPr>
                <w:rFonts w:cs="楷体_GB2312" w:asciiTheme="minorEastAsia" w:hAnsiTheme="minorEastAsia" w:eastAsiaTheme="minorEastAsia"/>
                <w:sz w:val="28"/>
                <w:szCs w:val="28"/>
              </w:rPr>
            </w:pPr>
          </w:p>
        </w:tc>
      </w:tr>
    </w:tbl>
    <w:p>
      <w:pPr>
        <w:spacing w:line="360" w:lineRule="auto"/>
        <w:jc w:val="left"/>
        <w:rPr>
          <w:rFonts w:cs="楷体_GB2312" w:asciiTheme="minorEastAsia" w:hAnsiTheme="minorEastAsia" w:eastAsiaTheme="minorEastAsia"/>
          <w:b/>
          <w:sz w:val="24"/>
        </w:rPr>
      </w:pPr>
      <w:r>
        <w:rPr>
          <w:rFonts w:hint="eastAsia" w:cs="楷体_GB2312" w:asciiTheme="minorEastAsia" w:hAnsiTheme="minorEastAsia" w:eastAsiaTheme="minorEastAsia"/>
          <w:b/>
          <w:sz w:val="24"/>
        </w:rPr>
        <w:t>备注：1、请准备参与本项目谈判的供应商如实填写（以上信息均为必填内容）后邮件至采购代理机构（邮 箱：2282617126@qq.com，固定电话：0514-87880638-8010、13665205389）。</w:t>
      </w:r>
    </w:p>
    <w:p>
      <w:pPr>
        <w:pStyle w:val="17"/>
        <w:numPr>
          <w:ilvl w:val="0"/>
          <w:numId w:val="0"/>
        </w:numPr>
        <w:rPr>
          <w:rFonts w:ascii="宋体" w:hAnsi="宋体" w:cs="宋体"/>
        </w:rPr>
      </w:pPr>
      <w:r>
        <w:rPr>
          <w:rFonts w:hint="eastAsia" w:cs="楷体_GB2312" w:asciiTheme="minorEastAsia" w:hAnsiTheme="minorEastAsia" w:eastAsiaTheme="minorEastAsia"/>
          <w:b/>
          <w:sz w:val="24"/>
        </w:rPr>
        <w:t xml:space="preserve">      2、因供应商填写有误，造成以上信息资料的不实将由供应商承担责任。</w:t>
      </w:r>
    </w:p>
    <w:bookmarkEnd w:id="55"/>
    <w:bookmarkEnd w:id="56"/>
    <w:bookmarkEnd w:id="57"/>
    <w:bookmarkEnd w:id="58"/>
    <w:bookmarkEnd w:id="59"/>
    <w:bookmarkEnd w:id="60"/>
    <w:bookmarkEnd w:id="61"/>
    <w:bookmarkEnd w:id="62"/>
    <w:bookmarkEnd w:id="63"/>
    <w:bookmarkEnd w:id="64"/>
    <w:bookmarkEnd w:id="65"/>
    <w:p>
      <w:pPr>
        <w:pStyle w:val="17"/>
        <w:numPr>
          <w:ilvl w:val="0"/>
          <w:numId w:val="0"/>
        </w:numPr>
        <w:rPr>
          <w:rFonts w:ascii="宋体" w:hAnsi="宋体"/>
          <w:color w:val="FF0000"/>
          <w:szCs w:val="21"/>
        </w:rPr>
      </w:pPr>
    </w:p>
    <w:sectPr>
      <w:pgSz w:w="11906" w:h="16838"/>
      <w:pgMar w:top="1015" w:right="1196" w:bottom="868" w:left="1259" w:header="851" w:footer="907"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楷体_GBK">
    <w:altName w:val="微软雅黑"/>
    <w:panose1 w:val="00000000000000000000"/>
    <w:charset w:val="86"/>
    <w:family w:val="script"/>
    <w:pitch w:val="default"/>
    <w:sig w:usb0="00000000" w:usb1="00000000" w:usb2="00000000" w:usb3="00000000" w:csb0="00040000" w:csb1="00000000"/>
  </w:font>
  <w:font w:name="Book Antiqua">
    <w:altName w:val="Segoe Print"/>
    <w:panose1 w:val="02040602050305030304"/>
    <w:charset w:val="00"/>
    <w:family w:val="roman"/>
    <w:pitch w:val="default"/>
    <w:sig w:usb0="00000000" w:usb1="00000000" w:usb2="00000000" w:usb3="00000000" w:csb0="0000009F" w:csb1="00000000"/>
  </w:font>
  <w:font w:name="方正姚体">
    <w:altName w:val="宋体"/>
    <w:panose1 w:val="02010601030101010101"/>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Xd1ky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QizZ1nY&#10;6p3lETrK4+3qGCBnUjmK0imB7sQDpi/1qd+UON5/nlPU4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pd3WTICAABlBAAADgAAAAAAAAABACAAAAAfAQAAZHJzL2Uyb0RvYy54bWxQSwUG&#10;AAAAAAYABgBZAQAAwwUAAAAA&#10;">
          <v:path/>
          <v:fill on="f" focussize="0,0"/>
          <v:stroke on="f" weight="0.5pt" joinstyle="miter"/>
          <v:imagedata o:title=""/>
          <o:lock v:ext="edit"/>
          <v:textbox inset="0mm,0mm,0mm,0mm" style="mso-fit-shape-to-text:t;">
            <w:txbxContent>
              <w:p>
                <w:pPr>
                  <w:pStyle w:val="25"/>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pict>
        <v:shape id="_x0000_s1033" o:spid="_x0000_s1033"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h+NUMz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SE2bMs&#10;bPWD5RE6yuPt6hAgZ1I5itIpge7EA6Yv9anflDjef55T1NO/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h+NUMzAgAAZQQAAA4AAAAAAAAAAQAgAAAAHwEAAGRycy9lMm9Eb2MueG1sUEsF&#10;BgAAAAAGAAYAWQEAAMQFAAAAAA==&#10;">
          <v:path/>
          <v:fill on="f" focussize="0,0"/>
          <v:stroke on="f" weight="0.5pt" joinstyle="miter"/>
          <v:imagedata o:title=""/>
          <o:lock v:ext="edit"/>
          <v:textbox inset="0mm,0mm,0mm,0mm" style="mso-fit-shape-to-text:t;">
            <w:txbxContent>
              <w:p>
                <w:pPr>
                  <w:pStyle w:val="25"/>
                </w:pPr>
                <w:r>
                  <w:fldChar w:fldCharType="begin"/>
                </w:r>
                <w:r>
                  <w:instrText xml:space="preserve"> PAGE  \* MERGEFORMAT </w:instrText>
                </w:r>
                <w:r>
                  <w:fldChar w:fldCharType="separate"/>
                </w:r>
                <w:r>
                  <w:t>6</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pict>
        <v:shape id="_x0000_s1031" o:spid="_x0000_s1031"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K5b8y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grlvzICAABlBAAADgAAAAAAAAABACAAAAAfAQAAZHJzL2Uyb0RvYy54bWxQSwUG&#10;AAAAAAYABgBZAQAAwwUAAAAA&#10;">
          <v:path/>
          <v:fill on="f" focussize="0,0"/>
          <v:stroke on="f" weight="0.5pt" joinstyle="miter"/>
          <v:imagedata o:title=""/>
          <o:lock v:ext="edit"/>
          <v:textbox inset="0mm,0mm,0mm,0mm" style="mso-fit-shape-to-text:t;">
            <w:txbxContent>
              <w:p>
                <w:pPr>
                  <w:pStyle w:val="25"/>
                </w:pPr>
                <w:r>
                  <w:fldChar w:fldCharType="begin"/>
                </w:r>
                <w:r>
                  <w:instrText xml:space="preserve"> PAGE  \* MERGEFORMAT </w:instrText>
                </w:r>
                <w:r>
                  <w:fldChar w:fldCharType="separate"/>
                </w:r>
                <w:r>
                  <w:t>14</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pict>
        <v:shape id="_x0000_s1032" o:spid="_x0000_s1032"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GDM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wuxZFrZ6&#10;Z3mEjvJ4uzoGyJlUjqJ0SqA78YDpS33qNyWO95/nFPX47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vsRgzMQIAAGUEAAAOAAAAAAAAAAEAIAAAAB8BAABkcnMvZTJvRG9jLnhtbFBLBQYA&#10;AAAABgAGAFkBAADCBQAAAAA=&#10;">
          <v:path/>
          <v:fill on="f" focussize="0,0"/>
          <v:stroke on="f" weight="0.5pt" joinstyle="miter"/>
          <v:imagedata o:title=""/>
          <o:lock v:ext="edit"/>
          <v:textbox inset="0mm,0mm,0mm,0mm" style="mso-fit-shape-to-text:t;">
            <w:txbxContent>
              <w:p>
                <w:pPr>
                  <w:pStyle w:val="25"/>
                </w:pPr>
              </w:p>
            </w:txbxContent>
          </v:textbox>
        </v:shape>
      </w:pict>
    </w:r>
    <w:r>
      <w:rPr>
        <w:rFonts w:hint="eastAsia"/>
      </w:rPr>
      <w:t>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pict>
        <v:shape id="_x0000_s1029" o:spid="_x0000_s102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joinstyle="miter"/>
          <v:imagedata o:title=""/>
          <o:lock v:ext="edit"/>
          <v:textbox inset="0mm,0mm,0mm,0mm" style="mso-fit-shape-to-text:t;">
            <w:txbxContent>
              <w:p>
                <w:pPr>
                  <w:pStyle w:val="25"/>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pict>
        <v:shape id="_x0000_s1030" o:spid="_x0000_s1030"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joinstyle="miter"/>
          <v:imagedata o:title=""/>
          <o:lock v:ext="edit"/>
          <v:textbox inset="0mm,0mm,0mm,0mm" style="mso-fit-shape-to-text:t;">
            <w:txbxContent>
              <w:p>
                <w:pPr>
                  <w:pStyle w:val="25"/>
                </w:pPr>
                <w:r>
                  <w:rPr>
                    <w:rFonts w:hint="eastAsia"/>
                  </w:rPr>
                  <w:fldChar w:fldCharType="begin"/>
                </w:r>
                <w:r>
                  <w:rPr>
                    <w:rFonts w:hint="eastAsia"/>
                  </w:rPr>
                  <w:instrText xml:space="preserve"> PAGE  \* MERGEFORMAT </w:instrText>
                </w:r>
                <w:r>
                  <w:rPr>
                    <w:rFonts w:hint="eastAsia"/>
                  </w:rPr>
                  <w:fldChar w:fldCharType="separate"/>
                </w:r>
                <w:r>
                  <w:t>15</w:t>
                </w:r>
                <w:r>
                  <w:rPr>
                    <w:rFonts w:hint="eastAsia"/>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pict>
        <v:shape id="_x0000_s1027" o:spid="_x0000_s1027"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jp6Uz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q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Iwe5aF&#10;jb63PEJHebxd7gPkTCpHUXol0J14wPSlPp03JY73n+cU9fj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zjp6UzAgAAZQQAAA4AAAAAAAAAAQAgAAAAHwEAAGRycy9lMm9Eb2MueG1sUEsF&#10;BgAAAAAGAAYAWQEAAMQFAAAAAA==&#10;">
          <v:path/>
          <v:fill on="f" focussize="0,0"/>
          <v:stroke on="f" weight="0.5pt" joinstyle="miter"/>
          <v:imagedata o:title=""/>
          <o:lock v:ext="edit"/>
          <v:textbox inset="0mm,0mm,0mm,0mm" style="mso-fit-shape-to-text:t;">
            <w:txbxContent>
              <w:p>
                <w:pPr>
                  <w:pStyle w:val="25"/>
                </w:pPr>
                <w:r>
                  <w:fldChar w:fldCharType="begin"/>
                </w:r>
                <w:r>
                  <w:instrText xml:space="preserve"> PAGE  \* MERGEFORMAT </w:instrText>
                </w:r>
                <w:r>
                  <w:fldChar w:fldCharType="separate"/>
                </w:r>
                <w:r>
                  <w:t>43</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w:pict>
        <v:shape id="_x0000_s1028" o:spid="_x0000_s1028"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EtWRY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S1ZFjICAABlBAAADgAAAAAAAAABACAAAAAfAQAAZHJzL2Uyb0RvYy54bWxQSwUG&#10;AAAAAAYABgBZAQAAwwUAAAAA&#10;">
          <v:path/>
          <v:fill on="f" focussize="0,0"/>
          <v:stroke on="f" weight="0.5pt" joinstyle="miter"/>
          <v:imagedata o:title=""/>
          <o:lock v:ext="edit"/>
          <v:textbox inset="0mm,0mm,0mm,0mm" style="mso-fit-shape-to-text:t;">
            <w:txbxContent>
              <w:p>
                <w:pPr>
                  <w:pStyle w:val="25"/>
                </w:pPr>
                <w:r>
                  <w:fldChar w:fldCharType="begin"/>
                </w:r>
                <w:r>
                  <w:instrText xml:space="preserve"> PAGE  \* MERGEFORMAT </w:instrText>
                </w:r>
                <w:r>
                  <w:fldChar w:fldCharType="separate"/>
                </w:r>
                <w:r>
                  <w:t>41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pPr>
    <w:r>
      <w:rPr>
        <w:rFonts w:hint="eastAsia"/>
        <w:sz w:val="21"/>
        <w:szCs w:val="21"/>
      </w:rPr>
      <w:t>VCCGDLCS-2024066                                江苏唯诚建设咨询有限公司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pPr>
    <w:r>
      <w:rPr>
        <w:rFonts w:hint="eastAsia"/>
        <w:sz w:val="21"/>
        <w:szCs w:val="21"/>
      </w:rPr>
      <w:t>VCCGDLCS-2024066                                江苏唯诚建设咨询有限公司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pPr>
    <w:r>
      <w:rPr>
        <w:rFonts w:hint="eastAsia"/>
        <w:sz w:val="21"/>
        <w:szCs w:val="21"/>
      </w:rPr>
      <w:t>VCCGDLCS-2024066                                江苏唯诚建设咨询有限公司</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pPr>
    <w:r>
      <w:rPr>
        <w:rFonts w:hint="eastAsia"/>
        <w:sz w:val="21"/>
        <w:szCs w:val="21"/>
      </w:rPr>
      <w:t>VCCGDLCS-2024066                                       江苏唯诚建设咨询有限公司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rFonts w:hint="eastAsia"/>
        <w:sz w:val="21"/>
        <w:szCs w:val="21"/>
      </w:rPr>
      <w:t>VCCGDLCS-2023009                                  江苏唯诚建设咨询有限公司</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rFonts w:hint="eastAsia"/>
        <w:sz w:val="21"/>
        <w:szCs w:val="21"/>
      </w:rPr>
      <w:t>VCCGDLCS-2023009                                  江苏唯诚建设咨询有限公司</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pPr>
    <w:r>
      <w:rPr>
        <w:rFonts w:hint="eastAsia"/>
        <w:sz w:val="21"/>
        <w:szCs w:val="21"/>
      </w:rPr>
      <w:t>VCCGDLCS-2024066                                            江苏唯诚建设咨询有限公司</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pPr>
    <w:r>
      <w:rPr>
        <w:rFonts w:hint="eastAsia"/>
        <w:sz w:val="21"/>
        <w:szCs w:val="21"/>
      </w:rPr>
      <w:t>VCCGDLCS-2024066                                     江苏唯诚建设咨询有限公司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086B75"/>
    <w:multiLevelType w:val="singleLevel"/>
    <w:tmpl w:val="A3086B75"/>
    <w:lvl w:ilvl="0" w:tentative="0">
      <w:start w:val="1"/>
      <w:numFmt w:val="bullet"/>
      <w:pStyle w:val="17"/>
      <w:lvlText w:val=""/>
      <w:lvlJc w:val="left"/>
      <w:pPr>
        <w:tabs>
          <w:tab w:val="left" w:pos="780"/>
        </w:tabs>
        <w:ind w:left="780" w:hanging="360"/>
      </w:pPr>
      <w:rPr>
        <w:rFonts w:hint="default" w:ascii="Wingdings" w:hAnsi="Wingdings"/>
      </w:rPr>
    </w:lvl>
  </w:abstractNum>
  <w:abstractNum w:abstractNumId="1">
    <w:nsid w:val="B97D19B8"/>
    <w:multiLevelType w:val="singleLevel"/>
    <w:tmpl w:val="B97D19B8"/>
    <w:lvl w:ilvl="0" w:tentative="0">
      <w:start w:val="1"/>
      <w:numFmt w:val="chineseCounting"/>
      <w:suff w:val="nothing"/>
      <w:lvlText w:val="%1、"/>
      <w:lvlJc w:val="left"/>
      <w:pPr>
        <w:ind w:left="210"/>
      </w:pPr>
      <w:rPr>
        <w:rFonts w:hint="eastAsia"/>
      </w:rPr>
    </w:lvl>
  </w:abstractNum>
  <w:abstractNum w:abstractNumId="2">
    <w:nsid w:val="C959152A"/>
    <w:multiLevelType w:val="singleLevel"/>
    <w:tmpl w:val="C959152A"/>
    <w:lvl w:ilvl="0" w:tentative="0">
      <w:start w:val="1"/>
      <w:numFmt w:val="bullet"/>
      <w:pStyle w:val="69"/>
      <w:lvlText w:val=""/>
      <w:lvlJc w:val="left"/>
      <w:pPr>
        <w:tabs>
          <w:tab w:val="left" w:pos="780"/>
        </w:tabs>
        <w:ind w:left="780" w:hanging="360"/>
      </w:pPr>
      <w:rPr>
        <w:rFonts w:ascii="Wingdings" w:hAnsi="Wingdings"/>
      </w:rPr>
    </w:lvl>
  </w:abstractNum>
  <w:abstractNum w:abstractNumId="3">
    <w:nsid w:val="06784D56"/>
    <w:multiLevelType w:val="singleLevel"/>
    <w:tmpl w:val="06784D56"/>
    <w:lvl w:ilvl="0" w:tentative="0">
      <w:start w:val="1"/>
      <w:numFmt w:val="upperLetter"/>
      <w:pStyle w:val="87"/>
      <w:lvlText w:val="附录%1."/>
      <w:lvlJc w:val="left"/>
      <w:pPr>
        <w:tabs>
          <w:tab w:val="left" w:pos="907"/>
        </w:tabs>
        <w:ind w:left="907" w:hanging="907"/>
      </w:pPr>
      <w:rPr>
        <w:rFonts w:hint="eastAsia"/>
      </w:rPr>
    </w:lvl>
  </w:abstractNum>
  <w:abstractNum w:abstractNumId="4">
    <w:nsid w:val="237E4D61"/>
    <w:multiLevelType w:val="multilevel"/>
    <w:tmpl w:val="237E4D61"/>
    <w:lvl w:ilvl="0" w:tentative="0">
      <w:start w:val="1"/>
      <w:numFmt w:val="japaneseCounting"/>
      <w:pStyle w:val="94"/>
      <w:lvlText w:val="第%1章"/>
      <w:lvlJc w:val="left"/>
      <w:pPr>
        <w:ind w:left="9351" w:hanging="420"/>
      </w:pPr>
      <w:rPr>
        <w:rFonts w:hint="eastAsia" w:ascii="黑体" w:eastAsia="黑体"/>
        <w:b w:val="0"/>
        <w:sz w:val="36"/>
        <w:lang w:val="en-US"/>
      </w:rPr>
    </w:lvl>
    <w:lvl w:ilvl="1" w:tentative="0">
      <w:start w:val="1"/>
      <w:numFmt w:val="decimal"/>
      <w:pStyle w:val="81"/>
      <w:isLgl/>
      <w:lvlText w:val="%1.%2"/>
      <w:lvlJc w:val="left"/>
      <w:pPr>
        <w:tabs>
          <w:tab w:val="left" w:pos="851"/>
        </w:tabs>
        <w:ind w:left="0" w:firstLine="0"/>
      </w:pPr>
      <w:rPr>
        <w:rFonts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2" w:tentative="0">
      <w:start w:val="1"/>
      <w:numFmt w:val="decimal"/>
      <w:pStyle w:val="77"/>
      <w:isLgl/>
      <w:lvlText w:val="%1.%2.%3"/>
      <w:lvlJc w:val="left"/>
      <w:pPr>
        <w:tabs>
          <w:tab w:val="left" w:pos="851"/>
        </w:tabs>
        <w:ind w:left="0" w:firstLine="0"/>
      </w:pPr>
      <w:rPr>
        <w:rFonts w:cs="Times New Roman"/>
        <w:b w:val="0"/>
        <w:bCs w:val="0"/>
        <w:i w:val="0"/>
        <w:iCs w:val="0"/>
        <w:caps w:val="0"/>
        <w:smallCaps w:val="0"/>
        <w:strike w:val="0"/>
        <w:dstrike w:val="0"/>
        <w:outline w:val="0"/>
        <w:shadow w:val="0"/>
        <w:emboss w:val="0"/>
        <w:imprint w:val="0"/>
        <w:vanish w:val="0"/>
        <w:color w:val="000000"/>
        <w:spacing w:val="0"/>
        <w:kern w:val="0"/>
        <w:position w:val="0"/>
        <w:u w:val="none"/>
        <w:vertAlign w:val="baseline"/>
      </w:rPr>
    </w:lvl>
    <w:lvl w:ilvl="3" w:tentative="0">
      <w:start w:val="1"/>
      <w:numFmt w:val="decimal"/>
      <w:pStyle w:val="84"/>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4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M5YTVkYWMyOWU3ODg4NDBiYWQyMWRiMDBmNmZkODkifQ=="/>
    <w:docVar w:name="KSO_WPS_MARK_KEY" w:val="088c5f81-611b-493b-bff5-e7d38ab99ac6"/>
  </w:docVars>
  <w:rsids>
    <w:rsidRoot w:val="00C26726"/>
    <w:rsid w:val="000004E2"/>
    <w:rsid w:val="0000119C"/>
    <w:rsid w:val="00002209"/>
    <w:rsid w:val="00002995"/>
    <w:rsid w:val="00003B42"/>
    <w:rsid w:val="000046F9"/>
    <w:rsid w:val="00004B1C"/>
    <w:rsid w:val="00005A19"/>
    <w:rsid w:val="00006652"/>
    <w:rsid w:val="00006DD7"/>
    <w:rsid w:val="000101A0"/>
    <w:rsid w:val="00012A3D"/>
    <w:rsid w:val="00012CA3"/>
    <w:rsid w:val="00012E3A"/>
    <w:rsid w:val="000132DA"/>
    <w:rsid w:val="000133C0"/>
    <w:rsid w:val="000136F0"/>
    <w:rsid w:val="000143F6"/>
    <w:rsid w:val="0001608A"/>
    <w:rsid w:val="00017387"/>
    <w:rsid w:val="00020761"/>
    <w:rsid w:val="000217AF"/>
    <w:rsid w:val="0002258C"/>
    <w:rsid w:val="000247C1"/>
    <w:rsid w:val="000301F8"/>
    <w:rsid w:val="00030A86"/>
    <w:rsid w:val="00031E66"/>
    <w:rsid w:val="00031F03"/>
    <w:rsid w:val="000336E2"/>
    <w:rsid w:val="00035E23"/>
    <w:rsid w:val="00036D8D"/>
    <w:rsid w:val="000374BB"/>
    <w:rsid w:val="00037CD4"/>
    <w:rsid w:val="00040D8B"/>
    <w:rsid w:val="0004126D"/>
    <w:rsid w:val="00042D59"/>
    <w:rsid w:val="00044140"/>
    <w:rsid w:val="0004532E"/>
    <w:rsid w:val="00047D10"/>
    <w:rsid w:val="0005265C"/>
    <w:rsid w:val="0005334A"/>
    <w:rsid w:val="00054CF4"/>
    <w:rsid w:val="00054DE8"/>
    <w:rsid w:val="00055173"/>
    <w:rsid w:val="000562C0"/>
    <w:rsid w:val="00057CDD"/>
    <w:rsid w:val="000600DE"/>
    <w:rsid w:val="0006058F"/>
    <w:rsid w:val="0006240C"/>
    <w:rsid w:val="00062CD4"/>
    <w:rsid w:val="00063EEB"/>
    <w:rsid w:val="000641CD"/>
    <w:rsid w:val="0006479E"/>
    <w:rsid w:val="000655D5"/>
    <w:rsid w:val="0006568A"/>
    <w:rsid w:val="00065787"/>
    <w:rsid w:val="00066CD9"/>
    <w:rsid w:val="000673B6"/>
    <w:rsid w:val="00067530"/>
    <w:rsid w:val="00070C68"/>
    <w:rsid w:val="000719A1"/>
    <w:rsid w:val="0007250A"/>
    <w:rsid w:val="00072F55"/>
    <w:rsid w:val="0007539D"/>
    <w:rsid w:val="000775B1"/>
    <w:rsid w:val="0007782A"/>
    <w:rsid w:val="00080BF6"/>
    <w:rsid w:val="00080E3B"/>
    <w:rsid w:val="00082802"/>
    <w:rsid w:val="0008297B"/>
    <w:rsid w:val="000842C8"/>
    <w:rsid w:val="00084C20"/>
    <w:rsid w:val="000853EF"/>
    <w:rsid w:val="00087456"/>
    <w:rsid w:val="000874DF"/>
    <w:rsid w:val="00087597"/>
    <w:rsid w:val="00087E39"/>
    <w:rsid w:val="000907EE"/>
    <w:rsid w:val="000917FE"/>
    <w:rsid w:val="0009200E"/>
    <w:rsid w:val="00092321"/>
    <w:rsid w:val="00092AC7"/>
    <w:rsid w:val="00093560"/>
    <w:rsid w:val="00094791"/>
    <w:rsid w:val="0009545E"/>
    <w:rsid w:val="0009779B"/>
    <w:rsid w:val="00097AFA"/>
    <w:rsid w:val="000A0C03"/>
    <w:rsid w:val="000A4069"/>
    <w:rsid w:val="000A4E14"/>
    <w:rsid w:val="000A6F47"/>
    <w:rsid w:val="000B40D4"/>
    <w:rsid w:val="000B40EA"/>
    <w:rsid w:val="000B57ED"/>
    <w:rsid w:val="000B5FD6"/>
    <w:rsid w:val="000B6B84"/>
    <w:rsid w:val="000B7353"/>
    <w:rsid w:val="000B7DBA"/>
    <w:rsid w:val="000C0811"/>
    <w:rsid w:val="000C165D"/>
    <w:rsid w:val="000C1E90"/>
    <w:rsid w:val="000C2900"/>
    <w:rsid w:val="000C2F4F"/>
    <w:rsid w:val="000C2F64"/>
    <w:rsid w:val="000C399B"/>
    <w:rsid w:val="000C480A"/>
    <w:rsid w:val="000C61E3"/>
    <w:rsid w:val="000C6A2B"/>
    <w:rsid w:val="000D0069"/>
    <w:rsid w:val="000D3F30"/>
    <w:rsid w:val="000D4EE4"/>
    <w:rsid w:val="000D58C3"/>
    <w:rsid w:val="000D5D52"/>
    <w:rsid w:val="000D5EA8"/>
    <w:rsid w:val="000D61C6"/>
    <w:rsid w:val="000D62DE"/>
    <w:rsid w:val="000D7F34"/>
    <w:rsid w:val="000D7F45"/>
    <w:rsid w:val="000E20A6"/>
    <w:rsid w:val="000E2C12"/>
    <w:rsid w:val="000E3510"/>
    <w:rsid w:val="000E48A3"/>
    <w:rsid w:val="000E5E96"/>
    <w:rsid w:val="000E7BF1"/>
    <w:rsid w:val="000F10CA"/>
    <w:rsid w:val="000F1672"/>
    <w:rsid w:val="000F5062"/>
    <w:rsid w:val="000F60EF"/>
    <w:rsid w:val="000F6370"/>
    <w:rsid w:val="001000CA"/>
    <w:rsid w:val="00100B0C"/>
    <w:rsid w:val="00101D75"/>
    <w:rsid w:val="001023D0"/>
    <w:rsid w:val="00103DAD"/>
    <w:rsid w:val="00104660"/>
    <w:rsid w:val="00105F91"/>
    <w:rsid w:val="00106AFE"/>
    <w:rsid w:val="00106C25"/>
    <w:rsid w:val="00106C7F"/>
    <w:rsid w:val="00107350"/>
    <w:rsid w:val="0011098B"/>
    <w:rsid w:val="00112D32"/>
    <w:rsid w:val="001139D0"/>
    <w:rsid w:val="00113EC0"/>
    <w:rsid w:val="00115F64"/>
    <w:rsid w:val="00116855"/>
    <w:rsid w:val="001168FD"/>
    <w:rsid w:val="00117A85"/>
    <w:rsid w:val="00117FE8"/>
    <w:rsid w:val="001224B9"/>
    <w:rsid w:val="00123645"/>
    <w:rsid w:val="0012411B"/>
    <w:rsid w:val="00124E53"/>
    <w:rsid w:val="00124EDB"/>
    <w:rsid w:val="00127540"/>
    <w:rsid w:val="00130006"/>
    <w:rsid w:val="00131DF8"/>
    <w:rsid w:val="00131FC6"/>
    <w:rsid w:val="00132253"/>
    <w:rsid w:val="00133AD0"/>
    <w:rsid w:val="00133E40"/>
    <w:rsid w:val="001342F9"/>
    <w:rsid w:val="0013642B"/>
    <w:rsid w:val="001364B1"/>
    <w:rsid w:val="00136534"/>
    <w:rsid w:val="00137196"/>
    <w:rsid w:val="0013793F"/>
    <w:rsid w:val="00140706"/>
    <w:rsid w:val="001413E8"/>
    <w:rsid w:val="00141ED2"/>
    <w:rsid w:val="001423BE"/>
    <w:rsid w:val="00142C81"/>
    <w:rsid w:val="001441D9"/>
    <w:rsid w:val="001453C1"/>
    <w:rsid w:val="001463D4"/>
    <w:rsid w:val="00147FFE"/>
    <w:rsid w:val="001500FD"/>
    <w:rsid w:val="0015352F"/>
    <w:rsid w:val="0015380C"/>
    <w:rsid w:val="00154267"/>
    <w:rsid w:val="00154766"/>
    <w:rsid w:val="00157F58"/>
    <w:rsid w:val="001603BA"/>
    <w:rsid w:val="001619DB"/>
    <w:rsid w:val="00161A22"/>
    <w:rsid w:val="00162B8F"/>
    <w:rsid w:val="001652AF"/>
    <w:rsid w:val="001661CD"/>
    <w:rsid w:val="001666A1"/>
    <w:rsid w:val="00166C1A"/>
    <w:rsid w:val="00166D37"/>
    <w:rsid w:val="00167437"/>
    <w:rsid w:val="001704C1"/>
    <w:rsid w:val="001721DF"/>
    <w:rsid w:val="00172A70"/>
    <w:rsid w:val="001738E5"/>
    <w:rsid w:val="0017441D"/>
    <w:rsid w:val="0017456D"/>
    <w:rsid w:val="00175616"/>
    <w:rsid w:val="00177459"/>
    <w:rsid w:val="001809CA"/>
    <w:rsid w:val="00180F36"/>
    <w:rsid w:val="001814E8"/>
    <w:rsid w:val="00181C74"/>
    <w:rsid w:val="00181F35"/>
    <w:rsid w:val="0018481B"/>
    <w:rsid w:val="001852E0"/>
    <w:rsid w:val="001857FA"/>
    <w:rsid w:val="00185E93"/>
    <w:rsid w:val="00185EBC"/>
    <w:rsid w:val="0018783C"/>
    <w:rsid w:val="00190AC6"/>
    <w:rsid w:val="00190DC9"/>
    <w:rsid w:val="001927E4"/>
    <w:rsid w:val="00192C00"/>
    <w:rsid w:val="00193A45"/>
    <w:rsid w:val="001945E2"/>
    <w:rsid w:val="001969F0"/>
    <w:rsid w:val="00196AC7"/>
    <w:rsid w:val="00197CB4"/>
    <w:rsid w:val="001A1650"/>
    <w:rsid w:val="001A271D"/>
    <w:rsid w:val="001A2A85"/>
    <w:rsid w:val="001A2E80"/>
    <w:rsid w:val="001A312E"/>
    <w:rsid w:val="001A3F34"/>
    <w:rsid w:val="001A6F57"/>
    <w:rsid w:val="001A758A"/>
    <w:rsid w:val="001A7923"/>
    <w:rsid w:val="001A7E8C"/>
    <w:rsid w:val="001B01DD"/>
    <w:rsid w:val="001B0963"/>
    <w:rsid w:val="001B0E12"/>
    <w:rsid w:val="001B2341"/>
    <w:rsid w:val="001B2D0A"/>
    <w:rsid w:val="001B2DD2"/>
    <w:rsid w:val="001B4656"/>
    <w:rsid w:val="001B5888"/>
    <w:rsid w:val="001B66DD"/>
    <w:rsid w:val="001B68A6"/>
    <w:rsid w:val="001B7F6B"/>
    <w:rsid w:val="001C0759"/>
    <w:rsid w:val="001C0E6D"/>
    <w:rsid w:val="001C19F1"/>
    <w:rsid w:val="001C1B68"/>
    <w:rsid w:val="001C1C03"/>
    <w:rsid w:val="001C28C7"/>
    <w:rsid w:val="001C2902"/>
    <w:rsid w:val="001C338F"/>
    <w:rsid w:val="001C367B"/>
    <w:rsid w:val="001C383E"/>
    <w:rsid w:val="001C7999"/>
    <w:rsid w:val="001C7B5E"/>
    <w:rsid w:val="001D3A0C"/>
    <w:rsid w:val="001D4376"/>
    <w:rsid w:val="001D4DAD"/>
    <w:rsid w:val="001D51CA"/>
    <w:rsid w:val="001D5B9A"/>
    <w:rsid w:val="001E0272"/>
    <w:rsid w:val="001E02FF"/>
    <w:rsid w:val="001E0B1C"/>
    <w:rsid w:val="001E2C44"/>
    <w:rsid w:val="001E2C89"/>
    <w:rsid w:val="001E5368"/>
    <w:rsid w:val="001E7558"/>
    <w:rsid w:val="001E79B7"/>
    <w:rsid w:val="001F076C"/>
    <w:rsid w:val="001F0F17"/>
    <w:rsid w:val="001F2FC3"/>
    <w:rsid w:val="00201353"/>
    <w:rsid w:val="00203205"/>
    <w:rsid w:val="00203C51"/>
    <w:rsid w:val="002043FB"/>
    <w:rsid w:val="0020498C"/>
    <w:rsid w:val="00205770"/>
    <w:rsid w:val="00206E1D"/>
    <w:rsid w:val="002073C9"/>
    <w:rsid w:val="00207423"/>
    <w:rsid w:val="0020754F"/>
    <w:rsid w:val="00210843"/>
    <w:rsid w:val="00210DB7"/>
    <w:rsid w:val="002110F9"/>
    <w:rsid w:val="00212174"/>
    <w:rsid w:val="002147D9"/>
    <w:rsid w:val="00214AA2"/>
    <w:rsid w:val="00217E25"/>
    <w:rsid w:val="002200CD"/>
    <w:rsid w:val="00222B72"/>
    <w:rsid w:val="00224414"/>
    <w:rsid w:val="00224F03"/>
    <w:rsid w:val="00225A6D"/>
    <w:rsid w:val="002260D7"/>
    <w:rsid w:val="00226599"/>
    <w:rsid w:val="0022700E"/>
    <w:rsid w:val="0022736B"/>
    <w:rsid w:val="00233E73"/>
    <w:rsid w:val="00235204"/>
    <w:rsid w:val="002358C3"/>
    <w:rsid w:val="002360DD"/>
    <w:rsid w:val="00237EDB"/>
    <w:rsid w:val="002408B3"/>
    <w:rsid w:val="00243CDE"/>
    <w:rsid w:val="002452F7"/>
    <w:rsid w:val="00246334"/>
    <w:rsid w:val="002478A2"/>
    <w:rsid w:val="002500BE"/>
    <w:rsid w:val="00250C6F"/>
    <w:rsid w:val="0025186C"/>
    <w:rsid w:val="0025259D"/>
    <w:rsid w:val="002525E2"/>
    <w:rsid w:val="00253AB8"/>
    <w:rsid w:val="00254113"/>
    <w:rsid w:val="00255236"/>
    <w:rsid w:val="00255FD0"/>
    <w:rsid w:val="00256074"/>
    <w:rsid w:val="0025720B"/>
    <w:rsid w:val="002575BE"/>
    <w:rsid w:val="00261DAA"/>
    <w:rsid w:val="002626C9"/>
    <w:rsid w:val="00264932"/>
    <w:rsid w:val="0026504C"/>
    <w:rsid w:val="00266291"/>
    <w:rsid w:val="002678B4"/>
    <w:rsid w:val="002679E8"/>
    <w:rsid w:val="00267BA7"/>
    <w:rsid w:val="00267FA8"/>
    <w:rsid w:val="00271284"/>
    <w:rsid w:val="00272DB9"/>
    <w:rsid w:val="00274DB6"/>
    <w:rsid w:val="00274EFA"/>
    <w:rsid w:val="00275AC8"/>
    <w:rsid w:val="00275F57"/>
    <w:rsid w:val="002766DF"/>
    <w:rsid w:val="00284779"/>
    <w:rsid w:val="0028541C"/>
    <w:rsid w:val="00292891"/>
    <w:rsid w:val="00294BE3"/>
    <w:rsid w:val="002962EF"/>
    <w:rsid w:val="002973EE"/>
    <w:rsid w:val="002978B9"/>
    <w:rsid w:val="002A26D0"/>
    <w:rsid w:val="002A30A1"/>
    <w:rsid w:val="002A5190"/>
    <w:rsid w:val="002A53E9"/>
    <w:rsid w:val="002A557E"/>
    <w:rsid w:val="002A5D51"/>
    <w:rsid w:val="002A77D2"/>
    <w:rsid w:val="002B0FCA"/>
    <w:rsid w:val="002B3275"/>
    <w:rsid w:val="002B452D"/>
    <w:rsid w:val="002B557E"/>
    <w:rsid w:val="002B635B"/>
    <w:rsid w:val="002B67A8"/>
    <w:rsid w:val="002C0EBE"/>
    <w:rsid w:val="002C103E"/>
    <w:rsid w:val="002C1DA2"/>
    <w:rsid w:val="002C2DDF"/>
    <w:rsid w:val="002C3301"/>
    <w:rsid w:val="002C384A"/>
    <w:rsid w:val="002C46EE"/>
    <w:rsid w:val="002C481F"/>
    <w:rsid w:val="002C5DF1"/>
    <w:rsid w:val="002C7E15"/>
    <w:rsid w:val="002D0FDC"/>
    <w:rsid w:val="002D1AA4"/>
    <w:rsid w:val="002D1DAC"/>
    <w:rsid w:val="002D31C3"/>
    <w:rsid w:val="002D4867"/>
    <w:rsid w:val="002D4E37"/>
    <w:rsid w:val="002D5068"/>
    <w:rsid w:val="002D5241"/>
    <w:rsid w:val="002D6990"/>
    <w:rsid w:val="002D69A8"/>
    <w:rsid w:val="002D7108"/>
    <w:rsid w:val="002D74A9"/>
    <w:rsid w:val="002E29E8"/>
    <w:rsid w:val="002E460D"/>
    <w:rsid w:val="002E5BA0"/>
    <w:rsid w:val="002F0BAB"/>
    <w:rsid w:val="002F5DD5"/>
    <w:rsid w:val="002F6083"/>
    <w:rsid w:val="002F6156"/>
    <w:rsid w:val="002F6336"/>
    <w:rsid w:val="002F6648"/>
    <w:rsid w:val="00301989"/>
    <w:rsid w:val="00301D65"/>
    <w:rsid w:val="003031A4"/>
    <w:rsid w:val="003043F6"/>
    <w:rsid w:val="00305121"/>
    <w:rsid w:val="00310118"/>
    <w:rsid w:val="00310266"/>
    <w:rsid w:val="00311C82"/>
    <w:rsid w:val="00311D5B"/>
    <w:rsid w:val="0031232E"/>
    <w:rsid w:val="00312F22"/>
    <w:rsid w:val="00313DDB"/>
    <w:rsid w:val="0031634B"/>
    <w:rsid w:val="003178B9"/>
    <w:rsid w:val="00317AAC"/>
    <w:rsid w:val="00320CC3"/>
    <w:rsid w:val="00321423"/>
    <w:rsid w:val="00321C48"/>
    <w:rsid w:val="0032391D"/>
    <w:rsid w:val="00330BD2"/>
    <w:rsid w:val="003322B6"/>
    <w:rsid w:val="00334194"/>
    <w:rsid w:val="003344E4"/>
    <w:rsid w:val="00334C5D"/>
    <w:rsid w:val="00334D23"/>
    <w:rsid w:val="00336E84"/>
    <w:rsid w:val="003372C1"/>
    <w:rsid w:val="00342AA7"/>
    <w:rsid w:val="00342F43"/>
    <w:rsid w:val="003446E4"/>
    <w:rsid w:val="003447F1"/>
    <w:rsid w:val="00345CA1"/>
    <w:rsid w:val="0034654D"/>
    <w:rsid w:val="00347A82"/>
    <w:rsid w:val="0035029B"/>
    <w:rsid w:val="00351415"/>
    <w:rsid w:val="00351D59"/>
    <w:rsid w:val="003539A2"/>
    <w:rsid w:val="00353DBE"/>
    <w:rsid w:val="00356C1F"/>
    <w:rsid w:val="0035723A"/>
    <w:rsid w:val="00357242"/>
    <w:rsid w:val="0035740F"/>
    <w:rsid w:val="00357D8B"/>
    <w:rsid w:val="00360189"/>
    <w:rsid w:val="003607AE"/>
    <w:rsid w:val="003619F6"/>
    <w:rsid w:val="00361B27"/>
    <w:rsid w:val="00361C51"/>
    <w:rsid w:val="00361EB0"/>
    <w:rsid w:val="003625E1"/>
    <w:rsid w:val="00363078"/>
    <w:rsid w:val="003638D1"/>
    <w:rsid w:val="003643AB"/>
    <w:rsid w:val="00366FC6"/>
    <w:rsid w:val="003672EA"/>
    <w:rsid w:val="0036745C"/>
    <w:rsid w:val="003708ED"/>
    <w:rsid w:val="00370FCD"/>
    <w:rsid w:val="00371D58"/>
    <w:rsid w:val="003724FB"/>
    <w:rsid w:val="003731E5"/>
    <w:rsid w:val="003734BA"/>
    <w:rsid w:val="003747AF"/>
    <w:rsid w:val="003754BB"/>
    <w:rsid w:val="0037582C"/>
    <w:rsid w:val="00375A16"/>
    <w:rsid w:val="00377815"/>
    <w:rsid w:val="0038016A"/>
    <w:rsid w:val="00380C17"/>
    <w:rsid w:val="00381624"/>
    <w:rsid w:val="00382B94"/>
    <w:rsid w:val="00382D24"/>
    <w:rsid w:val="003853E7"/>
    <w:rsid w:val="00386F1E"/>
    <w:rsid w:val="00387560"/>
    <w:rsid w:val="003906FF"/>
    <w:rsid w:val="00391F59"/>
    <w:rsid w:val="00393010"/>
    <w:rsid w:val="00393043"/>
    <w:rsid w:val="003939A5"/>
    <w:rsid w:val="00393FCC"/>
    <w:rsid w:val="003958F9"/>
    <w:rsid w:val="0039595F"/>
    <w:rsid w:val="00395AFF"/>
    <w:rsid w:val="0039705A"/>
    <w:rsid w:val="00397E2C"/>
    <w:rsid w:val="003A14D3"/>
    <w:rsid w:val="003A1D61"/>
    <w:rsid w:val="003A3356"/>
    <w:rsid w:val="003A4589"/>
    <w:rsid w:val="003A535F"/>
    <w:rsid w:val="003A7C2A"/>
    <w:rsid w:val="003B17D9"/>
    <w:rsid w:val="003B1E62"/>
    <w:rsid w:val="003B39EA"/>
    <w:rsid w:val="003B3A2D"/>
    <w:rsid w:val="003B5FBE"/>
    <w:rsid w:val="003B6367"/>
    <w:rsid w:val="003B688A"/>
    <w:rsid w:val="003B7D24"/>
    <w:rsid w:val="003C1006"/>
    <w:rsid w:val="003C18B0"/>
    <w:rsid w:val="003C486C"/>
    <w:rsid w:val="003C4A2D"/>
    <w:rsid w:val="003C6E00"/>
    <w:rsid w:val="003C7689"/>
    <w:rsid w:val="003C79A5"/>
    <w:rsid w:val="003D0AFD"/>
    <w:rsid w:val="003D1264"/>
    <w:rsid w:val="003D15B1"/>
    <w:rsid w:val="003D3110"/>
    <w:rsid w:val="003D3EE4"/>
    <w:rsid w:val="003D5538"/>
    <w:rsid w:val="003D743C"/>
    <w:rsid w:val="003D7B7E"/>
    <w:rsid w:val="003D7D80"/>
    <w:rsid w:val="003E2035"/>
    <w:rsid w:val="003E3159"/>
    <w:rsid w:val="003E33CB"/>
    <w:rsid w:val="003E3804"/>
    <w:rsid w:val="003E4184"/>
    <w:rsid w:val="003E695A"/>
    <w:rsid w:val="003E6CAE"/>
    <w:rsid w:val="003E7474"/>
    <w:rsid w:val="003E770F"/>
    <w:rsid w:val="003F0A82"/>
    <w:rsid w:val="003F140F"/>
    <w:rsid w:val="003F15F8"/>
    <w:rsid w:val="003F27C9"/>
    <w:rsid w:val="003F2FAB"/>
    <w:rsid w:val="003F3990"/>
    <w:rsid w:val="003F508B"/>
    <w:rsid w:val="003F51AF"/>
    <w:rsid w:val="003F56E6"/>
    <w:rsid w:val="003F6603"/>
    <w:rsid w:val="003F7A76"/>
    <w:rsid w:val="0040363A"/>
    <w:rsid w:val="004058C3"/>
    <w:rsid w:val="00406267"/>
    <w:rsid w:val="004115C8"/>
    <w:rsid w:val="0041160A"/>
    <w:rsid w:val="004117E7"/>
    <w:rsid w:val="0041358B"/>
    <w:rsid w:val="004139F0"/>
    <w:rsid w:val="00413CAC"/>
    <w:rsid w:val="00413DD2"/>
    <w:rsid w:val="004154B1"/>
    <w:rsid w:val="004161BE"/>
    <w:rsid w:val="0041657C"/>
    <w:rsid w:val="00417779"/>
    <w:rsid w:val="00417A62"/>
    <w:rsid w:val="004207B8"/>
    <w:rsid w:val="0042104C"/>
    <w:rsid w:val="004235A3"/>
    <w:rsid w:val="0042380C"/>
    <w:rsid w:val="00423858"/>
    <w:rsid w:val="00424C84"/>
    <w:rsid w:val="00424EEA"/>
    <w:rsid w:val="00424F99"/>
    <w:rsid w:val="00425881"/>
    <w:rsid w:val="00432E03"/>
    <w:rsid w:val="00435A5D"/>
    <w:rsid w:val="00435C91"/>
    <w:rsid w:val="00435CE6"/>
    <w:rsid w:val="0043683F"/>
    <w:rsid w:val="00436D24"/>
    <w:rsid w:val="00437596"/>
    <w:rsid w:val="00440801"/>
    <w:rsid w:val="00440ACF"/>
    <w:rsid w:val="00442558"/>
    <w:rsid w:val="0044315C"/>
    <w:rsid w:val="00443690"/>
    <w:rsid w:val="004438D5"/>
    <w:rsid w:val="00443F9E"/>
    <w:rsid w:val="00452340"/>
    <w:rsid w:val="004526CC"/>
    <w:rsid w:val="00452D23"/>
    <w:rsid w:val="00452FC0"/>
    <w:rsid w:val="00453710"/>
    <w:rsid w:val="00454915"/>
    <w:rsid w:val="004560EA"/>
    <w:rsid w:val="00456D07"/>
    <w:rsid w:val="0045728F"/>
    <w:rsid w:val="00461C92"/>
    <w:rsid w:val="00462678"/>
    <w:rsid w:val="00462E5E"/>
    <w:rsid w:val="00462FEC"/>
    <w:rsid w:val="0046455A"/>
    <w:rsid w:val="00464631"/>
    <w:rsid w:val="00464EAB"/>
    <w:rsid w:val="00465870"/>
    <w:rsid w:val="00465ADE"/>
    <w:rsid w:val="00472F69"/>
    <w:rsid w:val="004742C1"/>
    <w:rsid w:val="00474F94"/>
    <w:rsid w:val="004754FC"/>
    <w:rsid w:val="004755B8"/>
    <w:rsid w:val="00475DCB"/>
    <w:rsid w:val="00476E90"/>
    <w:rsid w:val="004775DA"/>
    <w:rsid w:val="00477A00"/>
    <w:rsid w:val="00480306"/>
    <w:rsid w:val="0048075D"/>
    <w:rsid w:val="004807F2"/>
    <w:rsid w:val="004841F9"/>
    <w:rsid w:val="0048731E"/>
    <w:rsid w:val="00487607"/>
    <w:rsid w:val="00492D0F"/>
    <w:rsid w:val="004940FA"/>
    <w:rsid w:val="004946A2"/>
    <w:rsid w:val="00496FB5"/>
    <w:rsid w:val="004A08C3"/>
    <w:rsid w:val="004A11F7"/>
    <w:rsid w:val="004A1986"/>
    <w:rsid w:val="004A1A7F"/>
    <w:rsid w:val="004A380C"/>
    <w:rsid w:val="004A3D76"/>
    <w:rsid w:val="004A447F"/>
    <w:rsid w:val="004A47A6"/>
    <w:rsid w:val="004A522C"/>
    <w:rsid w:val="004A66A0"/>
    <w:rsid w:val="004A7B06"/>
    <w:rsid w:val="004B055B"/>
    <w:rsid w:val="004B13A3"/>
    <w:rsid w:val="004B1FC6"/>
    <w:rsid w:val="004B2EB1"/>
    <w:rsid w:val="004B4104"/>
    <w:rsid w:val="004B42E3"/>
    <w:rsid w:val="004B6A5F"/>
    <w:rsid w:val="004C0FA6"/>
    <w:rsid w:val="004C1DBA"/>
    <w:rsid w:val="004C4B86"/>
    <w:rsid w:val="004C4F86"/>
    <w:rsid w:val="004C665B"/>
    <w:rsid w:val="004C6721"/>
    <w:rsid w:val="004D0CB4"/>
    <w:rsid w:val="004D15E0"/>
    <w:rsid w:val="004D4F43"/>
    <w:rsid w:val="004D55D1"/>
    <w:rsid w:val="004D61BC"/>
    <w:rsid w:val="004D6C82"/>
    <w:rsid w:val="004E02C5"/>
    <w:rsid w:val="004E07D8"/>
    <w:rsid w:val="004E0BA6"/>
    <w:rsid w:val="004E1AFB"/>
    <w:rsid w:val="004E25C4"/>
    <w:rsid w:val="004E2B59"/>
    <w:rsid w:val="004E2F24"/>
    <w:rsid w:val="004E3099"/>
    <w:rsid w:val="004E4AD0"/>
    <w:rsid w:val="004E4D0E"/>
    <w:rsid w:val="004E6500"/>
    <w:rsid w:val="004E68DE"/>
    <w:rsid w:val="004E6C32"/>
    <w:rsid w:val="004E755E"/>
    <w:rsid w:val="004F0FDE"/>
    <w:rsid w:val="004F165A"/>
    <w:rsid w:val="004F1872"/>
    <w:rsid w:val="004F20F6"/>
    <w:rsid w:val="004F578D"/>
    <w:rsid w:val="004F7488"/>
    <w:rsid w:val="005002FE"/>
    <w:rsid w:val="00500594"/>
    <w:rsid w:val="00500A37"/>
    <w:rsid w:val="00500B91"/>
    <w:rsid w:val="005038ED"/>
    <w:rsid w:val="005044EC"/>
    <w:rsid w:val="0050648E"/>
    <w:rsid w:val="005118B6"/>
    <w:rsid w:val="005131C0"/>
    <w:rsid w:val="005163CB"/>
    <w:rsid w:val="00517CF3"/>
    <w:rsid w:val="00520A23"/>
    <w:rsid w:val="00521689"/>
    <w:rsid w:val="0052203A"/>
    <w:rsid w:val="00522AB6"/>
    <w:rsid w:val="00523165"/>
    <w:rsid w:val="005243E3"/>
    <w:rsid w:val="00527ABD"/>
    <w:rsid w:val="00530403"/>
    <w:rsid w:val="00530849"/>
    <w:rsid w:val="00530EA1"/>
    <w:rsid w:val="00531D06"/>
    <w:rsid w:val="00532668"/>
    <w:rsid w:val="005327FF"/>
    <w:rsid w:val="00537C06"/>
    <w:rsid w:val="00537CBD"/>
    <w:rsid w:val="00540B35"/>
    <w:rsid w:val="005423EF"/>
    <w:rsid w:val="005429B5"/>
    <w:rsid w:val="00543D6D"/>
    <w:rsid w:val="00546F4E"/>
    <w:rsid w:val="00547AE1"/>
    <w:rsid w:val="00551AE2"/>
    <w:rsid w:val="00551B11"/>
    <w:rsid w:val="0055248C"/>
    <w:rsid w:val="0055409B"/>
    <w:rsid w:val="00554B99"/>
    <w:rsid w:val="00557959"/>
    <w:rsid w:val="00561878"/>
    <w:rsid w:val="005644DF"/>
    <w:rsid w:val="00565E48"/>
    <w:rsid w:val="005663BE"/>
    <w:rsid w:val="005671FA"/>
    <w:rsid w:val="005716BD"/>
    <w:rsid w:val="005718B4"/>
    <w:rsid w:val="00572214"/>
    <w:rsid w:val="00572A00"/>
    <w:rsid w:val="00572E4A"/>
    <w:rsid w:val="005730E1"/>
    <w:rsid w:val="005753D7"/>
    <w:rsid w:val="00577848"/>
    <w:rsid w:val="00580F02"/>
    <w:rsid w:val="00580F05"/>
    <w:rsid w:val="0058182E"/>
    <w:rsid w:val="00581B3E"/>
    <w:rsid w:val="00582E3A"/>
    <w:rsid w:val="0058305E"/>
    <w:rsid w:val="00586BFE"/>
    <w:rsid w:val="00587EDC"/>
    <w:rsid w:val="005901BA"/>
    <w:rsid w:val="00591B53"/>
    <w:rsid w:val="00592EFC"/>
    <w:rsid w:val="00594062"/>
    <w:rsid w:val="00594B30"/>
    <w:rsid w:val="00595080"/>
    <w:rsid w:val="0059579B"/>
    <w:rsid w:val="00595A9E"/>
    <w:rsid w:val="005973BC"/>
    <w:rsid w:val="005A0910"/>
    <w:rsid w:val="005A13DC"/>
    <w:rsid w:val="005A187F"/>
    <w:rsid w:val="005A283A"/>
    <w:rsid w:val="005A3EBC"/>
    <w:rsid w:val="005A4892"/>
    <w:rsid w:val="005A686E"/>
    <w:rsid w:val="005A7180"/>
    <w:rsid w:val="005A769A"/>
    <w:rsid w:val="005A78AC"/>
    <w:rsid w:val="005B0DD9"/>
    <w:rsid w:val="005B1677"/>
    <w:rsid w:val="005B18C2"/>
    <w:rsid w:val="005B21A0"/>
    <w:rsid w:val="005B2800"/>
    <w:rsid w:val="005B2C93"/>
    <w:rsid w:val="005B2CDC"/>
    <w:rsid w:val="005B4035"/>
    <w:rsid w:val="005B48F2"/>
    <w:rsid w:val="005B73C6"/>
    <w:rsid w:val="005C09B7"/>
    <w:rsid w:val="005C1A3F"/>
    <w:rsid w:val="005C1E07"/>
    <w:rsid w:val="005C3281"/>
    <w:rsid w:val="005C3AF5"/>
    <w:rsid w:val="005C6800"/>
    <w:rsid w:val="005C6E5C"/>
    <w:rsid w:val="005D0522"/>
    <w:rsid w:val="005D0EF6"/>
    <w:rsid w:val="005D1493"/>
    <w:rsid w:val="005D3416"/>
    <w:rsid w:val="005D3F09"/>
    <w:rsid w:val="005D5EE3"/>
    <w:rsid w:val="005D60CC"/>
    <w:rsid w:val="005D631C"/>
    <w:rsid w:val="005D6806"/>
    <w:rsid w:val="005D6E94"/>
    <w:rsid w:val="005D7294"/>
    <w:rsid w:val="005D7A67"/>
    <w:rsid w:val="005D7BAA"/>
    <w:rsid w:val="005E1D74"/>
    <w:rsid w:val="005E2889"/>
    <w:rsid w:val="005E2C1E"/>
    <w:rsid w:val="005E2CF0"/>
    <w:rsid w:val="005E32AE"/>
    <w:rsid w:val="005E5272"/>
    <w:rsid w:val="005E5697"/>
    <w:rsid w:val="005E5FF2"/>
    <w:rsid w:val="005E61E4"/>
    <w:rsid w:val="005E6802"/>
    <w:rsid w:val="005F02A3"/>
    <w:rsid w:val="005F0EFA"/>
    <w:rsid w:val="005F2C79"/>
    <w:rsid w:val="005F376A"/>
    <w:rsid w:val="005F423E"/>
    <w:rsid w:val="005F5701"/>
    <w:rsid w:val="005F6ADD"/>
    <w:rsid w:val="005F6BF5"/>
    <w:rsid w:val="005F6DFE"/>
    <w:rsid w:val="005F70D1"/>
    <w:rsid w:val="005F7875"/>
    <w:rsid w:val="0060059F"/>
    <w:rsid w:val="00600662"/>
    <w:rsid w:val="00600678"/>
    <w:rsid w:val="006018BE"/>
    <w:rsid w:val="00602185"/>
    <w:rsid w:val="00603519"/>
    <w:rsid w:val="006047D8"/>
    <w:rsid w:val="006049D2"/>
    <w:rsid w:val="00606773"/>
    <w:rsid w:val="00607240"/>
    <w:rsid w:val="00607321"/>
    <w:rsid w:val="00607A07"/>
    <w:rsid w:val="0061003A"/>
    <w:rsid w:val="0061310A"/>
    <w:rsid w:val="006151B9"/>
    <w:rsid w:val="00615E46"/>
    <w:rsid w:val="00616C9A"/>
    <w:rsid w:val="00617E6A"/>
    <w:rsid w:val="00617EC6"/>
    <w:rsid w:val="00621698"/>
    <w:rsid w:val="00622816"/>
    <w:rsid w:val="00624643"/>
    <w:rsid w:val="006254E5"/>
    <w:rsid w:val="00626983"/>
    <w:rsid w:val="006272A5"/>
    <w:rsid w:val="006278B1"/>
    <w:rsid w:val="00627A5D"/>
    <w:rsid w:val="00627C83"/>
    <w:rsid w:val="006304B1"/>
    <w:rsid w:val="006304FA"/>
    <w:rsid w:val="006310A2"/>
    <w:rsid w:val="006315FC"/>
    <w:rsid w:val="006317C9"/>
    <w:rsid w:val="0063353D"/>
    <w:rsid w:val="00635CA1"/>
    <w:rsid w:val="00640744"/>
    <w:rsid w:val="00640A64"/>
    <w:rsid w:val="00642254"/>
    <w:rsid w:val="00644499"/>
    <w:rsid w:val="00645C14"/>
    <w:rsid w:val="0064652C"/>
    <w:rsid w:val="0064679A"/>
    <w:rsid w:val="0064698A"/>
    <w:rsid w:val="00650D8C"/>
    <w:rsid w:val="00651592"/>
    <w:rsid w:val="00652A30"/>
    <w:rsid w:val="00652E01"/>
    <w:rsid w:val="0065540C"/>
    <w:rsid w:val="006578D0"/>
    <w:rsid w:val="00657B66"/>
    <w:rsid w:val="00661637"/>
    <w:rsid w:val="00662D5B"/>
    <w:rsid w:val="00663514"/>
    <w:rsid w:val="00663C9A"/>
    <w:rsid w:val="0066449B"/>
    <w:rsid w:val="00666410"/>
    <w:rsid w:val="006701AE"/>
    <w:rsid w:val="00670EE6"/>
    <w:rsid w:val="00673327"/>
    <w:rsid w:val="00673497"/>
    <w:rsid w:val="00675AC8"/>
    <w:rsid w:val="00675FCD"/>
    <w:rsid w:val="006842B7"/>
    <w:rsid w:val="00684431"/>
    <w:rsid w:val="00684F56"/>
    <w:rsid w:val="00685DE1"/>
    <w:rsid w:val="00686B5E"/>
    <w:rsid w:val="00690494"/>
    <w:rsid w:val="00691F34"/>
    <w:rsid w:val="0069271A"/>
    <w:rsid w:val="006928D0"/>
    <w:rsid w:val="0069623B"/>
    <w:rsid w:val="00696868"/>
    <w:rsid w:val="006972B6"/>
    <w:rsid w:val="00697C15"/>
    <w:rsid w:val="006A039E"/>
    <w:rsid w:val="006A0D6B"/>
    <w:rsid w:val="006A2DCE"/>
    <w:rsid w:val="006A32F5"/>
    <w:rsid w:val="006A420A"/>
    <w:rsid w:val="006A4309"/>
    <w:rsid w:val="006A5B1F"/>
    <w:rsid w:val="006A62F9"/>
    <w:rsid w:val="006B1BC2"/>
    <w:rsid w:val="006B25A8"/>
    <w:rsid w:val="006B2E2C"/>
    <w:rsid w:val="006B32F5"/>
    <w:rsid w:val="006B3442"/>
    <w:rsid w:val="006B3F34"/>
    <w:rsid w:val="006B5BF7"/>
    <w:rsid w:val="006B7F2D"/>
    <w:rsid w:val="006C0203"/>
    <w:rsid w:val="006C0721"/>
    <w:rsid w:val="006C1493"/>
    <w:rsid w:val="006C14E1"/>
    <w:rsid w:val="006C227F"/>
    <w:rsid w:val="006C3412"/>
    <w:rsid w:val="006C3C1A"/>
    <w:rsid w:val="006C4A0E"/>
    <w:rsid w:val="006C511D"/>
    <w:rsid w:val="006C7255"/>
    <w:rsid w:val="006D1619"/>
    <w:rsid w:val="006D306D"/>
    <w:rsid w:val="006D3B4E"/>
    <w:rsid w:val="006D450A"/>
    <w:rsid w:val="006D51B6"/>
    <w:rsid w:val="006D5F00"/>
    <w:rsid w:val="006D7E2E"/>
    <w:rsid w:val="006E0BA3"/>
    <w:rsid w:val="006E0C81"/>
    <w:rsid w:val="006E0D0C"/>
    <w:rsid w:val="006E201C"/>
    <w:rsid w:val="006E266E"/>
    <w:rsid w:val="006E359E"/>
    <w:rsid w:val="006E7097"/>
    <w:rsid w:val="006F043A"/>
    <w:rsid w:val="006F10D9"/>
    <w:rsid w:val="006F1CAC"/>
    <w:rsid w:val="006F1FE0"/>
    <w:rsid w:val="006F2B02"/>
    <w:rsid w:val="006F2C9A"/>
    <w:rsid w:val="006F435B"/>
    <w:rsid w:val="006F67AA"/>
    <w:rsid w:val="006F72E8"/>
    <w:rsid w:val="00700731"/>
    <w:rsid w:val="00700E71"/>
    <w:rsid w:val="00702720"/>
    <w:rsid w:val="0070528A"/>
    <w:rsid w:val="00705662"/>
    <w:rsid w:val="00706BA2"/>
    <w:rsid w:val="00707A8C"/>
    <w:rsid w:val="00707CDF"/>
    <w:rsid w:val="00710FB0"/>
    <w:rsid w:val="00711B60"/>
    <w:rsid w:val="00712109"/>
    <w:rsid w:val="0071248E"/>
    <w:rsid w:val="00712D03"/>
    <w:rsid w:val="007130D6"/>
    <w:rsid w:val="007140D2"/>
    <w:rsid w:val="0071502D"/>
    <w:rsid w:val="00715068"/>
    <w:rsid w:val="00715549"/>
    <w:rsid w:val="00716661"/>
    <w:rsid w:val="007166A2"/>
    <w:rsid w:val="00716F21"/>
    <w:rsid w:val="007204ED"/>
    <w:rsid w:val="00721264"/>
    <w:rsid w:val="00721974"/>
    <w:rsid w:val="00723086"/>
    <w:rsid w:val="00723489"/>
    <w:rsid w:val="00723D15"/>
    <w:rsid w:val="007254BD"/>
    <w:rsid w:val="00726332"/>
    <w:rsid w:val="00726721"/>
    <w:rsid w:val="00727FAB"/>
    <w:rsid w:val="007333CD"/>
    <w:rsid w:val="0073470B"/>
    <w:rsid w:val="00734A79"/>
    <w:rsid w:val="00735E53"/>
    <w:rsid w:val="00736075"/>
    <w:rsid w:val="00737219"/>
    <w:rsid w:val="007403B2"/>
    <w:rsid w:val="00740FC5"/>
    <w:rsid w:val="007410F2"/>
    <w:rsid w:val="007423F3"/>
    <w:rsid w:val="007439D1"/>
    <w:rsid w:val="00743C72"/>
    <w:rsid w:val="007441C0"/>
    <w:rsid w:val="00744BDA"/>
    <w:rsid w:val="00744F0F"/>
    <w:rsid w:val="00745106"/>
    <w:rsid w:val="00745CBD"/>
    <w:rsid w:val="00745D2C"/>
    <w:rsid w:val="007467D3"/>
    <w:rsid w:val="00746B51"/>
    <w:rsid w:val="00750831"/>
    <w:rsid w:val="00750E14"/>
    <w:rsid w:val="007514A8"/>
    <w:rsid w:val="007521AE"/>
    <w:rsid w:val="0075425A"/>
    <w:rsid w:val="007551AC"/>
    <w:rsid w:val="00760A21"/>
    <w:rsid w:val="00760D30"/>
    <w:rsid w:val="00762878"/>
    <w:rsid w:val="00762BA6"/>
    <w:rsid w:val="00763729"/>
    <w:rsid w:val="00763E8C"/>
    <w:rsid w:val="007640AE"/>
    <w:rsid w:val="00771807"/>
    <w:rsid w:val="00773166"/>
    <w:rsid w:val="00773E86"/>
    <w:rsid w:val="00774275"/>
    <w:rsid w:val="00774E80"/>
    <w:rsid w:val="007751D9"/>
    <w:rsid w:val="00775588"/>
    <w:rsid w:val="007763E2"/>
    <w:rsid w:val="00780510"/>
    <w:rsid w:val="0078081C"/>
    <w:rsid w:val="007809E3"/>
    <w:rsid w:val="00780C2D"/>
    <w:rsid w:val="00781B7E"/>
    <w:rsid w:val="00781D46"/>
    <w:rsid w:val="0078344A"/>
    <w:rsid w:val="00783D25"/>
    <w:rsid w:val="00784602"/>
    <w:rsid w:val="00784BB8"/>
    <w:rsid w:val="00791533"/>
    <w:rsid w:val="00791AFA"/>
    <w:rsid w:val="0079216E"/>
    <w:rsid w:val="00792C56"/>
    <w:rsid w:val="00793BFA"/>
    <w:rsid w:val="0079412E"/>
    <w:rsid w:val="007941D7"/>
    <w:rsid w:val="00795624"/>
    <w:rsid w:val="007965C9"/>
    <w:rsid w:val="00796A8E"/>
    <w:rsid w:val="007A06E3"/>
    <w:rsid w:val="007A0C3D"/>
    <w:rsid w:val="007A1D59"/>
    <w:rsid w:val="007A246F"/>
    <w:rsid w:val="007A3227"/>
    <w:rsid w:val="007A57E3"/>
    <w:rsid w:val="007A5B09"/>
    <w:rsid w:val="007A6AC6"/>
    <w:rsid w:val="007B1EEE"/>
    <w:rsid w:val="007B276A"/>
    <w:rsid w:val="007B27EE"/>
    <w:rsid w:val="007B39DD"/>
    <w:rsid w:val="007B6B55"/>
    <w:rsid w:val="007C0543"/>
    <w:rsid w:val="007C102B"/>
    <w:rsid w:val="007C3CE1"/>
    <w:rsid w:val="007C55B1"/>
    <w:rsid w:val="007C5FBC"/>
    <w:rsid w:val="007C6E61"/>
    <w:rsid w:val="007D059E"/>
    <w:rsid w:val="007D2410"/>
    <w:rsid w:val="007D5061"/>
    <w:rsid w:val="007D5F6E"/>
    <w:rsid w:val="007E1412"/>
    <w:rsid w:val="007E1B40"/>
    <w:rsid w:val="007E6148"/>
    <w:rsid w:val="007F38C9"/>
    <w:rsid w:val="007F4A9E"/>
    <w:rsid w:val="007F4AF1"/>
    <w:rsid w:val="007F4D11"/>
    <w:rsid w:val="007F73B3"/>
    <w:rsid w:val="00800F97"/>
    <w:rsid w:val="0080183F"/>
    <w:rsid w:val="00801ADC"/>
    <w:rsid w:val="0080481D"/>
    <w:rsid w:val="00804969"/>
    <w:rsid w:val="00805CB3"/>
    <w:rsid w:val="00806970"/>
    <w:rsid w:val="008069CF"/>
    <w:rsid w:val="00806E18"/>
    <w:rsid w:val="00807E5F"/>
    <w:rsid w:val="008103C9"/>
    <w:rsid w:val="00811F92"/>
    <w:rsid w:val="0081283A"/>
    <w:rsid w:val="008128E0"/>
    <w:rsid w:val="008134B2"/>
    <w:rsid w:val="00813DEB"/>
    <w:rsid w:val="00814635"/>
    <w:rsid w:val="008146C7"/>
    <w:rsid w:val="00815747"/>
    <w:rsid w:val="0081639F"/>
    <w:rsid w:val="0081654B"/>
    <w:rsid w:val="00816C4D"/>
    <w:rsid w:val="008202BD"/>
    <w:rsid w:val="00821F2B"/>
    <w:rsid w:val="00822155"/>
    <w:rsid w:val="008230FF"/>
    <w:rsid w:val="00824C50"/>
    <w:rsid w:val="00825F09"/>
    <w:rsid w:val="0083385D"/>
    <w:rsid w:val="00834AC1"/>
    <w:rsid w:val="00835672"/>
    <w:rsid w:val="00835A29"/>
    <w:rsid w:val="008361D3"/>
    <w:rsid w:val="00836F40"/>
    <w:rsid w:val="00837022"/>
    <w:rsid w:val="008408A2"/>
    <w:rsid w:val="008415CD"/>
    <w:rsid w:val="008455C4"/>
    <w:rsid w:val="00846874"/>
    <w:rsid w:val="00847467"/>
    <w:rsid w:val="00847F67"/>
    <w:rsid w:val="008515DF"/>
    <w:rsid w:val="008518CD"/>
    <w:rsid w:val="008520B1"/>
    <w:rsid w:val="00855A96"/>
    <w:rsid w:val="00855C65"/>
    <w:rsid w:val="00856017"/>
    <w:rsid w:val="00856B06"/>
    <w:rsid w:val="0085710A"/>
    <w:rsid w:val="008577AA"/>
    <w:rsid w:val="0086393A"/>
    <w:rsid w:val="0086446C"/>
    <w:rsid w:val="00866077"/>
    <w:rsid w:val="00866583"/>
    <w:rsid w:val="00866C27"/>
    <w:rsid w:val="00867DE6"/>
    <w:rsid w:val="0087083F"/>
    <w:rsid w:val="00873257"/>
    <w:rsid w:val="0087391D"/>
    <w:rsid w:val="00874388"/>
    <w:rsid w:val="008746AA"/>
    <w:rsid w:val="00874FE4"/>
    <w:rsid w:val="00875B6C"/>
    <w:rsid w:val="00875CCC"/>
    <w:rsid w:val="0087639C"/>
    <w:rsid w:val="00877816"/>
    <w:rsid w:val="00877B2B"/>
    <w:rsid w:val="008801EC"/>
    <w:rsid w:val="00882A77"/>
    <w:rsid w:val="00882C3A"/>
    <w:rsid w:val="008847C0"/>
    <w:rsid w:val="0088666B"/>
    <w:rsid w:val="00886767"/>
    <w:rsid w:val="00886877"/>
    <w:rsid w:val="00887DB9"/>
    <w:rsid w:val="00890E76"/>
    <w:rsid w:val="00894680"/>
    <w:rsid w:val="00894B8C"/>
    <w:rsid w:val="00896816"/>
    <w:rsid w:val="00896959"/>
    <w:rsid w:val="008A2157"/>
    <w:rsid w:val="008A35B2"/>
    <w:rsid w:val="008A375D"/>
    <w:rsid w:val="008A57DD"/>
    <w:rsid w:val="008A58FC"/>
    <w:rsid w:val="008A6761"/>
    <w:rsid w:val="008A68C6"/>
    <w:rsid w:val="008A6BAC"/>
    <w:rsid w:val="008A6C97"/>
    <w:rsid w:val="008A712F"/>
    <w:rsid w:val="008A74EF"/>
    <w:rsid w:val="008B29D9"/>
    <w:rsid w:val="008B2E6E"/>
    <w:rsid w:val="008B5CD1"/>
    <w:rsid w:val="008B61B4"/>
    <w:rsid w:val="008B6A7C"/>
    <w:rsid w:val="008B79E8"/>
    <w:rsid w:val="008C063F"/>
    <w:rsid w:val="008C10B9"/>
    <w:rsid w:val="008C12B5"/>
    <w:rsid w:val="008C1F22"/>
    <w:rsid w:val="008C1FDB"/>
    <w:rsid w:val="008C3196"/>
    <w:rsid w:val="008C45C3"/>
    <w:rsid w:val="008C4FD8"/>
    <w:rsid w:val="008C7161"/>
    <w:rsid w:val="008D0162"/>
    <w:rsid w:val="008D12C0"/>
    <w:rsid w:val="008D4433"/>
    <w:rsid w:val="008D4AC9"/>
    <w:rsid w:val="008D4E82"/>
    <w:rsid w:val="008D60B6"/>
    <w:rsid w:val="008E0175"/>
    <w:rsid w:val="008E05C9"/>
    <w:rsid w:val="008E2815"/>
    <w:rsid w:val="008E5C59"/>
    <w:rsid w:val="008E674E"/>
    <w:rsid w:val="008E7BC5"/>
    <w:rsid w:val="008E7D85"/>
    <w:rsid w:val="008F0A20"/>
    <w:rsid w:val="008F0D12"/>
    <w:rsid w:val="008F11D7"/>
    <w:rsid w:val="008F2318"/>
    <w:rsid w:val="008F32E1"/>
    <w:rsid w:val="008F3443"/>
    <w:rsid w:val="008F3874"/>
    <w:rsid w:val="008F4F2B"/>
    <w:rsid w:val="008F6AFF"/>
    <w:rsid w:val="008F70CB"/>
    <w:rsid w:val="00900753"/>
    <w:rsid w:val="009032EF"/>
    <w:rsid w:val="0090496F"/>
    <w:rsid w:val="009053C4"/>
    <w:rsid w:val="009060B0"/>
    <w:rsid w:val="0090619D"/>
    <w:rsid w:val="009061AF"/>
    <w:rsid w:val="00906F4F"/>
    <w:rsid w:val="00907865"/>
    <w:rsid w:val="00910404"/>
    <w:rsid w:val="0091157A"/>
    <w:rsid w:val="00911ACC"/>
    <w:rsid w:val="00912211"/>
    <w:rsid w:val="00912B57"/>
    <w:rsid w:val="00913AEC"/>
    <w:rsid w:val="00914037"/>
    <w:rsid w:val="009141B0"/>
    <w:rsid w:val="0091454B"/>
    <w:rsid w:val="009150FC"/>
    <w:rsid w:val="0091788D"/>
    <w:rsid w:val="009178AD"/>
    <w:rsid w:val="00920908"/>
    <w:rsid w:val="009217BE"/>
    <w:rsid w:val="009239BA"/>
    <w:rsid w:val="00924044"/>
    <w:rsid w:val="009244B7"/>
    <w:rsid w:val="00925940"/>
    <w:rsid w:val="00926350"/>
    <w:rsid w:val="009270BF"/>
    <w:rsid w:val="00927EB5"/>
    <w:rsid w:val="00930657"/>
    <w:rsid w:val="00931DAB"/>
    <w:rsid w:val="00931FC4"/>
    <w:rsid w:val="009327A6"/>
    <w:rsid w:val="00932C8F"/>
    <w:rsid w:val="0093375A"/>
    <w:rsid w:val="009357D8"/>
    <w:rsid w:val="009366D6"/>
    <w:rsid w:val="00936953"/>
    <w:rsid w:val="00937C85"/>
    <w:rsid w:val="00937F5B"/>
    <w:rsid w:val="00940860"/>
    <w:rsid w:val="00940B13"/>
    <w:rsid w:val="00940E72"/>
    <w:rsid w:val="00942662"/>
    <w:rsid w:val="0094336E"/>
    <w:rsid w:val="00943C36"/>
    <w:rsid w:val="00944CC7"/>
    <w:rsid w:val="0094501A"/>
    <w:rsid w:val="00945396"/>
    <w:rsid w:val="00945997"/>
    <w:rsid w:val="00950313"/>
    <w:rsid w:val="00950A1B"/>
    <w:rsid w:val="00950F35"/>
    <w:rsid w:val="0095178F"/>
    <w:rsid w:val="009524F8"/>
    <w:rsid w:val="00953BF8"/>
    <w:rsid w:val="00954A6D"/>
    <w:rsid w:val="00954C41"/>
    <w:rsid w:val="00955C8A"/>
    <w:rsid w:val="00955E00"/>
    <w:rsid w:val="00956043"/>
    <w:rsid w:val="009564D1"/>
    <w:rsid w:val="009602B2"/>
    <w:rsid w:val="0096110C"/>
    <w:rsid w:val="00963615"/>
    <w:rsid w:val="00964AF7"/>
    <w:rsid w:val="00964CE8"/>
    <w:rsid w:val="00965270"/>
    <w:rsid w:val="009653D5"/>
    <w:rsid w:val="0096553B"/>
    <w:rsid w:val="00967E56"/>
    <w:rsid w:val="00970DC7"/>
    <w:rsid w:val="00971356"/>
    <w:rsid w:val="0097157B"/>
    <w:rsid w:val="00972C35"/>
    <w:rsid w:val="00973E5E"/>
    <w:rsid w:val="00974CCC"/>
    <w:rsid w:val="00975A78"/>
    <w:rsid w:val="00976244"/>
    <w:rsid w:val="00976C10"/>
    <w:rsid w:val="00977A1C"/>
    <w:rsid w:val="00981AB9"/>
    <w:rsid w:val="00981F25"/>
    <w:rsid w:val="009836FD"/>
    <w:rsid w:val="00983D4F"/>
    <w:rsid w:val="009866F4"/>
    <w:rsid w:val="009902AC"/>
    <w:rsid w:val="00992445"/>
    <w:rsid w:val="0099262C"/>
    <w:rsid w:val="009929DD"/>
    <w:rsid w:val="009954BA"/>
    <w:rsid w:val="00995B20"/>
    <w:rsid w:val="00995CA5"/>
    <w:rsid w:val="00997DDD"/>
    <w:rsid w:val="009A01C1"/>
    <w:rsid w:val="009A1BF2"/>
    <w:rsid w:val="009A2098"/>
    <w:rsid w:val="009A2419"/>
    <w:rsid w:val="009A2FAC"/>
    <w:rsid w:val="009A3639"/>
    <w:rsid w:val="009A3A8A"/>
    <w:rsid w:val="009A433A"/>
    <w:rsid w:val="009A7332"/>
    <w:rsid w:val="009A7522"/>
    <w:rsid w:val="009A76D0"/>
    <w:rsid w:val="009B005B"/>
    <w:rsid w:val="009B0752"/>
    <w:rsid w:val="009B0E9C"/>
    <w:rsid w:val="009B1153"/>
    <w:rsid w:val="009B1EA0"/>
    <w:rsid w:val="009B241F"/>
    <w:rsid w:val="009B29C2"/>
    <w:rsid w:val="009B2A4F"/>
    <w:rsid w:val="009B53DF"/>
    <w:rsid w:val="009B5AD2"/>
    <w:rsid w:val="009B6B0B"/>
    <w:rsid w:val="009B6BEA"/>
    <w:rsid w:val="009B6C7C"/>
    <w:rsid w:val="009B79B6"/>
    <w:rsid w:val="009B7D7C"/>
    <w:rsid w:val="009C1E6B"/>
    <w:rsid w:val="009C20F6"/>
    <w:rsid w:val="009C2BCF"/>
    <w:rsid w:val="009C39EF"/>
    <w:rsid w:val="009C5003"/>
    <w:rsid w:val="009C5A6B"/>
    <w:rsid w:val="009C62EA"/>
    <w:rsid w:val="009C704F"/>
    <w:rsid w:val="009D045B"/>
    <w:rsid w:val="009D0DFB"/>
    <w:rsid w:val="009D1773"/>
    <w:rsid w:val="009D2B21"/>
    <w:rsid w:val="009D3078"/>
    <w:rsid w:val="009D3E98"/>
    <w:rsid w:val="009D4031"/>
    <w:rsid w:val="009D46AB"/>
    <w:rsid w:val="009E0D01"/>
    <w:rsid w:val="009E1392"/>
    <w:rsid w:val="009E14FB"/>
    <w:rsid w:val="009E767F"/>
    <w:rsid w:val="009F202A"/>
    <w:rsid w:val="009F28A3"/>
    <w:rsid w:val="009F2A9E"/>
    <w:rsid w:val="009F2E6D"/>
    <w:rsid w:val="009F386B"/>
    <w:rsid w:val="009F497A"/>
    <w:rsid w:val="009F51AC"/>
    <w:rsid w:val="009F5E08"/>
    <w:rsid w:val="009F79A5"/>
    <w:rsid w:val="00A001C4"/>
    <w:rsid w:val="00A012B1"/>
    <w:rsid w:val="00A0412E"/>
    <w:rsid w:val="00A05E25"/>
    <w:rsid w:val="00A05E55"/>
    <w:rsid w:val="00A07863"/>
    <w:rsid w:val="00A10A20"/>
    <w:rsid w:val="00A11426"/>
    <w:rsid w:val="00A11554"/>
    <w:rsid w:val="00A1316C"/>
    <w:rsid w:val="00A13880"/>
    <w:rsid w:val="00A138AE"/>
    <w:rsid w:val="00A14351"/>
    <w:rsid w:val="00A14C2C"/>
    <w:rsid w:val="00A15177"/>
    <w:rsid w:val="00A17FFE"/>
    <w:rsid w:val="00A20A9E"/>
    <w:rsid w:val="00A210B4"/>
    <w:rsid w:val="00A21934"/>
    <w:rsid w:val="00A23BF9"/>
    <w:rsid w:val="00A242C6"/>
    <w:rsid w:val="00A254DB"/>
    <w:rsid w:val="00A2597B"/>
    <w:rsid w:val="00A30620"/>
    <w:rsid w:val="00A31A03"/>
    <w:rsid w:val="00A3248E"/>
    <w:rsid w:val="00A33394"/>
    <w:rsid w:val="00A33F62"/>
    <w:rsid w:val="00A348C2"/>
    <w:rsid w:val="00A369FF"/>
    <w:rsid w:val="00A36CD1"/>
    <w:rsid w:val="00A40828"/>
    <w:rsid w:val="00A41045"/>
    <w:rsid w:val="00A41EAA"/>
    <w:rsid w:val="00A421C1"/>
    <w:rsid w:val="00A43F55"/>
    <w:rsid w:val="00A44256"/>
    <w:rsid w:val="00A45C01"/>
    <w:rsid w:val="00A45CB2"/>
    <w:rsid w:val="00A465D7"/>
    <w:rsid w:val="00A479A8"/>
    <w:rsid w:val="00A530A7"/>
    <w:rsid w:val="00A53F1E"/>
    <w:rsid w:val="00A5464B"/>
    <w:rsid w:val="00A54F6D"/>
    <w:rsid w:val="00A5564D"/>
    <w:rsid w:val="00A56A90"/>
    <w:rsid w:val="00A57360"/>
    <w:rsid w:val="00A603A9"/>
    <w:rsid w:val="00A60E9B"/>
    <w:rsid w:val="00A612AB"/>
    <w:rsid w:val="00A61902"/>
    <w:rsid w:val="00A63D70"/>
    <w:rsid w:val="00A6434F"/>
    <w:rsid w:val="00A646DB"/>
    <w:rsid w:val="00A64BC8"/>
    <w:rsid w:val="00A6638D"/>
    <w:rsid w:val="00A669B8"/>
    <w:rsid w:val="00A67390"/>
    <w:rsid w:val="00A72484"/>
    <w:rsid w:val="00A7354D"/>
    <w:rsid w:val="00A74521"/>
    <w:rsid w:val="00A74A43"/>
    <w:rsid w:val="00A762EC"/>
    <w:rsid w:val="00A80248"/>
    <w:rsid w:val="00A819F3"/>
    <w:rsid w:val="00A82972"/>
    <w:rsid w:val="00A83520"/>
    <w:rsid w:val="00A86303"/>
    <w:rsid w:val="00A867EB"/>
    <w:rsid w:val="00A8704A"/>
    <w:rsid w:val="00A874F5"/>
    <w:rsid w:val="00A90672"/>
    <w:rsid w:val="00A90884"/>
    <w:rsid w:val="00A91B1E"/>
    <w:rsid w:val="00A92528"/>
    <w:rsid w:val="00A92638"/>
    <w:rsid w:val="00A9308D"/>
    <w:rsid w:val="00A9365D"/>
    <w:rsid w:val="00A93E6D"/>
    <w:rsid w:val="00A9431F"/>
    <w:rsid w:val="00A94A95"/>
    <w:rsid w:val="00A96C33"/>
    <w:rsid w:val="00AA5446"/>
    <w:rsid w:val="00AB015B"/>
    <w:rsid w:val="00AB1CDD"/>
    <w:rsid w:val="00AB2D0B"/>
    <w:rsid w:val="00AB2E74"/>
    <w:rsid w:val="00AB350E"/>
    <w:rsid w:val="00AB5604"/>
    <w:rsid w:val="00AB5AA9"/>
    <w:rsid w:val="00AB6A6A"/>
    <w:rsid w:val="00AB7684"/>
    <w:rsid w:val="00AC0B83"/>
    <w:rsid w:val="00AC5D4F"/>
    <w:rsid w:val="00AC5E5D"/>
    <w:rsid w:val="00AD006D"/>
    <w:rsid w:val="00AD0EF9"/>
    <w:rsid w:val="00AD1211"/>
    <w:rsid w:val="00AD1AC6"/>
    <w:rsid w:val="00AD2E28"/>
    <w:rsid w:val="00AD3158"/>
    <w:rsid w:val="00AD3A72"/>
    <w:rsid w:val="00AD58F7"/>
    <w:rsid w:val="00AD7066"/>
    <w:rsid w:val="00AD71E1"/>
    <w:rsid w:val="00AD7885"/>
    <w:rsid w:val="00AE00C5"/>
    <w:rsid w:val="00AE03BE"/>
    <w:rsid w:val="00AE0DC6"/>
    <w:rsid w:val="00AE1913"/>
    <w:rsid w:val="00AE2288"/>
    <w:rsid w:val="00AE457E"/>
    <w:rsid w:val="00AE46C8"/>
    <w:rsid w:val="00AE4CB1"/>
    <w:rsid w:val="00AE6A58"/>
    <w:rsid w:val="00AE7763"/>
    <w:rsid w:val="00AF05C9"/>
    <w:rsid w:val="00AF121D"/>
    <w:rsid w:val="00AF1754"/>
    <w:rsid w:val="00AF1C0F"/>
    <w:rsid w:val="00AF1C84"/>
    <w:rsid w:val="00AF2AB3"/>
    <w:rsid w:val="00B002F0"/>
    <w:rsid w:val="00B0060A"/>
    <w:rsid w:val="00B006D6"/>
    <w:rsid w:val="00B00FBC"/>
    <w:rsid w:val="00B02C68"/>
    <w:rsid w:val="00B03096"/>
    <w:rsid w:val="00B03AA8"/>
    <w:rsid w:val="00B04539"/>
    <w:rsid w:val="00B04BC6"/>
    <w:rsid w:val="00B06154"/>
    <w:rsid w:val="00B067AA"/>
    <w:rsid w:val="00B06B1F"/>
    <w:rsid w:val="00B06B41"/>
    <w:rsid w:val="00B10217"/>
    <w:rsid w:val="00B10570"/>
    <w:rsid w:val="00B10765"/>
    <w:rsid w:val="00B108A9"/>
    <w:rsid w:val="00B10CA6"/>
    <w:rsid w:val="00B10FCA"/>
    <w:rsid w:val="00B121C4"/>
    <w:rsid w:val="00B1392C"/>
    <w:rsid w:val="00B20661"/>
    <w:rsid w:val="00B21603"/>
    <w:rsid w:val="00B217FF"/>
    <w:rsid w:val="00B21F5B"/>
    <w:rsid w:val="00B22FF4"/>
    <w:rsid w:val="00B23047"/>
    <w:rsid w:val="00B2427D"/>
    <w:rsid w:val="00B24977"/>
    <w:rsid w:val="00B24CCF"/>
    <w:rsid w:val="00B251F9"/>
    <w:rsid w:val="00B26229"/>
    <w:rsid w:val="00B26B77"/>
    <w:rsid w:val="00B3018E"/>
    <w:rsid w:val="00B307B5"/>
    <w:rsid w:val="00B30BDF"/>
    <w:rsid w:val="00B311C1"/>
    <w:rsid w:val="00B3152B"/>
    <w:rsid w:val="00B31772"/>
    <w:rsid w:val="00B31916"/>
    <w:rsid w:val="00B31E51"/>
    <w:rsid w:val="00B32472"/>
    <w:rsid w:val="00B33C06"/>
    <w:rsid w:val="00B36B3C"/>
    <w:rsid w:val="00B424E0"/>
    <w:rsid w:val="00B432AB"/>
    <w:rsid w:val="00B436F6"/>
    <w:rsid w:val="00B439F1"/>
    <w:rsid w:val="00B44EFA"/>
    <w:rsid w:val="00B45DC0"/>
    <w:rsid w:val="00B50534"/>
    <w:rsid w:val="00B50C32"/>
    <w:rsid w:val="00B51879"/>
    <w:rsid w:val="00B53B25"/>
    <w:rsid w:val="00B53DD0"/>
    <w:rsid w:val="00B54043"/>
    <w:rsid w:val="00B54BC2"/>
    <w:rsid w:val="00B579C0"/>
    <w:rsid w:val="00B60359"/>
    <w:rsid w:val="00B612BC"/>
    <w:rsid w:val="00B617D1"/>
    <w:rsid w:val="00B618D2"/>
    <w:rsid w:val="00B62369"/>
    <w:rsid w:val="00B65D2D"/>
    <w:rsid w:val="00B678F1"/>
    <w:rsid w:val="00B67C61"/>
    <w:rsid w:val="00B67F75"/>
    <w:rsid w:val="00B738B7"/>
    <w:rsid w:val="00B74F1D"/>
    <w:rsid w:val="00B75865"/>
    <w:rsid w:val="00B767EF"/>
    <w:rsid w:val="00B805A0"/>
    <w:rsid w:val="00B80D26"/>
    <w:rsid w:val="00B812E6"/>
    <w:rsid w:val="00B83C44"/>
    <w:rsid w:val="00B83F5B"/>
    <w:rsid w:val="00B83FDE"/>
    <w:rsid w:val="00B873D8"/>
    <w:rsid w:val="00B87B20"/>
    <w:rsid w:val="00B90A1A"/>
    <w:rsid w:val="00B90FDD"/>
    <w:rsid w:val="00B91185"/>
    <w:rsid w:val="00B925BD"/>
    <w:rsid w:val="00B92BF9"/>
    <w:rsid w:val="00B93537"/>
    <w:rsid w:val="00B9380C"/>
    <w:rsid w:val="00B957C4"/>
    <w:rsid w:val="00B95AC4"/>
    <w:rsid w:val="00BA1B06"/>
    <w:rsid w:val="00BA2C11"/>
    <w:rsid w:val="00BA2D3A"/>
    <w:rsid w:val="00BA324F"/>
    <w:rsid w:val="00BA34C5"/>
    <w:rsid w:val="00BA394B"/>
    <w:rsid w:val="00BA4142"/>
    <w:rsid w:val="00BA4507"/>
    <w:rsid w:val="00BA4701"/>
    <w:rsid w:val="00BA7261"/>
    <w:rsid w:val="00BB06A5"/>
    <w:rsid w:val="00BB0788"/>
    <w:rsid w:val="00BB0D9C"/>
    <w:rsid w:val="00BB146C"/>
    <w:rsid w:val="00BB21E8"/>
    <w:rsid w:val="00BB3B46"/>
    <w:rsid w:val="00BB5CEF"/>
    <w:rsid w:val="00BB6BFB"/>
    <w:rsid w:val="00BB6D61"/>
    <w:rsid w:val="00BB7A2A"/>
    <w:rsid w:val="00BB7C27"/>
    <w:rsid w:val="00BC17B1"/>
    <w:rsid w:val="00BC2282"/>
    <w:rsid w:val="00BC57BC"/>
    <w:rsid w:val="00BC5A71"/>
    <w:rsid w:val="00BD0FAF"/>
    <w:rsid w:val="00BD1B88"/>
    <w:rsid w:val="00BD2B14"/>
    <w:rsid w:val="00BD2EBB"/>
    <w:rsid w:val="00BD2F1A"/>
    <w:rsid w:val="00BD636A"/>
    <w:rsid w:val="00BD6CC8"/>
    <w:rsid w:val="00BD7829"/>
    <w:rsid w:val="00BD78DA"/>
    <w:rsid w:val="00BE05A3"/>
    <w:rsid w:val="00BE166C"/>
    <w:rsid w:val="00BE1B02"/>
    <w:rsid w:val="00BE1E48"/>
    <w:rsid w:val="00BE2121"/>
    <w:rsid w:val="00BE2B34"/>
    <w:rsid w:val="00BE4CA4"/>
    <w:rsid w:val="00BE52C4"/>
    <w:rsid w:val="00BE671D"/>
    <w:rsid w:val="00BE7D8D"/>
    <w:rsid w:val="00BF02D5"/>
    <w:rsid w:val="00BF3B60"/>
    <w:rsid w:val="00BF3D2D"/>
    <w:rsid w:val="00BF48C2"/>
    <w:rsid w:val="00BF6361"/>
    <w:rsid w:val="00BF6B09"/>
    <w:rsid w:val="00BF775B"/>
    <w:rsid w:val="00BF792B"/>
    <w:rsid w:val="00C00C49"/>
    <w:rsid w:val="00C011D4"/>
    <w:rsid w:val="00C01E3F"/>
    <w:rsid w:val="00C03A8F"/>
    <w:rsid w:val="00C04B05"/>
    <w:rsid w:val="00C04BBF"/>
    <w:rsid w:val="00C058BB"/>
    <w:rsid w:val="00C05934"/>
    <w:rsid w:val="00C075D8"/>
    <w:rsid w:val="00C07850"/>
    <w:rsid w:val="00C10208"/>
    <w:rsid w:val="00C1244E"/>
    <w:rsid w:val="00C1279B"/>
    <w:rsid w:val="00C12893"/>
    <w:rsid w:val="00C139E9"/>
    <w:rsid w:val="00C14D38"/>
    <w:rsid w:val="00C1589C"/>
    <w:rsid w:val="00C16861"/>
    <w:rsid w:val="00C2029B"/>
    <w:rsid w:val="00C20DD6"/>
    <w:rsid w:val="00C21DBE"/>
    <w:rsid w:val="00C2223D"/>
    <w:rsid w:val="00C22BE4"/>
    <w:rsid w:val="00C248C7"/>
    <w:rsid w:val="00C249CA"/>
    <w:rsid w:val="00C25EA5"/>
    <w:rsid w:val="00C26419"/>
    <w:rsid w:val="00C26726"/>
    <w:rsid w:val="00C301EB"/>
    <w:rsid w:val="00C30A7F"/>
    <w:rsid w:val="00C3211D"/>
    <w:rsid w:val="00C3257D"/>
    <w:rsid w:val="00C327CB"/>
    <w:rsid w:val="00C330DB"/>
    <w:rsid w:val="00C35156"/>
    <w:rsid w:val="00C3527C"/>
    <w:rsid w:val="00C35890"/>
    <w:rsid w:val="00C3589E"/>
    <w:rsid w:val="00C36494"/>
    <w:rsid w:val="00C40C3B"/>
    <w:rsid w:val="00C433D1"/>
    <w:rsid w:val="00C45ABC"/>
    <w:rsid w:val="00C45B02"/>
    <w:rsid w:val="00C45E5E"/>
    <w:rsid w:val="00C47FF8"/>
    <w:rsid w:val="00C515B6"/>
    <w:rsid w:val="00C521F7"/>
    <w:rsid w:val="00C540B2"/>
    <w:rsid w:val="00C54DAA"/>
    <w:rsid w:val="00C5523A"/>
    <w:rsid w:val="00C557AD"/>
    <w:rsid w:val="00C566B0"/>
    <w:rsid w:val="00C56AA2"/>
    <w:rsid w:val="00C56BBD"/>
    <w:rsid w:val="00C57572"/>
    <w:rsid w:val="00C57593"/>
    <w:rsid w:val="00C579A8"/>
    <w:rsid w:val="00C60FF6"/>
    <w:rsid w:val="00C6133E"/>
    <w:rsid w:val="00C62C85"/>
    <w:rsid w:val="00C63B48"/>
    <w:rsid w:val="00C63CEB"/>
    <w:rsid w:val="00C6429F"/>
    <w:rsid w:val="00C65A25"/>
    <w:rsid w:val="00C661F8"/>
    <w:rsid w:val="00C665AF"/>
    <w:rsid w:val="00C712D4"/>
    <w:rsid w:val="00C72E14"/>
    <w:rsid w:val="00C73BCD"/>
    <w:rsid w:val="00C73FC4"/>
    <w:rsid w:val="00C74905"/>
    <w:rsid w:val="00C7585F"/>
    <w:rsid w:val="00C75BFD"/>
    <w:rsid w:val="00C760A8"/>
    <w:rsid w:val="00C7614D"/>
    <w:rsid w:val="00C80246"/>
    <w:rsid w:val="00C80259"/>
    <w:rsid w:val="00C8116E"/>
    <w:rsid w:val="00C81B89"/>
    <w:rsid w:val="00C83299"/>
    <w:rsid w:val="00C83C63"/>
    <w:rsid w:val="00C85384"/>
    <w:rsid w:val="00C8690F"/>
    <w:rsid w:val="00C871ED"/>
    <w:rsid w:val="00C9016E"/>
    <w:rsid w:val="00C91B7E"/>
    <w:rsid w:val="00C931DF"/>
    <w:rsid w:val="00C9589E"/>
    <w:rsid w:val="00CA0ACC"/>
    <w:rsid w:val="00CA2935"/>
    <w:rsid w:val="00CA2CBC"/>
    <w:rsid w:val="00CA504C"/>
    <w:rsid w:val="00CA54DD"/>
    <w:rsid w:val="00CA5904"/>
    <w:rsid w:val="00CA6397"/>
    <w:rsid w:val="00CA6F68"/>
    <w:rsid w:val="00CA703F"/>
    <w:rsid w:val="00CB078E"/>
    <w:rsid w:val="00CB158F"/>
    <w:rsid w:val="00CB1CA8"/>
    <w:rsid w:val="00CB29F1"/>
    <w:rsid w:val="00CB363B"/>
    <w:rsid w:val="00CB3B77"/>
    <w:rsid w:val="00CB57CC"/>
    <w:rsid w:val="00CB5F7F"/>
    <w:rsid w:val="00CB64E4"/>
    <w:rsid w:val="00CB6945"/>
    <w:rsid w:val="00CB72A1"/>
    <w:rsid w:val="00CB7610"/>
    <w:rsid w:val="00CB7C99"/>
    <w:rsid w:val="00CB7D3B"/>
    <w:rsid w:val="00CC077A"/>
    <w:rsid w:val="00CC1AE2"/>
    <w:rsid w:val="00CC5960"/>
    <w:rsid w:val="00CC627C"/>
    <w:rsid w:val="00CC6D4E"/>
    <w:rsid w:val="00CC7D20"/>
    <w:rsid w:val="00CD18A1"/>
    <w:rsid w:val="00CD1B90"/>
    <w:rsid w:val="00CD27BE"/>
    <w:rsid w:val="00CD30C7"/>
    <w:rsid w:val="00CD3EC6"/>
    <w:rsid w:val="00CD3ED1"/>
    <w:rsid w:val="00CD4AB0"/>
    <w:rsid w:val="00CD4BFE"/>
    <w:rsid w:val="00CD55AC"/>
    <w:rsid w:val="00CD6BEA"/>
    <w:rsid w:val="00CD7211"/>
    <w:rsid w:val="00CE020F"/>
    <w:rsid w:val="00CE0D22"/>
    <w:rsid w:val="00CE3A18"/>
    <w:rsid w:val="00CE3DA3"/>
    <w:rsid w:val="00CE3F59"/>
    <w:rsid w:val="00CE444A"/>
    <w:rsid w:val="00CE63DA"/>
    <w:rsid w:val="00CE64BF"/>
    <w:rsid w:val="00CE6844"/>
    <w:rsid w:val="00CE6E62"/>
    <w:rsid w:val="00CF0171"/>
    <w:rsid w:val="00CF2483"/>
    <w:rsid w:val="00CF2A88"/>
    <w:rsid w:val="00CF3367"/>
    <w:rsid w:val="00CF4F68"/>
    <w:rsid w:val="00CF5353"/>
    <w:rsid w:val="00CF53BC"/>
    <w:rsid w:val="00CF7D55"/>
    <w:rsid w:val="00D00591"/>
    <w:rsid w:val="00D00E4D"/>
    <w:rsid w:val="00D022D6"/>
    <w:rsid w:val="00D029AB"/>
    <w:rsid w:val="00D02E80"/>
    <w:rsid w:val="00D03128"/>
    <w:rsid w:val="00D037F4"/>
    <w:rsid w:val="00D038CA"/>
    <w:rsid w:val="00D03BA7"/>
    <w:rsid w:val="00D0474A"/>
    <w:rsid w:val="00D0613F"/>
    <w:rsid w:val="00D07305"/>
    <w:rsid w:val="00D11EFC"/>
    <w:rsid w:val="00D1273B"/>
    <w:rsid w:val="00D14E2E"/>
    <w:rsid w:val="00D154AF"/>
    <w:rsid w:val="00D1599C"/>
    <w:rsid w:val="00D20F4B"/>
    <w:rsid w:val="00D218D7"/>
    <w:rsid w:val="00D21CB9"/>
    <w:rsid w:val="00D21D21"/>
    <w:rsid w:val="00D21FDA"/>
    <w:rsid w:val="00D22B58"/>
    <w:rsid w:val="00D23154"/>
    <w:rsid w:val="00D2322E"/>
    <w:rsid w:val="00D24B15"/>
    <w:rsid w:val="00D24DBB"/>
    <w:rsid w:val="00D25CCD"/>
    <w:rsid w:val="00D278AB"/>
    <w:rsid w:val="00D27D8A"/>
    <w:rsid w:val="00D3045E"/>
    <w:rsid w:val="00D3176D"/>
    <w:rsid w:val="00D33C43"/>
    <w:rsid w:val="00D3445B"/>
    <w:rsid w:val="00D34D8F"/>
    <w:rsid w:val="00D36244"/>
    <w:rsid w:val="00D365BB"/>
    <w:rsid w:val="00D36D49"/>
    <w:rsid w:val="00D41375"/>
    <w:rsid w:val="00D42E7B"/>
    <w:rsid w:val="00D46EDD"/>
    <w:rsid w:val="00D474EF"/>
    <w:rsid w:val="00D47730"/>
    <w:rsid w:val="00D50880"/>
    <w:rsid w:val="00D514B3"/>
    <w:rsid w:val="00D51AFC"/>
    <w:rsid w:val="00D51B8D"/>
    <w:rsid w:val="00D5290C"/>
    <w:rsid w:val="00D529C5"/>
    <w:rsid w:val="00D53832"/>
    <w:rsid w:val="00D53AF1"/>
    <w:rsid w:val="00D54DF3"/>
    <w:rsid w:val="00D61023"/>
    <w:rsid w:val="00D61581"/>
    <w:rsid w:val="00D61BB0"/>
    <w:rsid w:val="00D6212C"/>
    <w:rsid w:val="00D62657"/>
    <w:rsid w:val="00D639C2"/>
    <w:rsid w:val="00D63D3E"/>
    <w:rsid w:val="00D64E37"/>
    <w:rsid w:val="00D64F48"/>
    <w:rsid w:val="00D66E25"/>
    <w:rsid w:val="00D66E74"/>
    <w:rsid w:val="00D72A80"/>
    <w:rsid w:val="00D73D67"/>
    <w:rsid w:val="00D74557"/>
    <w:rsid w:val="00D74E12"/>
    <w:rsid w:val="00D76669"/>
    <w:rsid w:val="00D77E02"/>
    <w:rsid w:val="00D80686"/>
    <w:rsid w:val="00D808AA"/>
    <w:rsid w:val="00D82C98"/>
    <w:rsid w:val="00D83379"/>
    <w:rsid w:val="00D8392C"/>
    <w:rsid w:val="00D83958"/>
    <w:rsid w:val="00D84F70"/>
    <w:rsid w:val="00D8548E"/>
    <w:rsid w:val="00D859E4"/>
    <w:rsid w:val="00D85C19"/>
    <w:rsid w:val="00D93656"/>
    <w:rsid w:val="00D93AD8"/>
    <w:rsid w:val="00D94099"/>
    <w:rsid w:val="00D9470D"/>
    <w:rsid w:val="00D9482F"/>
    <w:rsid w:val="00D94E24"/>
    <w:rsid w:val="00D9565F"/>
    <w:rsid w:val="00D960A9"/>
    <w:rsid w:val="00D96B15"/>
    <w:rsid w:val="00D97D4F"/>
    <w:rsid w:val="00DA07BA"/>
    <w:rsid w:val="00DA0BD5"/>
    <w:rsid w:val="00DA0EDC"/>
    <w:rsid w:val="00DA1DE5"/>
    <w:rsid w:val="00DA25A5"/>
    <w:rsid w:val="00DA2644"/>
    <w:rsid w:val="00DA338F"/>
    <w:rsid w:val="00DA3C3A"/>
    <w:rsid w:val="00DA3F07"/>
    <w:rsid w:val="00DA46EE"/>
    <w:rsid w:val="00DA508F"/>
    <w:rsid w:val="00DA50E9"/>
    <w:rsid w:val="00DA6425"/>
    <w:rsid w:val="00DA686F"/>
    <w:rsid w:val="00DA6FA6"/>
    <w:rsid w:val="00DA7398"/>
    <w:rsid w:val="00DA7C99"/>
    <w:rsid w:val="00DB1199"/>
    <w:rsid w:val="00DB1912"/>
    <w:rsid w:val="00DB20DE"/>
    <w:rsid w:val="00DB3B3B"/>
    <w:rsid w:val="00DB4013"/>
    <w:rsid w:val="00DB5A63"/>
    <w:rsid w:val="00DB5E8F"/>
    <w:rsid w:val="00DB69B6"/>
    <w:rsid w:val="00DB6B94"/>
    <w:rsid w:val="00DB6BEF"/>
    <w:rsid w:val="00DC0DE9"/>
    <w:rsid w:val="00DC0F04"/>
    <w:rsid w:val="00DC1704"/>
    <w:rsid w:val="00DC1D1F"/>
    <w:rsid w:val="00DC241B"/>
    <w:rsid w:val="00DC458B"/>
    <w:rsid w:val="00DC4CA6"/>
    <w:rsid w:val="00DC5D68"/>
    <w:rsid w:val="00DD25DA"/>
    <w:rsid w:val="00DD3211"/>
    <w:rsid w:val="00DD3E64"/>
    <w:rsid w:val="00DD3EEF"/>
    <w:rsid w:val="00DD570E"/>
    <w:rsid w:val="00DE0750"/>
    <w:rsid w:val="00DE2F70"/>
    <w:rsid w:val="00DE4D0F"/>
    <w:rsid w:val="00DE65E5"/>
    <w:rsid w:val="00DF0AEC"/>
    <w:rsid w:val="00DF148C"/>
    <w:rsid w:val="00DF1ABF"/>
    <w:rsid w:val="00DF4593"/>
    <w:rsid w:val="00DF4A85"/>
    <w:rsid w:val="00DF5414"/>
    <w:rsid w:val="00DF5E0E"/>
    <w:rsid w:val="00DF6BFB"/>
    <w:rsid w:val="00DF7128"/>
    <w:rsid w:val="00E00748"/>
    <w:rsid w:val="00E01595"/>
    <w:rsid w:val="00E0220C"/>
    <w:rsid w:val="00E02FD1"/>
    <w:rsid w:val="00E052AE"/>
    <w:rsid w:val="00E05E83"/>
    <w:rsid w:val="00E10A09"/>
    <w:rsid w:val="00E10CBD"/>
    <w:rsid w:val="00E12531"/>
    <w:rsid w:val="00E13649"/>
    <w:rsid w:val="00E154B6"/>
    <w:rsid w:val="00E217C2"/>
    <w:rsid w:val="00E21EAD"/>
    <w:rsid w:val="00E22EC7"/>
    <w:rsid w:val="00E23CF4"/>
    <w:rsid w:val="00E25754"/>
    <w:rsid w:val="00E26EEE"/>
    <w:rsid w:val="00E27578"/>
    <w:rsid w:val="00E277C7"/>
    <w:rsid w:val="00E30728"/>
    <w:rsid w:val="00E3263D"/>
    <w:rsid w:val="00E3357B"/>
    <w:rsid w:val="00E33EC6"/>
    <w:rsid w:val="00E34295"/>
    <w:rsid w:val="00E343D9"/>
    <w:rsid w:val="00E37603"/>
    <w:rsid w:val="00E41DF1"/>
    <w:rsid w:val="00E43162"/>
    <w:rsid w:val="00E434F3"/>
    <w:rsid w:val="00E440A0"/>
    <w:rsid w:val="00E44C16"/>
    <w:rsid w:val="00E45DE8"/>
    <w:rsid w:val="00E47249"/>
    <w:rsid w:val="00E51492"/>
    <w:rsid w:val="00E5313F"/>
    <w:rsid w:val="00E53B23"/>
    <w:rsid w:val="00E543BF"/>
    <w:rsid w:val="00E54760"/>
    <w:rsid w:val="00E5530D"/>
    <w:rsid w:val="00E559A9"/>
    <w:rsid w:val="00E5689C"/>
    <w:rsid w:val="00E60AB4"/>
    <w:rsid w:val="00E60F5E"/>
    <w:rsid w:val="00E61B55"/>
    <w:rsid w:val="00E655C7"/>
    <w:rsid w:val="00E65DE7"/>
    <w:rsid w:val="00E65EBA"/>
    <w:rsid w:val="00E70E49"/>
    <w:rsid w:val="00E7260F"/>
    <w:rsid w:val="00E739CE"/>
    <w:rsid w:val="00E73C4F"/>
    <w:rsid w:val="00E77FC8"/>
    <w:rsid w:val="00E8255C"/>
    <w:rsid w:val="00E82BFE"/>
    <w:rsid w:val="00E82CC2"/>
    <w:rsid w:val="00E82F52"/>
    <w:rsid w:val="00E832C2"/>
    <w:rsid w:val="00E850D1"/>
    <w:rsid w:val="00E8534E"/>
    <w:rsid w:val="00E85CB4"/>
    <w:rsid w:val="00E872C9"/>
    <w:rsid w:val="00E90359"/>
    <w:rsid w:val="00E90B85"/>
    <w:rsid w:val="00E90E37"/>
    <w:rsid w:val="00E91A4D"/>
    <w:rsid w:val="00E92B37"/>
    <w:rsid w:val="00E9475C"/>
    <w:rsid w:val="00EA1EA1"/>
    <w:rsid w:val="00EA26B4"/>
    <w:rsid w:val="00EA2B7D"/>
    <w:rsid w:val="00EA2BBC"/>
    <w:rsid w:val="00EA2FF2"/>
    <w:rsid w:val="00EA30E4"/>
    <w:rsid w:val="00EA4571"/>
    <w:rsid w:val="00EA6038"/>
    <w:rsid w:val="00EA6213"/>
    <w:rsid w:val="00EB102A"/>
    <w:rsid w:val="00EB19C6"/>
    <w:rsid w:val="00EB26BF"/>
    <w:rsid w:val="00EB441A"/>
    <w:rsid w:val="00EB4CAE"/>
    <w:rsid w:val="00EB56AA"/>
    <w:rsid w:val="00EB60E8"/>
    <w:rsid w:val="00EB7CD1"/>
    <w:rsid w:val="00EC00F3"/>
    <w:rsid w:val="00EC1AE5"/>
    <w:rsid w:val="00EC4C32"/>
    <w:rsid w:val="00EC6871"/>
    <w:rsid w:val="00EC7402"/>
    <w:rsid w:val="00EC7E96"/>
    <w:rsid w:val="00ED125E"/>
    <w:rsid w:val="00ED3A98"/>
    <w:rsid w:val="00ED4AF0"/>
    <w:rsid w:val="00ED5A98"/>
    <w:rsid w:val="00ED5F1E"/>
    <w:rsid w:val="00EE1DE8"/>
    <w:rsid w:val="00EE3A04"/>
    <w:rsid w:val="00EE46C7"/>
    <w:rsid w:val="00EE5D2B"/>
    <w:rsid w:val="00EF0EB4"/>
    <w:rsid w:val="00EF1A4A"/>
    <w:rsid w:val="00EF1B52"/>
    <w:rsid w:val="00EF20DF"/>
    <w:rsid w:val="00EF3192"/>
    <w:rsid w:val="00EF4111"/>
    <w:rsid w:val="00EF41A2"/>
    <w:rsid w:val="00EF4CA2"/>
    <w:rsid w:val="00EF4EE7"/>
    <w:rsid w:val="00EF518B"/>
    <w:rsid w:val="00EF54CF"/>
    <w:rsid w:val="00EF576F"/>
    <w:rsid w:val="00EF6A43"/>
    <w:rsid w:val="00EF6B45"/>
    <w:rsid w:val="00EF6F13"/>
    <w:rsid w:val="00F00CC4"/>
    <w:rsid w:val="00F012EE"/>
    <w:rsid w:val="00F0203E"/>
    <w:rsid w:val="00F029CF"/>
    <w:rsid w:val="00F04749"/>
    <w:rsid w:val="00F04905"/>
    <w:rsid w:val="00F0503C"/>
    <w:rsid w:val="00F05189"/>
    <w:rsid w:val="00F110CE"/>
    <w:rsid w:val="00F122C7"/>
    <w:rsid w:val="00F126DC"/>
    <w:rsid w:val="00F1446D"/>
    <w:rsid w:val="00F14C54"/>
    <w:rsid w:val="00F1532B"/>
    <w:rsid w:val="00F15384"/>
    <w:rsid w:val="00F15680"/>
    <w:rsid w:val="00F15706"/>
    <w:rsid w:val="00F15BFB"/>
    <w:rsid w:val="00F15D28"/>
    <w:rsid w:val="00F20160"/>
    <w:rsid w:val="00F22B47"/>
    <w:rsid w:val="00F22C2C"/>
    <w:rsid w:val="00F22C7D"/>
    <w:rsid w:val="00F25CEB"/>
    <w:rsid w:val="00F27EF5"/>
    <w:rsid w:val="00F27F65"/>
    <w:rsid w:val="00F30E8A"/>
    <w:rsid w:val="00F3173E"/>
    <w:rsid w:val="00F322A2"/>
    <w:rsid w:val="00F33137"/>
    <w:rsid w:val="00F335AE"/>
    <w:rsid w:val="00F349DF"/>
    <w:rsid w:val="00F3597A"/>
    <w:rsid w:val="00F35B3C"/>
    <w:rsid w:val="00F40968"/>
    <w:rsid w:val="00F42115"/>
    <w:rsid w:val="00F42208"/>
    <w:rsid w:val="00F42851"/>
    <w:rsid w:val="00F42978"/>
    <w:rsid w:val="00F42B4C"/>
    <w:rsid w:val="00F43705"/>
    <w:rsid w:val="00F454B7"/>
    <w:rsid w:val="00F45F14"/>
    <w:rsid w:val="00F50C66"/>
    <w:rsid w:val="00F51437"/>
    <w:rsid w:val="00F51D42"/>
    <w:rsid w:val="00F53A58"/>
    <w:rsid w:val="00F53E95"/>
    <w:rsid w:val="00F55CC3"/>
    <w:rsid w:val="00F562F4"/>
    <w:rsid w:val="00F57269"/>
    <w:rsid w:val="00F57750"/>
    <w:rsid w:val="00F57B99"/>
    <w:rsid w:val="00F60ED5"/>
    <w:rsid w:val="00F60FD4"/>
    <w:rsid w:val="00F611FE"/>
    <w:rsid w:val="00F61780"/>
    <w:rsid w:val="00F62A39"/>
    <w:rsid w:val="00F64409"/>
    <w:rsid w:val="00F64C20"/>
    <w:rsid w:val="00F64FE9"/>
    <w:rsid w:val="00F659BD"/>
    <w:rsid w:val="00F65ADB"/>
    <w:rsid w:val="00F66C03"/>
    <w:rsid w:val="00F676F3"/>
    <w:rsid w:val="00F67714"/>
    <w:rsid w:val="00F67AED"/>
    <w:rsid w:val="00F70C3B"/>
    <w:rsid w:val="00F71FD8"/>
    <w:rsid w:val="00F7287D"/>
    <w:rsid w:val="00F73229"/>
    <w:rsid w:val="00F74482"/>
    <w:rsid w:val="00F74827"/>
    <w:rsid w:val="00F74CD9"/>
    <w:rsid w:val="00F76700"/>
    <w:rsid w:val="00F80470"/>
    <w:rsid w:val="00F810BF"/>
    <w:rsid w:val="00F81342"/>
    <w:rsid w:val="00F84333"/>
    <w:rsid w:val="00F84AE3"/>
    <w:rsid w:val="00F85207"/>
    <w:rsid w:val="00F917A6"/>
    <w:rsid w:val="00F9220F"/>
    <w:rsid w:val="00F94CA1"/>
    <w:rsid w:val="00F967F2"/>
    <w:rsid w:val="00F975FD"/>
    <w:rsid w:val="00F97A40"/>
    <w:rsid w:val="00FA1920"/>
    <w:rsid w:val="00FA2D75"/>
    <w:rsid w:val="00FA3E04"/>
    <w:rsid w:val="00FA530A"/>
    <w:rsid w:val="00FA5CB0"/>
    <w:rsid w:val="00FA6E59"/>
    <w:rsid w:val="00FB16DC"/>
    <w:rsid w:val="00FB1CB1"/>
    <w:rsid w:val="00FB1F63"/>
    <w:rsid w:val="00FC0396"/>
    <w:rsid w:val="00FC0459"/>
    <w:rsid w:val="00FC0EC1"/>
    <w:rsid w:val="00FC148D"/>
    <w:rsid w:val="00FC2FCC"/>
    <w:rsid w:val="00FC3716"/>
    <w:rsid w:val="00FC39DF"/>
    <w:rsid w:val="00FC3C4D"/>
    <w:rsid w:val="00FC5106"/>
    <w:rsid w:val="00FC536D"/>
    <w:rsid w:val="00FC60EF"/>
    <w:rsid w:val="00FC642D"/>
    <w:rsid w:val="00FC75BD"/>
    <w:rsid w:val="00FC75CE"/>
    <w:rsid w:val="00FD04DB"/>
    <w:rsid w:val="00FD1EDE"/>
    <w:rsid w:val="00FD205E"/>
    <w:rsid w:val="00FD21FD"/>
    <w:rsid w:val="00FD310B"/>
    <w:rsid w:val="00FD3643"/>
    <w:rsid w:val="00FD3C2F"/>
    <w:rsid w:val="00FD53E7"/>
    <w:rsid w:val="00FD609E"/>
    <w:rsid w:val="00FD70A6"/>
    <w:rsid w:val="00FE1709"/>
    <w:rsid w:val="00FE3417"/>
    <w:rsid w:val="00FE34EA"/>
    <w:rsid w:val="00FE3640"/>
    <w:rsid w:val="00FE3696"/>
    <w:rsid w:val="00FE401B"/>
    <w:rsid w:val="00FE61D3"/>
    <w:rsid w:val="00FE6F0C"/>
    <w:rsid w:val="00FF0002"/>
    <w:rsid w:val="00FF1376"/>
    <w:rsid w:val="00FF2E2B"/>
    <w:rsid w:val="00FF2E49"/>
    <w:rsid w:val="00FF3B77"/>
    <w:rsid w:val="00FF5ADC"/>
    <w:rsid w:val="00FF7249"/>
    <w:rsid w:val="0113655E"/>
    <w:rsid w:val="011E7BB2"/>
    <w:rsid w:val="014B1195"/>
    <w:rsid w:val="01607F5A"/>
    <w:rsid w:val="01641B4E"/>
    <w:rsid w:val="01820C47"/>
    <w:rsid w:val="0184061D"/>
    <w:rsid w:val="018B665C"/>
    <w:rsid w:val="01902A4C"/>
    <w:rsid w:val="019C59B7"/>
    <w:rsid w:val="01EE6B01"/>
    <w:rsid w:val="01EF4FFC"/>
    <w:rsid w:val="02012D33"/>
    <w:rsid w:val="02156FC0"/>
    <w:rsid w:val="021B6523"/>
    <w:rsid w:val="023251CE"/>
    <w:rsid w:val="02583EDE"/>
    <w:rsid w:val="025C6BD3"/>
    <w:rsid w:val="025E3E16"/>
    <w:rsid w:val="025F6713"/>
    <w:rsid w:val="02725BF2"/>
    <w:rsid w:val="02911C8A"/>
    <w:rsid w:val="02973E21"/>
    <w:rsid w:val="02A90C8B"/>
    <w:rsid w:val="02BC0224"/>
    <w:rsid w:val="02D145B4"/>
    <w:rsid w:val="02DA0CE2"/>
    <w:rsid w:val="02ED250E"/>
    <w:rsid w:val="030C16AB"/>
    <w:rsid w:val="031718CA"/>
    <w:rsid w:val="032E673F"/>
    <w:rsid w:val="03394ED6"/>
    <w:rsid w:val="03484C58"/>
    <w:rsid w:val="038041D2"/>
    <w:rsid w:val="03906A9D"/>
    <w:rsid w:val="039D4BCC"/>
    <w:rsid w:val="039F31E1"/>
    <w:rsid w:val="03B5628A"/>
    <w:rsid w:val="04290E73"/>
    <w:rsid w:val="04315861"/>
    <w:rsid w:val="044F2665"/>
    <w:rsid w:val="04635C6F"/>
    <w:rsid w:val="046A5B62"/>
    <w:rsid w:val="04935193"/>
    <w:rsid w:val="04A27E56"/>
    <w:rsid w:val="04BA0F79"/>
    <w:rsid w:val="04CB68FD"/>
    <w:rsid w:val="04D42AA1"/>
    <w:rsid w:val="04E336F1"/>
    <w:rsid w:val="050D2972"/>
    <w:rsid w:val="051C6D71"/>
    <w:rsid w:val="0538382F"/>
    <w:rsid w:val="055742D8"/>
    <w:rsid w:val="055A4104"/>
    <w:rsid w:val="05621CE6"/>
    <w:rsid w:val="057E2034"/>
    <w:rsid w:val="05816EDB"/>
    <w:rsid w:val="05B67EB8"/>
    <w:rsid w:val="05C1435B"/>
    <w:rsid w:val="05C57BB2"/>
    <w:rsid w:val="05D936F0"/>
    <w:rsid w:val="060F657E"/>
    <w:rsid w:val="062A4F87"/>
    <w:rsid w:val="062D3DC7"/>
    <w:rsid w:val="06433617"/>
    <w:rsid w:val="0671661F"/>
    <w:rsid w:val="067C312A"/>
    <w:rsid w:val="0685645C"/>
    <w:rsid w:val="068F128E"/>
    <w:rsid w:val="069A7D00"/>
    <w:rsid w:val="06CE7559"/>
    <w:rsid w:val="06DB7789"/>
    <w:rsid w:val="06FD7C1E"/>
    <w:rsid w:val="07090F15"/>
    <w:rsid w:val="070A22A2"/>
    <w:rsid w:val="074A38A5"/>
    <w:rsid w:val="074E1893"/>
    <w:rsid w:val="076C12F0"/>
    <w:rsid w:val="076D16FF"/>
    <w:rsid w:val="077E7642"/>
    <w:rsid w:val="07C15891"/>
    <w:rsid w:val="07D44154"/>
    <w:rsid w:val="08021019"/>
    <w:rsid w:val="08116DF9"/>
    <w:rsid w:val="081879B4"/>
    <w:rsid w:val="08191CB0"/>
    <w:rsid w:val="081E0A5F"/>
    <w:rsid w:val="0845665F"/>
    <w:rsid w:val="084F087A"/>
    <w:rsid w:val="085A640E"/>
    <w:rsid w:val="088449F6"/>
    <w:rsid w:val="08A77802"/>
    <w:rsid w:val="08E27955"/>
    <w:rsid w:val="09230939"/>
    <w:rsid w:val="092901FD"/>
    <w:rsid w:val="093A1861"/>
    <w:rsid w:val="09594501"/>
    <w:rsid w:val="095C000D"/>
    <w:rsid w:val="0966490E"/>
    <w:rsid w:val="09842705"/>
    <w:rsid w:val="098F005E"/>
    <w:rsid w:val="09915A57"/>
    <w:rsid w:val="09E32804"/>
    <w:rsid w:val="0A0D0E47"/>
    <w:rsid w:val="0A3E12AF"/>
    <w:rsid w:val="0A460CB4"/>
    <w:rsid w:val="0A664AAD"/>
    <w:rsid w:val="0AB170A6"/>
    <w:rsid w:val="0AB40118"/>
    <w:rsid w:val="0ACD23F4"/>
    <w:rsid w:val="0ADD52C9"/>
    <w:rsid w:val="0AE70684"/>
    <w:rsid w:val="0AF97DF6"/>
    <w:rsid w:val="0AFD7789"/>
    <w:rsid w:val="0B337886"/>
    <w:rsid w:val="0B5F6CBF"/>
    <w:rsid w:val="0B6B0EDD"/>
    <w:rsid w:val="0B814D5B"/>
    <w:rsid w:val="0BAD7822"/>
    <w:rsid w:val="0BDB6E4A"/>
    <w:rsid w:val="0C31209A"/>
    <w:rsid w:val="0C3464B6"/>
    <w:rsid w:val="0C3B2EBC"/>
    <w:rsid w:val="0C647FAC"/>
    <w:rsid w:val="0C675732"/>
    <w:rsid w:val="0C8B1A35"/>
    <w:rsid w:val="0CCB47D1"/>
    <w:rsid w:val="0CCF1999"/>
    <w:rsid w:val="0CFE211B"/>
    <w:rsid w:val="0D5379B4"/>
    <w:rsid w:val="0D552939"/>
    <w:rsid w:val="0D61615E"/>
    <w:rsid w:val="0D6F4AB3"/>
    <w:rsid w:val="0D7007E4"/>
    <w:rsid w:val="0D8244EE"/>
    <w:rsid w:val="0D87111E"/>
    <w:rsid w:val="0DAD7EBB"/>
    <w:rsid w:val="0DB655A7"/>
    <w:rsid w:val="0DC26FA6"/>
    <w:rsid w:val="0DDF525E"/>
    <w:rsid w:val="0DE64ACA"/>
    <w:rsid w:val="0DF038C8"/>
    <w:rsid w:val="0DF465A6"/>
    <w:rsid w:val="0DF95D85"/>
    <w:rsid w:val="0E544341"/>
    <w:rsid w:val="0E571BF0"/>
    <w:rsid w:val="0E582C0E"/>
    <w:rsid w:val="0E593196"/>
    <w:rsid w:val="0E72571D"/>
    <w:rsid w:val="0E765BD3"/>
    <w:rsid w:val="0E784D6B"/>
    <w:rsid w:val="0E8E79A0"/>
    <w:rsid w:val="0E952277"/>
    <w:rsid w:val="0EB60AF3"/>
    <w:rsid w:val="0EC8324F"/>
    <w:rsid w:val="0ED93E59"/>
    <w:rsid w:val="0EE9104E"/>
    <w:rsid w:val="0F0B6BDD"/>
    <w:rsid w:val="0F1364DF"/>
    <w:rsid w:val="0F201D9F"/>
    <w:rsid w:val="0F7465C2"/>
    <w:rsid w:val="0F782854"/>
    <w:rsid w:val="0F8677D0"/>
    <w:rsid w:val="0F9B7EF3"/>
    <w:rsid w:val="0FCB77DB"/>
    <w:rsid w:val="0FD54215"/>
    <w:rsid w:val="0FF51EC7"/>
    <w:rsid w:val="0FFB0BC6"/>
    <w:rsid w:val="0FFF1D0D"/>
    <w:rsid w:val="1006537C"/>
    <w:rsid w:val="10974B6D"/>
    <w:rsid w:val="10A310FC"/>
    <w:rsid w:val="10AA3894"/>
    <w:rsid w:val="10B03E9B"/>
    <w:rsid w:val="10B4717D"/>
    <w:rsid w:val="10D42634"/>
    <w:rsid w:val="10DC478C"/>
    <w:rsid w:val="10FA3929"/>
    <w:rsid w:val="11392095"/>
    <w:rsid w:val="11540B3B"/>
    <w:rsid w:val="11800AD7"/>
    <w:rsid w:val="118A72D7"/>
    <w:rsid w:val="11924486"/>
    <w:rsid w:val="119F2CCD"/>
    <w:rsid w:val="11CF166B"/>
    <w:rsid w:val="11D761C3"/>
    <w:rsid w:val="11E776BC"/>
    <w:rsid w:val="11EC6E2D"/>
    <w:rsid w:val="11EE040F"/>
    <w:rsid w:val="1243018F"/>
    <w:rsid w:val="1243256E"/>
    <w:rsid w:val="12512130"/>
    <w:rsid w:val="12677185"/>
    <w:rsid w:val="12700611"/>
    <w:rsid w:val="12753A2E"/>
    <w:rsid w:val="127F2249"/>
    <w:rsid w:val="1288341D"/>
    <w:rsid w:val="128E262C"/>
    <w:rsid w:val="12A0362C"/>
    <w:rsid w:val="12DA0B0F"/>
    <w:rsid w:val="12F52869"/>
    <w:rsid w:val="13121920"/>
    <w:rsid w:val="13262967"/>
    <w:rsid w:val="134B36AD"/>
    <w:rsid w:val="13590939"/>
    <w:rsid w:val="139550F3"/>
    <w:rsid w:val="139819A1"/>
    <w:rsid w:val="13A6522C"/>
    <w:rsid w:val="13AF7B80"/>
    <w:rsid w:val="13E25C36"/>
    <w:rsid w:val="142620CA"/>
    <w:rsid w:val="148F2268"/>
    <w:rsid w:val="14911FEF"/>
    <w:rsid w:val="149F7D45"/>
    <w:rsid w:val="14C67890"/>
    <w:rsid w:val="14DE7A7A"/>
    <w:rsid w:val="14EE52CF"/>
    <w:rsid w:val="15175FA5"/>
    <w:rsid w:val="155412D5"/>
    <w:rsid w:val="1579125D"/>
    <w:rsid w:val="15DC274C"/>
    <w:rsid w:val="15E940C8"/>
    <w:rsid w:val="1613309D"/>
    <w:rsid w:val="16172D71"/>
    <w:rsid w:val="162765B6"/>
    <w:rsid w:val="16D96471"/>
    <w:rsid w:val="16E1696C"/>
    <w:rsid w:val="16FB40D9"/>
    <w:rsid w:val="173F6126"/>
    <w:rsid w:val="175512C6"/>
    <w:rsid w:val="17617FB3"/>
    <w:rsid w:val="17703A00"/>
    <w:rsid w:val="17763691"/>
    <w:rsid w:val="179611D0"/>
    <w:rsid w:val="17A57692"/>
    <w:rsid w:val="17B93A72"/>
    <w:rsid w:val="17C22236"/>
    <w:rsid w:val="17D029FA"/>
    <w:rsid w:val="17EB5ED3"/>
    <w:rsid w:val="180A0310"/>
    <w:rsid w:val="181C29D9"/>
    <w:rsid w:val="182C439E"/>
    <w:rsid w:val="183C3626"/>
    <w:rsid w:val="18723829"/>
    <w:rsid w:val="18E866D1"/>
    <w:rsid w:val="18EB2BD7"/>
    <w:rsid w:val="190F698A"/>
    <w:rsid w:val="197262BC"/>
    <w:rsid w:val="19821461"/>
    <w:rsid w:val="19A5315A"/>
    <w:rsid w:val="19A54372"/>
    <w:rsid w:val="19A744E5"/>
    <w:rsid w:val="19AF7825"/>
    <w:rsid w:val="19CD7765"/>
    <w:rsid w:val="19D03E12"/>
    <w:rsid w:val="19FA3017"/>
    <w:rsid w:val="1A255D39"/>
    <w:rsid w:val="1A324511"/>
    <w:rsid w:val="1A611670"/>
    <w:rsid w:val="1A6F620D"/>
    <w:rsid w:val="1A714EE9"/>
    <w:rsid w:val="1A7416AD"/>
    <w:rsid w:val="1A7F2105"/>
    <w:rsid w:val="1AA054B6"/>
    <w:rsid w:val="1AAA215C"/>
    <w:rsid w:val="1AB12EF0"/>
    <w:rsid w:val="1AC94453"/>
    <w:rsid w:val="1AC96FBD"/>
    <w:rsid w:val="1AE42320"/>
    <w:rsid w:val="1B036906"/>
    <w:rsid w:val="1B0B2D5F"/>
    <w:rsid w:val="1B1C0087"/>
    <w:rsid w:val="1B4C2ABC"/>
    <w:rsid w:val="1B5A14D5"/>
    <w:rsid w:val="1B836611"/>
    <w:rsid w:val="1B8E2DF1"/>
    <w:rsid w:val="1B9A0D07"/>
    <w:rsid w:val="1BC03FA9"/>
    <w:rsid w:val="1C1D3527"/>
    <w:rsid w:val="1C22077E"/>
    <w:rsid w:val="1C2244EA"/>
    <w:rsid w:val="1C3C10A8"/>
    <w:rsid w:val="1C623248"/>
    <w:rsid w:val="1C8D45B4"/>
    <w:rsid w:val="1CC075E3"/>
    <w:rsid w:val="1CFC74B7"/>
    <w:rsid w:val="1D030B45"/>
    <w:rsid w:val="1D21689A"/>
    <w:rsid w:val="1D2D4C02"/>
    <w:rsid w:val="1D790ECF"/>
    <w:rsid w:val="1DB562B6"/>
    <w:rsid w:val="1DB67054"/>
    <w:rsid w:val="1DCD3253"/>
    <w:rsid w:val="1DE54199"/>
    <w:rsid w:val="1DF506B1"/>
    <w:rsid w:val="1DFE3CBD"/>
    <w:rsid w:val="1E291675"/>
    <w:rsid w:val="1E3231BC"/>
    <w:rsid w:val="1E3B5249"/>
    <w:rsid w:val="1E486668"/>
    <w:rsid w:val="1E4F142C"/>
    <w:rsid w:val="1E547BB3"/>
    <w:rsid w:val="1E7F4090"/>
    <w:rsid w:val="1E844BC6"/>
    <w:rsid w:val="1E8B7BFA"/>
    <w:rsid w:val="1E923E26"/>
    <w:rsid w:val="1E9E5215"/>
    <w:rsid w:val="1EB678A8"/>
    <w:rsid w:val="1EC2467A"/>
    <w:rsid w:val="1EC33075"/>
    <w:rsid w:val="1F021BB1"/>
    <w:rsid w:val="1F100C77"/>
    <w:rsid w:val="1F343A0D"/>
    <w:rsid w:val="1F473A6C"/>
    <w:rsid w:val="1F4B6090"/>
    <w:rsid w:val="1FB91195"/>
    <w:rsid w:val="1FCC6752"/>
    <w:rsid w:val="1FEC4B7E"/>
    <w:rsid w:val="1FFE66D5"/>
    <w:rsid w:val="203D21F9"/>
    <w:rsid w:val="20697E5E"/>
    <w:rsid w:val="207C40A6"/>
    <w:rsid w:val="20866D6F"/>
    <w:rsid w:val="20C62463"/>
    <w:rsid w:val="20CB6BB7"/>
    <w:rsid w:val="20D12A2B"/>
    <w:rsid w:val="20E3505C"/>
    <w:rsid w:val="20E7010E"/>
    <w:rsid w:val="21043A2B"/>
    <w:rsid w:val="212A08CB"/>
    <w:rsid w:val="212C7B36"/>
    <w:rsid w:val="21323F37"/>
    <w:rsid w:val="21345427"/>
    <w:rsid w:val="216D5814"/>
    <w:rsid w:val="21942D47"/>
    <w:rsid w:val="219469DC"/>
    <w:rsid w:val="21AF340C"/>
    <w:rsid w:val="21EF422C"/>
    <w:rsid w:val="22002565"/>
    <w:rsid w:val="228072AE"/>
    <w:rsid w:val="22A00CEC"/>
    <w:rsid w:val="22AE5E3A"/>
    <w:rsid w:val="22DF56C1"/>
    <w:rsid w:val="22EE234D"/>
    <w:rsid w:val="22FB052D"/>
    <w:rsid w:val="23087B19"/>
    <w:rsid w:val="23361B30"/>
    <w:rsid w:val="23421A02"/>
    <w:rsid w:val="234B0FA3"/>
    <w:rsid w:val="23534C81"/>
    <w:rsid w:val="23555041"/>
    <w:rsid w:val="236F30F7"/>
    <w:rsid w:val="23987D26"/>
    <w:rsid w:val="239E037C"/>
    <w:rsid w:val="23B63ED6"/>
    <w:rsid w:val="23C74169"/>
    <w:rsid w:val="23CF1E06"/>
    <w:rsid w:val="23CF7D2F"/>
    <w:rsid w:val="23D143AF"/>
    <w:rsid w:val="24123069"/>
    <w:rsid w:val="246C5CE2"/>
    <w:rsid w:val="248341E4"/>
    <w:rsid w:val="248E4AF3"/>
    <w:rsid w:val="248E671A"/>
    <w:rsid w:val="24A826B2"/>
    <w:rsid w:val="24BF321B"/>
    <w:rsid w:val="24DE0080"/>
    <w:rsid w:val="24FE634E"/>
    <w:rsid w:val="24FF795C"/>
    <w:rsid w:val="253B5299"/>
    <w:rsid w:val="254E5F51"/>
    <w:rsid w:val="254F515A"/>
    <w:rsid w:val="2569719F"/>
    <w:rsid w:val="257F4E89"/>
    <w:rsid w:val="25820A1E"/>
    <w:rsid w:val="25A462E8"/>
    <w:rsid w:val="25B36A54"/>
    <w:rsid w:val="25C54746"/>
    <w:rsid w:val="25C830A3"/>
    <w:rsid w:val="25CA15CF"/>
    <w:rsid w:val="25F86113"/>
    <w:rsid w:val="25FD5BBF"/>
    <w:rsid w:val="263E6EAE"/>
    <w:rsid w:val="266B1F9A"/>
    <w:rsid w:val="269A1EDB"/>
    <w:rsid w:val="26B624B8"/>
    <w:rsid w:val="26B84F3F"/>
    <w:rsid w:val="26BB1522"/>
    <w:rsid w:val="26D0310D"/>
    <w:rsid w:val="26FA74AB"/>
    <w:rsid w:val="2730765B"/>
    <w:rsid w:val="273E1940"/>
    <w:rsid w:val="274B5C72"/>
    <w:rsid w:val="275F0ADD"/>
    <w:rsid w:val="275F5724"/>
    <w:rsid w:val="277039A3"/>
    <w:rsid w:val="278162C0"/>
    <w:rsid w:val="2784110A"/>
    <w:rsid w:val="279F784A"/>
    <w:rsid w:val="27BE4224"/>
    <w:rsid w:val="27E63C90"/>
    <w:rsid w:val="27EA2E0F"/>
    <w:rsid w:val="27F32D5B"/>
    <w:rsid w:val="2803084B"/>
    <w:rsid w:val="28066F5D"/>
    <w:rsid w:val="28076D1D"/>
    <w:rsid w:val="28084E26"/>
    <w:rsid w:val="28245882"/>
    <w:rsid w:val="28562472"/>
    <w:rsid w:val="28645F40"/>
    <w:rsid w:val="286470F9"/>
    <w:rsid w:val="288115BF"/>
    <w:rsid w:val="288204D3"/>
    <w:rsid w:val="28830BE9"/>
    <w:rsid w:val="289A1F85"/>
    <w:rsid w:val="28A3183F"/>
    <w:rsid w:val="28BE3B93"/>
    <w:rsid w:val="28C5217C"/>
    <w:rsid w:val="28CE6FB2"/>
    <w:rsid w:val="29083E10"/>
    <w:rsid w:val="29197F5A"/>
    <w:rsid w:val="296F0D7F"/>
    <w:rsid w:val="297D0A1C"/>
    <w:rsid w:val="2993632A"/>
    <w:rsid w:val="2993717F"/>
    <w:rsid w:val="29A1458A"/>
    <w:rsid w:val="29AD2F0E"/>
    <w:rsid w:val="29DC7154"/>
    <w:rsid w:val="2A0C6454"/>
    <w:rsid w:val="2A122D56"/>
    <w:rsid w:val="2A226763"/>
    <w:rsid w:val="2A2D0551"/>
    <w:rsid w:val="2A365FA9"/>
    <w:rsid w:val="2A400AF0"/>
    <w:rsid w:val="2A52151A"/>
    <w:rsid w:val="2A5E3055"/>
    <w:rsid w:val="2A81520E"/>
    <w:rsid w:val="2ABF20B5"/>
    <w:rsid w:val="2AC60E73"/>
    <w:rsid w:val="2AE11364"/>
    <w:rsid w:val="2AE671CD"/>
    <w:rsid w:val="2B144470"/>
    <w:rsid w:val="2B1A44FF"/>
    <w:rsid w:val="2B1A4E8A"/>
    <w:rsid w:val="2B4726AF"/>
    <w:rsid w:val="2B630C9D"/>
    <w:rsid w:val="2B6C318B"/>
    <w:rsid w:val="2B8A6C4B"/>
    <w:rsid w:val="2B906B13"/>
    <w:rsid w:val="2BA84657"/>
    <w:rsid w:val="2BB55E7C"/>
    <w:rsid w:val="2BD46AF9"/>
    <w:rsid w:val="2BFD65EC"/>
    <w:rsid w:val="2C070842"/>
    <w:rsid w:val="2C083946"/>
    <w:rsid w:val="2C0A135F"/>
    <w:rsid w:val="2C167A04"/>
    <w:rsid w:val="2C1D5D7B"/>
    <w:rsid w:val="2C2660C1"/>
    <w:rsid w:val="2C8266FF"/>
    <w:rsid w:val="2CB52401"/>
    <w:rsid w:val="2CB86089"/>
    <w:rsid w:val="2CE44C5B"/>
    <w:rsid w:val="2CE6087A"/>
    <w:rsid w:val="2CFD2938"/>
    <w:rsid w:val="2D026903"/>
    <w:rsid w:val="2D0D4499"/>
    <w:rsid w:val="2D171166"/>
    <w:rsid w:val="2D3F24F4"/>
    <w:rsid w:val="2D473BC8"/>
    <w:rsid w:val="2D74554B"/>
    <w:rsid w:val="2D791A4B"/>
    <w:rsid w:val="2DEF3FA0"/>
    <w:rsid w:val="2DF63F09"/>
    <w:rsid w:val="2E0408F5"/>
    <w:rsid w:val="2E074A80"/>
    <w:rsid w:val="2E1069BC"/>
    <w:rsid w:val="2E2B4B04"/>
    <w:rsid w:val="2E2B5BA7"/>
    <w:rsid w:val="2E4C1761"/>
    <w:rsid w:val="2E6F516F"/>
    <w:rsid w:val="2EE02675"/>
    <w:rsid w:val="2EFA6616"/>
    <w:rsid w:val="2EFB7579"/>
    <w:rsid w:val="2EFE3D96"/>
    <w:rsid w:val="2EFF2C80"/>
    <w:rsid w:val="2F1176D7"/>
    <w:rsid w:val="2F175043"/>
    <w:rsid w:val="2F35743D"/>
    <w:rsid w:val="2F407553"/>
    <w:rsid w:val="2F4D3AD7"/>
    <w:rsid w:val="2F6F6505"/>
    <w:rsid w:val="2F8B1753"/>
    <w:rsid w:val="2FB971F8"/>
    <w:rsid w:val="2FC27330"/>
    <w:rsid w:val="2FCD0B27"/>
    <w:rsid w:val="3024092D"/>
    <w:rsid w:val="302B0F03"/>
    <w:rsid w:val="303049E4"/>
    <w:rsid w:val="304A2B84"/>
    <w:rsid w:val="305876C6"/>
    <w:rsid w:val="306A3B58"/>
    <w:rsid w:val="30975D76"/>
    <w:rsid w:val="30B45FC4"/>
    <w:rsid w:val="30B6207A"/>
    <w:rsid w:val="30CF5E93"/>
    <w:rsid w:val="30F23193"/>
    <w:rsid w:val="30FA4472"/>
    <w:rsid w:val="30FB7CD5"/>
    <w:rsid w:val="30FC7A26"/>
    <w:rsid w:val="310F18AC"/>
    <w:rsid w:val="31337F52"/>
    <w:rsid w:val="313563DB"/>
    <w:rsid w:val="314745B5"/>
    <w:rsid w:val="317F6DF6"/>
    <w:rsid w:val="318C0DA4"/>
    <w:rsid w:val="319B7AF1"/>
    <w:rsid w:val="320E7748"/>
    <w:rsid w:val="322A2E42"/>
    <w:rsid w:val="32407072"/>
    <w:rsid w:val="326467F5"/>
    <w:rsid w:val="32786EF6"/>
    <w:rsid w:val="3288480C"/>
    <w:rsid w:val="328F3A08"/>
    <w:rsid w:val="32B504B0"/>
    <w:rsid w:val="32C17B15"/>
    <w:rsid w:val="32C678A8"/>
    <w:rsid w:val="32CB4085"/>
    <w:rsid w:val="32DE7B1C"/>
    <w:rsid w:val="32E5334F"/>
    <w:rsid w:val="32E74327"/>
    <w:rsid w:val="32E94C6A"/>
    <w:rsid w:val="32E95462"/>
    <w:rsid w:val="32F2202B"/>
    <w:rsid w:val="32F72FC9"/>
    <w:rsid w:val="32FC2B6E"/>
    <w:rsid w:val="33117B3E"/>
    <w:rsid w:val="331207D3"/>
    <w:rsid w:val="332920D6"/>
    <w:rsid w:val="332F45D0"/>
    <w:rsid w:val="333F747A"/>
    <w:rsid w:val="33590AD6"/>
    <w:rsid w:val="335A484E"/>
    <w:rsid w:val="339E3214"/>
    <w:rsid w:val="33EA34AC"/>
    <w:rsid w:val="33F56325"/>
    <w:rsid w:val="33F65BF6"/>
    <w:rsid w:val="341A6FA9"/>
    <w:rsid w:val="342422A5"/>
    <w:rsid w:val="34311A53"/>
    <w:rsid w:val="344443D0"/>
    <w:rsid w:val="34816B5A"/>
    <w:rsid w:val="34AC0D69"/>
    <w:rsid w:val="34D32B0A"/>
    <w:rsid w:val="34F064BB"/>
    <w:rsid w:val="352C1375"/>
    <w:rsid w:val="353C245D"/>
    <w:rsid w:val="354B7E74"/>
    <w:rsid w:val="35897E8C"/>
    <w:rsid w:val="35A53601"/>
    <w:rsid w:val="35D91E1C"/>
    <w:rsid w:val="360721E6"/>
    <w:rsid w:val="36202BBD"/>
    <w:rsid w:val="362C09F1"/>
    <w:rsid w:val="363C1803"/>
    <w:rsid w:val="366330E1"/>
    <w:rsid w:val="367F40E3"/>
    <w:rsid w:val="36972177"/>
    <w:rsid w:val="36A1622C"/>
    <w:rsid w:val="36A33560"/>
    <w:rsid w:val="36AA1648"/>
    <w:rsid w:val="36BA6B73"/>
    <w:rsid w:val="37003336"/>
    <w:rsid w:val="3709270E"/>
    <w:rsid w:val="370A5626"/>
    <w:rsid w:val="371F220B"/>
    <w:rsid w:val="3753235E"/>
    <w:rsid w:val="378F4AAE"/>
    <w:rsid w:val="3791318B"/>
    <w:rsid w:val="379C329C"/>
    <w:rsid w:val="379E62C7"/>
    <w:rsid w:val="37C36BB8"/>
    <w:rsid w:val="37E53495"/>
    <w:rsid w:val="37EA3E84"/>
    <w:rsid w:val="37F11AC2"/>
    <w:rsid w:val="37FF5971"/>
    <w:rsid w:val="381D15FA"/>
    <w:rsid w:val="382860ED"/>
    <w:rsid w:val="385E3A2C"/>
    <w:rsid w:val="38727460"/>
    <w:rsid w:val="387B6480"/>
    <w:rsid w:val="38861E83"/>
    <w:rsid w:val="38A36760"/>
    <w:rsid w:val="38C36336"/>
    <w:rsid w:val="38C75CA1"/>
    <w:rsid w:val="38D44C18"/>
    <w:rsid w:val="38E05976"/>
    <w:rsid w:val="38E16010"/>
    <w:rsid w:val="38EA671D"/>
    <w:rsid w:val="39160B01"/>
    <w:rsid w:val="3924619D"/>
    <w:rsid w:val="39850E19"/>
    <w:rsid w:val="39A51BFA"/>
    <w:rsid w:val="39B42868"/>
    <w:rsid w:val="39B71989"/>
    <w:rsid w:val="39BF18AF"/>
    <w:rsid w:val="39C323CF"/>
    <w:rsid w:val="39CE6372"/>
    <w:rsid w:val="39D95815"/>
    <w:rsid w:val="39F01AC2"/>
    <w:rsid w:val="39F92D4C"/>
    <w:rsid w:val="39FE4735"/>
    <w:rsid w:val="3A1B7B38"/>
    <w:rsid w:val="3A4B6ACB"/>
    <w:rsid w:val="3A4F18D6"/>
    <w:rsid w:val="3A5D13BA"/>
    <w:rsid w:val="3A927330"/>
    <w:rsid w:val="3AAF4B29"/>
    <w:rsid w:val="3AD3730A"/>
    <w:rsid w:val="3B006E19"/>
    <w:rsid w:val="3B057C1E"/>
    <w:rsid w:val="3B064303"/>
    <w:rsid w:val="3B2840D7"/>
    <w:rsid w:val="3B371F13"/>
    <w:rsid w:val="3B4F0A10"/>
    <w:rsid w:val="3B532C99"/>
    <w:rsid w:val="3B7435B4"/>
    <w:rsid w:val="3B7E5532"/>
    <w:rsid w:val="3B881781"/>
    <w:rsid w:val="3BAB33FC"/>
    <w:rsid w:val="3BCD2B5E"/>
    <w:rsid w:val="3BD63184"/>
    <w:rsid w:val="3BED63A8"/>
    <w:rsid w:val="3C1A5F08"/>
    <w:rsid w:val="3C504A7F"/>
    <w:rsid w:val="3C544654"/>
    <w:rsid w:val="3C717ED7"/>
    <w:rsid w:val="3CBB4A24"/>
    <w:rsid w:val="3CC776BE"/>
    <w:rsid w:val="3CD67B4D"/>
    <w:rsid w:val="3CDA7B40"/>
    <w:rsid w:val="3CE90D90"/>
    <w:rsid w:val="3CF10A1E"/>
    <w:rsid w:val="3CF817AB"/>
    <w:rsid w:val="3D2A12BB"/>
    <w:rsid w:val="3D3A248B"/>
    <w:rsid w:val="3D83123B"/>
    <w:rsid w:val="3D8F334B"/>
    <w:rsid w:val="3D98044D"/>
    <w:rsid w:val="3DD54095"/>
    <w:rsid w:val="3DD5433E"/>
    <w:rsid w:val="3DE236A8"/>
    <w:rsid w:val="3DE426C5"/>
    <w:rsid w:val="3DF50994"/>
    <w:rsid w:val="3E0940FF"/>
    <w:rsid w:val="3E0E7157"/>
    <w:rsid w:val="3E1B7DA4"/>
    <w:rsid w:val="3E650701"/>
    <w:rsid w:val="3E740304"/>
    <w:rsid w:val="3E95534C"/>
    <w:rsid w:val="3E9C0B88"/>
    <w:rsid w:val="3EA86446"/>
    <w:rsid w:val="3EAB1530"/>
    <w:rsid w:val="3EB3382A"/>
    <w:rsid w:val="3EB33D86"/>
    <w:rsid w:val="3ECF41BE"/>
    <w:rsid w:val="3ED223B5"/>
    <w:rsid w:val="3ED54A2F"/>
    <w:rsid w:val="3EF0738E"/>
    <w:rsid w:val="3EF35840"/>
    <w:rsid w:val="3EF725CC"/>
    <w:rsid w:val="3F3747E5"/>
    <w:rsid w:val="3F4228E0"/>
    <w:rsid w:val="3F5115A7"/>
    <w:rsid w:val="3F515B80"/>
    <w:rsid w:val="3F8078C7"/>
    <w:rsid w:val="3F847BDD"/>
    <w:rsid w:val="40A5427E"/>
    <w:rsid w:val="40B973D6"/>
    <w:rsid w:val="40CA0B64"/>
    <w:rsid w:val="40E15D76"/>
    <w:rsid w:val="413E64A7"/>
    <w:rsid w:val="41553AB1"/>
    <w:rsid w:val="41922D8E"/>
    <w:rsid w:val="41AD3634"/>
    <w:rsid w:val="41B52728"/>
    <w:rsid w:val="41CE08E1"/>
    <w:rsid w:val="41E00829"/>
    <w:rsid w:val="42163BE3"/>
    <w:rsid w:val="42304831"/>
    <w:rsid w:val="42307680"/>
    <w:rsid w:val="42387D7C"/>
    <w:rsid w:val="42616C0D"/>
    <w:rsid w:val="42667353"/>
    <w:rsid w:val="42B13C56"/>
    <w:rsid w:val="431F24CF"/>
    <w:rsid w:val="432C4415"/>
    <w:rsid w:val="433A577A"/>
    <w:rsid w:val="434251F4"/>
    <w:rsid w:val="435C562C"/>
    <w:rsid w:val="437D1A92"/>
    <w:rsid w:val="438573B1"/>
    <w:rsid w:val="439C0031"/>
    <w:rsid w:val="43A06410"/>
    <w:rsid w:val="43A907AA"/>
    <w:rsid w:val="43A95A5C"/>
    <w:rsid w:val="43B25655"/>
    <w:rsid w:val="43B40E80"/>
    <w:rsid w:val="44091CA4"/>
    <w:rsid w:val="4411197C"/>
    <w:rsid w:val="44191479"/>
    <w:rsid w:val="442B2CC2"/>
    <w:rsid w:val="443617C5"/>
    <w:rsid w:val="443739DF"/>
    <w:rsid w:val="443B65B4"/>
    <w:rsid w:val="44663073"/>
    <w:rsid w:val="44901CA6"/>
    <w:rsid w:val="44A27980"/>
    <w:rsid w:val="44A731B0"/>
    <w:rsid w:val="44AA16EF"/>
    <w:rsid w:val="44B90E97"/>
    <w:rsid w:val="44D305E1"/>
    <w:rsid w:val="44F1000F"/>
    <w:rsid w:val="44F418EC"/>
    <w:rsid w:val="45147A38"/>
    <w:rsid w:val="45187958"/>
    <w:rsid w:val="452B0093"/>
    <w:rsid w:val="457E37F6"/>
    <w:rsid w:val="457F2A9B"/>
    <w:rsid w:val="45857EDB"/>
    <w:rsid w:val="45AE0204"/>
    <w:rsid w:val="45CD7313"/>
    <w:rsid w:val="45D96427"/>
    <w:rsid w:val="45FA7EA3"/>
    <w:rsid w:val="4620056E"/>
    <w:rsid w:val="46260890"/>
    <w:rsid w:val="4626554B"/>
    <w:rsid w:val="462A4554"/>
    <w:rsid w:val="463C7D74"/>
    <w:rsid w:val="464C66DB"/>
    <w:rsid w:val="46615124"/>
    <w:rsid w:val="466F0965"/>
    <w:rsid w:val="468923EA"/>
    <w:rsid w:val="469461A2"/>
    <w:rsid w:val="46A95FC6"/>
    <w:rsid w:val="46E50DC5"/>
    <w:rsid w:val="47080593"/>
    <w:rsid w:val="470D1DC9"/>
    <w:rsid w:val="471E1865"/>
    <w:rsid w:val="47455D52"/>
    <w:rsid w:val="47561BE9"/>
    <w:rsid w:val="47680B42"/>
    <w:rsid w:val="47805B7D"/>
    <w:rsid w:val="478C2556"/>
    <w:rsid w:val="478F5BF0"/>
    <w:rsid w:val="47AD0D41"/>
    <w:rsid w:val="47B95423"/>
    <w:rsid w:val="480559B9"/>
    <w:rsid w:val="4811254D"/>
    <w:rsid w:val="48293605"/>
    <w:rsid w:val="482C3354"/>
    <w:rsid w:val="48475CCD"/>
    <w:rsid w:val="48854AB8"/>
    <w:rsid w:val="48881343"/>
    <w:rsid w:val="48A44149"/>
    <w:rsid w:val="48BE6EC8"/>
    <w:rsid w:val="48CA5B26"/>
    <w:rsid w:val="48E115BF"/>
    <w:rsid w:val="48E66143"/>
    <w:rsid w:val="492A3070"/>
    <w:rsid w:val="496A3210"/>
    <w:rsid w:val="497A7B15"/>
    <w:rsid w:val="498F26B8"/>
    <w:rsid w:val="499F573B"/>
    <w:rsid w:val="49B572A1"/>
    <w:rsid w:val="49BC41EB"/>
    <w:rsid w:val="49D87BBA"/>
    <w:rsid w:val="49EB432A"/>
    <w:rsid w:val="4A002CD5"/>
    <w:rsid w:val="4A09465B"/>
    <w:rsid w:val="4A57526F"/>
    <w:rsid w:val="4A7638C4"/>
    <w:rsid w:val="4A9532A7"/>
    <w:rsid w:val="4AAE5753"/>
    <w:rsid w:val="4AF74BF2"/>
    <w:rsid w:val="4B1C1D35"/>
    <w:rsid w:val="4B241AF6"/>
    <w:rsid w:val="4B5004F7"/>
    <w:rsid w:val="4B7D32EB"/>
    <w:rsid w:val="4B885FA4"/>
    <w:rsid w:val="4B960C0D"/>
    <w:rsid w:val="4B995C8A"/>
    <w:rsid w:val="4BA474A0"/>
    <w:rsid w:val="4BA80E89"/>
    <w:rsid w:val="4BD80E84"/>
    <w:rsid w:val="4BD96D58"/>
    <w:rsid w:val="4BDE6B05"/>
    <w:rsid w:val="4BE32EEF"/>
    <w:rsid w:val="4C1A050E"/>
    <w:rsid w:val="4C3C769B"/>
    <w:rsid w:val="4C594385"/>
    <w:rsid w:val="4C5E73AC"/>
    <w:rsid w:val="4C6F2BF9"/>
    <w:rsid w:val="4C731ECE"/>
    <w:rsid w:val="4C781041"/>
    <w:rsid w:val="4CA506B1"/>
    <w:rsid w:val="4CB47B57"/>
    <w:rsid w:val="4CDD7E5E"/>
    <w:rsid w:val="4CE149E1"/>
    <w:rsid w:val="4D0A5F81"/>
    <w:rsid w:val="4D1D759C"/>
    <w:rsid w:val="4D3075CB"/>
    <w:rsid w:val="4D525868"/>
    <w:rsid w:val="4D622825"/>
    <w:rsid w:val="4D7341F5"/>
    <w:rsid w:val="4D8D2399"/>
    <w:rsid w:val="4D9F3ACC"/>
    <w:rsid w:val="4DAB41CC"/>
    <w:rsid w:val="4DC3631D"/>
    <w:rsid w:val="4DC74839"/>
    <w:rsid w:val="4DF57881"/>
    <w:rsid w:val="4E272C32"/>
    <w:rsid w:val="4E32086C"/>
    <w:rsid w:val="4E5D0255"/>
    <w:rsid w:val="4E7D553B"/>
    <w:rsid w:val="4E8204C4"/>
    <w:rsid w:val="4EA867F6"/>
    <w:rsid w:val="4EAB3C67"/>
    <w:rsid w:val="4EAD6A37"/>
    <w:rsid w:val="4EB1569A"/>
    <w:rsid w:val="4EFA6752"/>
    <w:rsid w:val="4F19240B"/>
    <w:rsid w:val="4F253111"/>
    <w:rsid w:val="4F442EFE"/>
    <w:rsid w:val="4F4C630A"/>
    <w:rsid w:val="4F84599C"/>
    <w:rsid w:val="4F8D5DC0"/>
    <w:rsid w:val="500B3B38"/>
    <w:rsid w:val="503C6D6D"/>
    <w:rsid w:val="504C0896"/>
    <w:rsid w:val="50563C5F"/>
    <w:rsid w:val="50571014"/>
    <w:rsid w:val="507D71F9"/>
    <w:rsid w:val="509B69F8"/>
    <w:rsid w:val="50A72E32"/>
    <w:rsid w:val="50C7700E"/>
    <w:rsid w:val="50CE2C0A"/>
    <w:rsid w:val="50DC3B65"/>
    <w:rsid w:val="50DE54EC"/>
    <w:rsid w:val="50EC0A45"/>
    <w:rsid w:val="50F676E2"/>
    <w:rsid w:val="510D6D60"/>
    <w:rsid w:val="51146E46"/>
    <w:rsid w:val="51301F4F"/>
    <w:rsid w:val="514B4DD8"/>
    <w:rsid w:val="517A74DA"/>
    <w:rsid w:val="51826E79"/>
    <w:rsid w:val="51875B8B"/>
    <w:rsid w:val="51916BE4"/>
    <w:rsid w:val="519733C7"/>
    <w:rsid w:val="51CA024F"/>
    <w:rsid w:val="51D77590"/>
    <w:rsid w:val="51DD2BB1"/>
    <w:rsid w:val="51DF033C"/>
    <w:rsid w:val="521E067C"/>
    <w:rsid w:val="523108C2"/>
    <w:rsid w:val="526378F4"/>
    <w:rsid w:val="52744012"/>
    <w:rsid w:val="52866FBA"/>
    <w:rsid w:val="529B6B1B"/>
    <w:rsid w:val="52AA36F0"/>
    <w:rsid w:val="52B7224A"/>
    <w:rsid w:val="52C25EC6"/>
    <w:rsid w:val="530D4B9A"/>
    <w:rsid w:val="53184FC7"/>
    <w:rsid w:val="532E3701"/>
    <w:rsid w:val="53342B88"/>
    <w:rsid w:val="5345477B"/>
    <w:rsid w:val="5359212F"/>
    <w:rsid w:val="536436AD"/>
    <w:rsid w:val="53987FF4"/>
    <w:rsid w:val="53AF0B1D"/>
    <w:rsid w:val="53DE1797"/>
    <w:rsid w:val="54202540"/>
    <w:rsid w:val="54275704"/>
    <w:rsid w:val="542A7E52"/>
    <w:rsid w:val="542D3E95"/>
    <w:rsid w:val="543C0B96"/>
    <w:rsid w:val="544C128F"/>
    <w:rsid w:val="545634A8"/>
    <w:rsid w:val="549468E2"/>
    <w:rsid w:val="54D120D9"/>
    <w:rsid w:val="54D43821"/>
    <w:rsid w:val="54E64277"/>
    <w:rsid w:val="5500085F"/>
    <w:rsid w:val="550627BE"/>
    <w:rsid w:val="551943F7"/>
    <w:rsid w:val="552705DC"/>
    <w:rsid w:val="55505623"/>
    <w:rsid w:val="55731595"/>
    <w:rsid w:val="55AA7E53"/>
    <w:rsid w:val="55C10804"/>
    <w:rsid w:val="55C974F8"/>
    <w:rsid w:val="5600110A"/>
    <w:rsid w:val="5634003F"/>
    <w:rsid w:val="563921E3"/>
    <w:rsid w:val="563E44C2"/>
    <w:rsid w:val="56487078"/>
    <w:rsid w:val="56497655"/>
    <w:rsid w:val="566118CC"/>
    <w:rsid w:val="568538BD"/>
    <w:rsid w:val="569F3FED"/>
    <w:rsid w:val="56B21742"/>
    <w:rsid w:val="56B90F04"/>
    <w:rsid w:val="56BC1306"/>
    <w:rsid w:val="56BC56ED"/>
    <w:rsid w:val="56C24A65"/>
    <w:rsid w:val="56D173AB"/>
    <w:rsid w:val="56DA3ADF"/>
    <w:rsid w:val="56E64BDA"/>
    <w:rsid w:val="56E668AD"/>
    <w:rsid w:val="56F00398"/>
    <w:rsid w:val="56F11494"/>
    <w:rsid w:val="573742A8"/>
    <w:rsid w:val="57497C68"/>
    <w:rsid w:val="57811675"/>
    <w:rsid w:val="57864191"/>
    <w:rsid w:val="57AD6A0C"/>
    <w:rsid w:val="57BA432D"/>
    <w:rsid w:val="57E11E3C"/>
    <w:rsid w:val="57F043C8"/>
    <w:rsid w:val="57FC7073"/>
    <w:rsid w:val="5818678E"/>
    <w:rsid w:val="581A0471"/>
    <w:rsid w:val="581B7C6F"/>
    <w:rsid w:val="582B3E5B"/>
    <w:rsid w:val="583831E9"/>
    <w:rsid w:val="586D4D0C"/>
    <w:rsid w:val="587F5EAF"/>
    <w:rsid w:val="58A07DD9"/>
    <w:rsid w:val="58E40592"/>
    <w:rsid w:val="58E67518"/>
    <w:rsid w:val="58EB6E4B"/>
    <w:rsid w:val="58F75EC6"/>
    <w:rsid w:val="593C0FFC"/>
    <w:rsid w:val="59C77D3F"/>
    <w:rsid w:val="59DB0E97"/>
    <w:rsid w:val="59E31446"/>
    <w:rsid w:val="59EB13D2"/>
    <w:rsid w:val="59F61632"/>
    <w:rsid w:val="5A245061"/>
    <w:rsid w:val="5A2E0700"/>
    <w:rsid w:val="5A4B6E22"/>
    <w:rsid w:val="5A6121CA"/>
    <w:rsid w:val="5A717E67"/>
    <w:rsid w:val="5A744B1B"/>
    <w:rsid w:val="5A783688"/>
    <w:rsid w:val="5A7F0CB2"/>
    <w:rsid w:val="5A8D41CB"/>
    <w:rsid w:val="5A971F01"/>
    <w:rsid w:val="5AB80791"/>
    <w:rsid w:val="5ACA129C"/>
    <w:rsid w:val="5ADB1A82"/>
    <w:rsid w:val="5AEF69A1"/>
    <w:rsid w:val="5AF8443F"/>
    <w:rsid w:val="5AFC3D52"/>
    <w:rsid w:val="5AFE1DDF"/>
    <w:rsid w:val="5B105ABD"/>
    <w:rsid w:val="5B1F2CAD"/>
    <w:rsid w:val="5B3A5513"/>
    <w:rsid w:val="5B4A3989"/>
    <w:rsid w:val="5B5E1EAF"/>
    <w:rsid w:val="5B915BED"/>
    <w:rsid w:val="5B9A4591"/>
    <w:rsid w:val="5B9E153F"/>
    <w:rsid w:val="5BAC2872"/>
    <w:rsid w:val="5BC4193B"/>
    <w:rsid w:val="5BDD5700"/>
    <w:rsid w:val="5C034908"/>
    <w:rsid w:val="5C0D3421"/>
    <w:rsid w:val="5C102FDD"/>
    <w:rsid w:val="5C104A74"/>
    <w:rsid w:val="5C2C2F57"/>
    <w:rsid w:val="5C325295"/>
    <w:rsid w:val="5C4413FB"/>
    <w:rsid w:val="5C4C6B7A"/>
    <w:rsid w:val="5C5468EA"/>
    <w:rsid w:val="5C5C16F0"/>
    <w:rsid w:val="5C786AA5"/>
    <w:rsid w:val="5C792C50"/>
    <w:rsid w:val="5C7A6938"/>
    <w:rsid w:val="5C905EF9"/>
    <w:rsid w:val="5CAB77CE"/>
    <w:rsid w:val="5CD628CD"/>
    <w:rsid w:val="5CE02E68"/>
    <w:rsid w:val="5D3674DC"/>
    <w:rsid w:val="5D3E68CD"/>
    <w:rsid w:val="5D4D0B85"/>
    <w:rsid w:val="5D661C1C"/>
    <w:rsid w:val="5D826795"/>
    <w:rsid w:val="5D83234C"/>
    <w:rsid w:val="5D886727"/>
    <w:rsid w:val="5D9A4825"/>
    <w:rsid w:val="5DB03B3C"/>
    <w:rsid w:val="5DD41FCC"/>
    <w:rsid w:val="5DD8748A"/>
    <w:rsid w:val="5DF02154"/>
    <w:rsid w:val="5DF054FF"/>
    <w:rsid w:val="5E063C34"/>
    <w:rsid w:val="5E360475"/>
    <w:rsid w:val="5E4F3252"/>
    <w:rsid w:val="5E731ABA"/>
    <w:rsid w:val="5E7A369F"/>
    <w:rsid w:val="5EC052CE"/>
    <w:rsid w:val="5ECB11C9"/>
    <w:rsid w:val="5ECC0011"/>
    <w:rsid w:val="5EEF345A"/>
    <w:rsid w:val="5EFE5F6F"/>
    <w:rsid w:val="5F046448"/>
    <w:rsid w:val="5F075E27"/>
    <w:rsid w:val="5F2D113A"/>
    <w:rsid w:val="5F373FEE"/>
    <w:rsid w:val="5F381638"/>
    <w:rsid w:val="5F447FDD"/>
    <w:rsid w:val="5F5610C5"/>
    <w:rsid w:val="5F67261D"/>
    <w:rsid w:val="5F730669"/>
    <w:rsid w:val="5F782C54"/>
    <w:rsid w:val="5F917C72"/>
    <w:rsid w:val="5FAC15DF"/>
    <w:rsid w:val="5FB8187C"/>
    <w:rsid w:val="5FD23C6C"/>
    <w:rsid w:val="5FD96610"/>
    <w:rsid w:val="5FE013DA"/>
    <w:rsid w:val="5FF60608"/>
    <w:rsid w:val="5FFA37E7"/>
    <w:rsid w:val="600C4BC3"/>
    <w:rsid w:val="601354B5"/>
    <w:rsid w:val="60280D5E"/>
    <w:rsid w:val="60310EDD"/>
    <w:rsid w:val="605B6695"/>
    <w:rsid w:val="605B6889"/>
    <w:rsid w:val="606A0CAE"/>
    <w:rsid w:val="607619FC"/>
    <w:rsid w:val="608655D2"/>
    <w:rsid w:val="609A10E3"/>
    <w:rsid w:val="60B75412"/>
    <w:rsid w:val="60E875D5"/>
    <w:rsid w:val="60E97F2A"/>
    <w:rsid w:val="61011E6F"/>
    <w:rsid w:val="61175583"/>
    <w:rsid w:val="611F2698"/>
    <w:rsid w:val="61293883"/>
    <w:rsid w:val="6155661E"/>
    <w:rsid w:val="616658BD"/>
    <w:rsid w:val="616C21E8"/>
    <w:rsid w:val="61980106"/>
    <w:rsid w:val="61B80BE0"/>
    <w:rsid w:val="61CA7C72"/>
    <w:rsid w:val="61D67F2F"/>
    <w:rsid w:val="61FC4F9A"/>
    <w:rsid w:val="62064251"/>
    <w:rsid w:val="62135892"/>
    <w:rsid w:val="621B28C7"/>
    <w:rsid w:val="62223534"/>
    <w:rsid w:val="624A1F79"/>
    <w:rsid w:val="625120FE"/>
    <w:rsid w:val="625D7C38"/>
    <w:rsid w:val="628714FE"/>
    <w:rsid w:val="62916736"/>
    <w:rsid w:val="62A359CB"/>
    <w:rsid w:val="62E253C2"/>
    <w:rsid w:val="62EB4C57"/>
    <w:rsid w:val="62F721F4"/>
    <w:rsid w:val="630B59CB"/>
    <w:rsid w:val="631657EC"/>
    <w:rsid w:val="63302C40"/>
    <w:rsid w:val="63463401"/>
    <w:rsid w:val="635832F2"/>
    <w:rsid w:val="63785DDD"/>
    <w:rsid w:val="638E766D"/>
    <w:rsid w:val="639773AB"/>
    <w:rsid w:val="63DC4C26"/>
    <w:rsid w:val="640126FF"/>
    <w:rsid w:val="64160CC0"/>
    <w:rsid w:val="647B28F5"/>
    <w:rsid w:val="64836001"/>
    <w:rsid w:val="648E477B"/>
    <w:rsid w:val="64A60443"/>
    <w:rsid w:val="64DD30A1"/>
    <w:rsid w:val="64E95A2C"/>
    <w:rsid w:val="64EF0963"/>
    <w:rsid w:val="64EF1F11"/>
    <w:rsid w:val="64F601A2"/>
    <w:rsid w:val="65075D34"/>
    <w:rsid w:val="65290EC2"/>
    <w:rsid w:val="655D3829"/>
    <w:rsid w:val="65613885"/>
    <w:rsid w:val="65761464"/>
    <w:rsid w:val="65815050"/>
    <w:rsid w:val="65933E04"/>
    <w:rsid w:val="659D7237"/>
    <w:rsid w:val="65C74299"/>
    <w:rsid w:val="65D46B53"/>
    <w:rsid w:val="66100C18"/>
    <w:rsid w:val="6635318C"/>
    <w:rsid w:val="66582CEC"/>
    <w:rsid w:val="66871F23"/>
    <w:rsid w:val="66C8504F"/>
    <w:rsid w:val="66D35817"/>
    <w:rsid w:val="66E17E58"/>
    <w:rsid w:val="66F94198"/>
    <w:rsid w:val="672044DB"/>
    <w:rsid w:val="67212E92"/>
    <w:rsid w:val="673F55A3"/>
    <w:rsid w:val="67801903"/>
    <w:rsid w:val="67841BB7"/>
    <w:rsid w:val="678C52B6"/>
    <w:rsid w:val="679F07CB"/>
    <w:rsid w:val="67B54713"/>
    <w:rsid w:val="67BA35ED"/>
    <w:rsid w:val="67CA42A6"/>
    <w:rsid w:val="67D34409"/>
    <w:rsid w:val="67DF1348"/>
    <w:rsid w:val="67E1416D"/>
    <w:rsid w:val="67F63D8F"/>
    <w:rsid w:val="67F81D14"/>
    <w:rsid w:val="680F1B63"/>
    <w:rsid w:val="68236AA3"/>
    <w:rsid w:val="686F71F7"/>
    <w:rsid w:val="68997974"/>
    <w:rsid w:val="68A72B5A"/>
    <w:rsid w:val="68BA3F7E"/>
    <w:rsid w:val="69000089"/>
    <w:rsid w:val="690543A2"/>
    <w:rsid w:val="69064C73"/>
    <w:rsid w:val="69236AB1"/>
    <w:rsid w:val="693500BB"/>
    <w:rsid w:val="69390886"/>
    <w:rsid w:val="694035C3"/>
    <w:rsid w:val="69450BE6"/>
    <w:rsid w:val="696943BD"/>
    <w:rsid w:val="69760C1B"/>
    <w:rsid w:val="69AA378B"/>
    <w:rsid w:val="69C663F7"/>
    <w:rsid w:val="69DD2A3E"/>
    <w:rsid w:val="6A120A4E"/>
    <w:rsid w:val="6A251E6A"/>
    <w:rsid w:val="6A306777"/>
    <w:rsid w:val="6A417A79"/>
    <w:rsid w:val="6A4A0D5D"/>
    <w:rsid w:val="6A5218E2"/>
    <w:rsid w:val="6A5E77CB"/>
    <w:rsid w:val="6A655A72"/>
    <w:rsid w:val="6AB275D7"/>
    <w:rsid w:val="6AFE7291"/>
    <w:rsid w:val="6B2C77D3"/>
    <w:rsid w:val="6B2D169E"/>
    <w:rsid w:val="6B365A7D"/>
    <w:rsid w:val="6B512DE9"/>
    <w:rsid w:val="6B6D5B89"/>
    <w:rsid w:val="6B6D69A3"/>
    <w:rsid w:val="6B923329"/>
    <w:rsid w:val="6BEE241F"/>
    <w:rsid w:val="6BF57CFB"/>
    <w:rsid w:val="6C523388"/>
    <w:rsid w:val="6C5724DF"/>
    <w:rsid w:val="6C58474B"/>
    <w:rsid w:val="6C5A5956"/>
    <w:rsid w:val="6C634C6D"/>
    <w:rsid w:val="6C6D24FC"/>
    <w:rsid w:val="6C903D40"/>
    <w:rsid w:val="6CA20663"/>
    <w:rsid w:val="6CAD6047"/>
    <w:rsid w:val="6D232BCF"/>
    <w:rsid w:val="6D471493"/>
    <w:rsid w:val="6D8E0BB4"/>
    <w:rsid w:val="6D8E1BD5"/>
    <w:rsid w:val="6DBF3451"/>
    <w:rsid w:val="6DDD488B"/>
    <w:rsid w:val="6DF02D69"/>
    <w:rsid w:val="6E2C5805"/>
    <w:rsid w:val="6E2F4143"/>
    <w:rsid w:val="6E322589"/>
    <w:rsid w:val="6E482CBF"/>
    <w:rsid w:val="6E58315D"/>
    <w:rsid w:val="6E693E97"/>
    <w:rsid w:val="6E754BDC"/>
    <w:rsid w:val="6E7826EF"/>
    <w:rsid w:val="6EA027C1"/>
    <w:rsid w:val="6EC26D0C"/>
    <w:rsid w:val="6ECF72C5"/>
    <w:rsid w:val="6ED15E5E"/>
    <w:rsid w:val="6EE427FC"/>
    <w:rsid w:val="6EED188A"/>
    <w:rsid w:val="6EF85AE3"/>
    <w:rsid w:val="6F0B7C53"/>
    <w:rsid w:val="6F1A33A3"/>
    <w:rsid w:val="6F3474B0"/>
    <w:rsid w:val="6F666811"/>
    <w:rsid w:val="6F6D3BF1"/>
    <w:rsid w:val="6F702D22"/>
    <w:rsid w:val="6F7329EC"/>
    <w:rsid w:val="6FAE369A"/>
    <w:rsid w:val="6FE8693B"/>
    <w:rsid w:val="6FED73AE"/>
    <w:rsid w:val="6FF10370"/>
    <w:rsid w:val="6FFE1650"/>
    <w:rsid w:val="704E4817"/>
    <w:rsid w:val="705568B1"/>
    <w:rsid w:val="70770302"/>
    <w:rsid w:val="70787F05"/>
    <w:rsid w:val="707A4724"/>
    <w:rsid w:val="70816536"/>
    <w:rsid w:val="70AF5C48"/>
    <w:rsid w:val="70D9427B"/>
    <w:rsid w:val="7106281D"/>
    <w:rsid w:val="710D2F98"/>
    <w:rsid w:val="710E5E14"/>
    <w:rsid w:val="710F40E0"/>
    <w:rsid w:val="711041C2"/>
    <w:rsid w:val="711E6006"/>
    <w:rsid w:val="7144670A"/>
    <w:rsid w:val="71547244"/>
    <w:rsid w:val="7161426F"/>
    <w:rsid w:val="71663EFB"/>
    <w:rsid w:val="71831DF4"/>
    <w:rsid w:val="718E5401"/>
    <w:rsid w:val="718F6E48"/>
    <w:rsid w:val="719F3A13"/>
    <w:rsid w:val="71A26A6B"/>
    <w:rsid w:val="71B77E4E"/>
    <w:rsid w:val="71B96B31"/>
    <w:rsid w:val="71CD3018"/>
    <w:rsid w:val="71D02D95"/>
    <w:rsid w:val="71D43BAC"/>
    <w:rsid w:val="72092243"/>
    <w:rsid w:val="72601A84"/>
    <w:rsid w:val="728044F5"/>
    <w:rsid w:val="72827920"/>
    <w:rsid w:val="72891485"/>
    <w:rsid w:val="72B15531"/>
    <w:rsid w:val="72BD7A32"/>
    <w:rsid w:val="72C67F20"/>
    <w:rsid w:val="731F248A"/>
    <w:rsid w:val="7327463A"/>
    <w:rsid w:val="734E755C"/>
    <w:rsid w:val="73727009"/>
    <w:rsid w:val="73A05E23"/>
    <w:rsid w:val="73AA754A"/>
    <w:rsid w:val="73E534D0"/>
    <w:rsid w:val="7412196A"/>
    <w:rsid w:val="741B2C62"/>
    <w:rsid w:val="742843F8"/>
    <w:rsid w:val="74351BF5"/>
    <w:rsid w:val="74382022"/>
    <w:rsid w:val="74511534"/>
    <w:rsid w:val="74543EF2"/>
    <w:rsid w:val="746F1D85"/>
    <w:rsid w:val="74750242"/>
    <w:rsid w:val="74754EE5"/>
    <w:rsid w:val="7482350E"/>
    <w:rsid w:val="749F121A"/>
    <w:rsid w:val="74B37B6E"/>
    <w:rsid w:val="74D343DF"/>
    <w:rsid w:val="74DD6B30"/>
    <w:rsid w:val="74DD72E6"/>
    <w:rsid w:val="750C349F"/>
    <w:rsid w:val="750D1F8F"/>
    <w:rsid w:val="75215BFD"/>
    <w:rsid w:val="75250F11"/>
    <w:rsid w:val="755053CD"/>
    <w:rsid w:val="75580959"/>
    <w:rsid w:val="759113E6"/>
    <w:rsid w:val="759731FE"/>
    <w:rsid w:val="75D855FA"/>
    <w:rsid w:val="75D94EBD"/>
    <w:rsid w:val="7603609C"/>
    <w:rsid w:val="761443F1"/>
    <w:rsid w:val="76904FFE"/>
    <w:rsid w:val="76936F17"/>
    <w:rsid w:val="76A6460C"/>
    <w:rsid w:val="76B60C03"/>
    <w:rsid w:val="76CA6845"/>
    <w:rsid w:val="76D953A0"/>
    <w:rsid w:val="76EE4163"/>
    <w:rsid w:val="771147F0"/>
    <w:rsid w:val="771E58C5"/>
    <w:rsid w:val="77295768"/>
    <w:rsid w:val="77484564"/>
    <w:rsid w:val="7753126D"/>
    <w:rsid w:val="775A5E86"/>
    <w:rsid w:val="776E1948"/>
    <w:rsid w:val="77784EE0"/>
    <w:rsid w:val="77813724"/>
    <w:rsid w:val="7788475F"/>
    <w:rsid w:val="77963E3C"/>
    <w:rsid w:val="779E3B92"/>
    <w:rsid w:val="77AA6A0E"/>
    <w:rsid w:val="77AF18A4"/>
    <w:rsid w:val="77D63243"/>
    <w:rsid w:val="77E27240"/>
    <w:rsid w:val="78082502"/>
    <w:rsid w:val="780B1240"/>
    <w:rsid w:val="781E5574"/>
    <w:rsid w:val="78361A2F"/>
    <w:rsid w:val="78412401"/>
    <w:rsid w:val="78495674"/>
    <w:rsid w:val="784E61CF"/>
    <w:rsid w:val="788259A6"/>
    <w:rsid w:val="788864A8"/>
    <w:rsid w:val="78D36825"/>
    <w:rsid w:val="78E56CEA"/>
    <w:rsid w:val="78EF6AF3"/>
    <w:rsid w:val="78FC2C8C"/>
    <w:rsid w:val="790D75E5"/>
    <w:rsid w:val="79311A9B"/>
    <w:rsid w:val="79345CFE"/>
    <w:rsid w:val="794935FF"/>
    <w:rsid w:val="79626759"/>
    <w:rsid w:val="7965038C"/>
    <w:rsid w:val="79680A22"/>
    <w:rsid w:val="797B1A88"/>
    <w:rsid w:val="797F1808"/>
    <w:rsid w:val="799248F4"/>
    <w:rsid w:val="79EE3DF3"/>
    <w:rsid w:val="7A002399"/>
    <w:rsid w:val="7A570947"/>
    <w:rsid w:val="7A8A0582"/>
    <w:rsid w:val="7A9F6D39"/>
    <w:rsid w:val="7AAF68D7"/>
    <w:rsid w:val="7AD53D5D"/>
    <w:rsid w:val="7AD75CC8"/>
    <w:rsid w:val="7ADF453D"/>
    <w:rsid w:val="7AF07ACC"/>
    <w:rsid w:val="7B1466EA"/>
    <w:rsid w:val="7B1F0968"/>
    <w:rsid w:val="7B23055A"/>
    <w:rsid w:val="7B321722"/>
    <w:rsid w:val="7B324898"/>
    <w:rsid w:val="7B397FF4"/>
    <w:rsid w:val="7B55461B"/>
    <w:rsid w:val="7B916C34"/>
    <w:rsid w:val="7BBA25C2"/>
    <w:rsid w:val="7BBB7A28"/>
    <w:rsid w:val="7BC25323"/>
    <w:rsid w:val="7BC666CB"/>
    <w:rsid w:val="7BC97448"/>
    <w:rsid w:val="7BEC74A9"/>
    <w:rsid w:val="7BED2E04"/>
    <w:rsid w:val="7C1D0D37"/>
    <w:rsid w:val="7C22328E"/>
    <w:rsid w:val="7C260A98"/>
    <w:rsid w:val="7C9952A6"/>
    <w:rsid w:val="7C9F7944"/>
    <w:rsid w:val="7CAD4859"/>
    <w:rsid w:val="7CB66111"/>
    <w:rsid w:val="7CC565E2"/>
    <w:rsid w:val="7CD7277B"/>
    <w:rsid w:val="7D2D20B1"/>
    <w:rsid w:val="7D5C3884"/>
    <w:rsid w:val="7D6011F8"/>
    <w:rsid w:val="7D64165A"/>
    <w:rsid w:val="7DAA2E8F"/>
    <w:rsid w:val="7DBC688E"/>
    <w:rsid w:val="7E3D67D2"/>
    <w:rsid w:val="7E7C0806"/>
    <w:rsid w:val="7E94162E"/>
    <w:rsid w:val="7E9C4E22"/>
    <w:rsid w:val="7EFD2251"/>
    <w:rsid w:val="7F22029E"/>
    <w:rsid w:val="7F2D64DE"/>
    <w:rsid w:val="7F424C2F"/>
    <w:rsid w:val="7F446ABC"/>
    <w:rsid w:val="7F4D1008"/>
    <w:rsid w:val="7F565CCF"/>
    <w:rsid w:val="7F686A11"/>
    <w:rsid w:val="7F6A06B9"/>
    <w:rsid w:val="7F6A0F42"/>
    <w:rsid w:val="7F8C228F"/>
    <w:rsid w:val="7F9315A4"/>
    <w:rsid w:val="7F934D23"/>
    <w:rsid w:val="7FA90F66"/>
    <w:rsid w:val="7FC54F70"/>
    <w:rsid w:val="7FC724FC"/>
    <w:rsid w:val="7FD429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3"/>
    <w:qFormat/>
    <w:uiPriority w:val="0"/>
    <w:pPr>
      <w:keepNext/>
      <w:outlineLvl w:val="0"/>
    </w:pPr>
    <w:rPr>
      <w:rFonts w:ascii="楷体_GB2312" w:eastAsia="楷体_GB2312"/>
      <w:sz w:val="28"/>
      <w:szCs w:val="20"/>
    </w:rPr>
  </w:style>
  <w:style w:type="paragraph" w:styleId="5">
    <w:name w:val="heading 2"/>
    <w:basedOn w:val="1"/>
    <w:next w:val="1"/>
    <w:link w:val="54"/>
    <w:qFormat/>
    <w:uiPriority w:val="0"/>
    <w:pPr>
      <w:keepNext/>
      <w:keepLines/>
      <w:spacing w:before="260" w:after="260" w:line="416" w:lineRule="auto"/>
      <w:jc w:val="center"/>
      <w:outlineLvl w:val="1"/>
    </w:pPr>
    <w:rPr>
      <w:rFonts w:ascii="Arial" w:hAnsi="Arial" w:eastAsia="幼圆"/>
      <w:b/>
      <w:sz w:val="44"/>
      <w:szCs w:val="20"/>
    </w:rPr>
  </w:style>
  <w:style w:type="paragraph" w:styleId="6">
    <w:name w:val="heading 3"/>
    <w:basedOn w:val="1"/>
    <w:next w:val="1"/>
    <w:qFormat/>
    <w:uiPriority w:val="0"/>
    <w:pPr>
      <w:keepNext/>
      <w:keepLines/>
      <w:spacing w:before="260" w:after="260" w:line="416" w:lineRule="auto"/>
      <w:outlineLvl w:val="2"/>
    </w:pPr>
    <w:rPr>
      <w:b/>
      <w:sz w:val="32"/>
      <w:szCs w:val="20"/>
    </w:rPr>
  </w:style>
  <w:style w:type="paragraph" w:styleId="7">
    <w:name w:val="heading 4"/>
    <w:basedOn w:val="8"/>
    <w:next w:val="1"/>
    <w:qFormat/>
    <w:uiPriority w:val="0"/>
    <w:pPr>
      <w:keepLines/>
      <w:spacing w:before="280" w:after="290" w:line="376" w:lineRule="auto"/>
      <w:outlineLvl w:val="3"/>
    </w:pPr>
    <w:rPr>
      <w:rFonts w:ascii="Arial" w:hAnsi="Arial" w:eastAsia="黑体"/>
      <w:b w:val="0"/>
      <w:bCs w:val="0"/>
      <w:sz w:val="28"/>
      <w:szCs w:val="28"/>
    </w:rPr>
  </w:style>
  <w:style w:type="paragraph" w:styleId="8">
    <w:name w:val="heading 5"/>
    <w:basedOn w:val="1"/>
    <w:next w:val="1"/>
    <w:autoRedefine/>
    <w:qFormat/>
    <w:uiPriority w:val="0"/>
    <w:pPr>
      <w:keepNext/>
      <w:outlineLvl w:val="4"/>
    </w:pPr>
    <w:rPr>
      <w:rFonts w:ascii="宋体" w:hAnsi="宋体"/>
      <w:b/>
      <w:bCs/>
    </w:rPr>
  </w:style>
  <w:style w:type="character" w:default="1" w:styleId="41">
    <w:name w:val="Default Paragraph Font"/>
    <w:semiHidden/>
    <w:unhideWhenUsed/>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rPr>
      <w:rFonts w:ascii="楷体_GB2312" w:hAnsi="Arial" w:eastAsia="楷体_GB2312"/>
      <w:sz w:val="28"/>
      <w:szCs w:val="20"/>
    </w:rPr>
  </w:style>
  <w:style w:type="paragraph" w:styleId="3">
    <w:name w:val="Body Text 2"/>
    <w:basedOn w:val="1"/>
    <w:autoRedefine/>
    <w:qFormat/>
    <w:uiPriority w:val="0"/>
    <w:pPr>
      <w:jc w:val="center"/>
    </w:pPr>
    <w:rPr>
      <w:rFonts w:ascii="仿宋_GB2312" w:eastAsia="仿宋_GB2312"/>
      <w:sz w:val="44"/>
    </w:rPr>
  </w:style>
  <w:style w:type="paragraph" w:styleId="9">
    <w:name w:val="toc 7"/>
    <w:basedOn w:val="1"/>
    <w:next w:val="1"/>
    <w:semiHidden/>
    <w:qFormat/>
    <w:uiPriority w:val="0"/>
    <w:pPr>
      <w:ind w:left="2520" w:leftChars="1200"/>
    </w:pPr>
  </w:style>
  <w:style w:type="paragraph" w:styleId="10">
    <w:name w:val="Normal Indent"/>
    <w:basedOn w:val="1"/>
    <w:link w:val="55"/>
    <w:qFormat/>
    <w:uiPriority w:val="0"/>
    <w:pPr>
      <w:ind w:firstLine="420"/>
    </w:pPr>
    <w:rPr>
      <w:szCs w:val="20"/>
    </w:rPr>
  </w:style>
  <w:style w:type="paragraph" w:styleId="11">
    <w:name w:val="Document Map"/>
    <w:basedOn w:val="1"/>
    <w:semiHidden/>
    <w:qFormat/>
    <w:uiPriority w:val="0"/>
    <w:pPr>
      <w:shd w:val="clear" w:color="auto" w:fill="000080"/>
    </w:pPr>
  </w:style>
  <w:style w:type="paragraph" w:styleId="12">
    <w:name w:val="toa heading"/>
    <w:basedOn w:val="1"/>
    <w:next w:val="1"/>
    <w:unhideWhenUsed/>
    <w:qFormat/>
    <w:uiPriority w:val="99"/>
    <w:pPr>
      <w:spacing w:before="120"/>
    </w:pPr>
    <w:rPr>
      <w:rFonts w:ascii="Cambria" w:hAnsi="Cambria"/>
      <w:sz w:val="24"/>
    </w:rPr>
  </w:style>
  <w:style w:type="paragraph" w:styleId="13">
    <w:name w:val="annotation text"/>
    <w:basedOn w:val="1"/>
    <w:link w:val="56"/>
    <w:autoRedefine/>
    <w:qFormat/>
    <w:uiPriority w:val="0"/>
    <w:pPr>
      <w:jc w:val="left"/>
    </w:pPr>
  </w:style>
  <w:style w:type="paragraph" w:styleId="14">
    <w:name w:val="Body Text 3"/>
    <w:basedOn w:val="1"/>
    <w:autoRedefine/>
    <w:qFormat/>
    <w:uiPriority w:val="0"/>
    <w:rPr>
      <w:rFonts w:ascii="仿宋_GB2312" w:hAnsi="Arial" w:eastAsia="仿宋_GB2312"/>
      <w:sz w:val="32"/>
      <w:szCs w:val="20"/>
    </w:rPr>
  </w:style>
  <w:style w:type="paragraph" w:styleId="15">
    <w:name w:val="Body Text Indent"/>
    <w:basedOn w:val="1"/>
    <w:next w:val="16"/>
    <w:autoRedefine/>
    <w:qFormat/>
    <w:uiPriority w:val="0"/>
    <w:pPr>
      <w:ind w:firstLine="645"/>
    </w:pPr>
    <w:rPr>
      <w:rFonts w:ascii="楷体_GB2312" w:eastAsia="楷体_GB2312"/>
      <w:sz w:val="32"/>
      <w:szCs w:val="20"/>
    </w:rPr>
  </w:style>
  <w:style w:type="paragraph" w:styleId="16">
    <w:name w:val="envelope return"/>
    <w:basedOn w:val="1"/>
    <w:autoRedefine/>
    <w:qFormat/>
    <w:uiPriority w:val="0"/>
    <w:pPr>
      <w:snapToGrid w:val="0"/>
    </w:pPr>
    <w:rPr>
      <w:rFonts w:ascii="Arial" w:hAnsi="Arial"/>
    </w:rPr>
  </w:style>
  <w:style w:type="paragraph" w:styleId="17">
    <w:name w:val="List Bullet 2"/>
    <w:basedOn w:val="1"/>
    <w:autoRedefine/>
    <w:qFormat/>
    <w:uiPriority w:val="0"/>
    <w:pPr>
      <w:numPr>
        <w:ilvl w:val="0"/>
        <w:numId w:val="1"/>
      </w:numPr>
    </w:pPr>
  </w:style>
  <w:style w:type="paragraph" w:styleId="18">
    <w:name w:val="toc 5"/>
    <w:basedOn w:val="1"/>
    <w:next w:val="1"/>
    <w:autoRedefine/>
    <w:semiHidden/>
    <w:qFormat/>
    <w:uiPriority w:val="0"/>
    <w:pPr>
      <w:ind w:left="1680" w:leftChars="800"/>
    </w:pPr>
  </w:style>
  <w:style w:type="paragraph" w:styleId="19">
    <w:name w:val="toc 3"/>
    <w:basedOn w:val="1"/>
    <w:next w:val="1"/>
    <w:autoRedefine/>
    <w:semiHidden/>
    <w:qFormat/>
    <w:uiPriority w:val="0"/>
    <w:pPr>
      <w:tabs>
        <w:tab w:val="right" w:leader="dot" w:pos="9440"/>
      </w:tabs>
      <w:spacing w:line="240" w:lineRule="exact"/>
      <w:ind w:left="539"/>
      <w:jc w:val="left"/>
    </w:pPr>
    <w:rPr>
      <w:rFonts w:ascii="黑体" w:hAnsi="宋体" w:eastAsia="黑体"/>
      <w:bCs/>
      <w:iCs/>
      <w:sz w:val="18"/>
      <w:szCs w:val="32"/>
    </w:rPr>
  </w:style>
  <w:style w:type="paragraph" w:styleId="20">
    <w:name w:val="Plain Text"/>
    <w:basedOn w:val="1"/>
    <w:qFormat/>
    <w:uiPriority w:val="0"/>
    <w:rPr>
      <w:rFonts w:hint="eastAsia" w:ascii="宋体" w:hAnsi="Courier New"/>
      <w:szCs w:val="20"/>
    </w:rPr>
  </w:style>
  <w:style w:type="paragraph" w:styleId="21">
    <w:name w:val="toc 8"/>
    <w:basedOn w:val="1"/>
    <w:next w:val="1"/>
    <w:semiHidden/>
    <w:qFormat/>
    <w:uiPriority w:val="0"/>
    <w:pPr>
      <w:ind w:left="2940" w:leftChars="1400"/>
    </w:pPr>
  </w:style>
  <w:style w:type="paragraph" w:styleId="22">
    <w:name w:val="Date"/>
    <w:basedOn w:val="1"/>
    <w:next w:val="1"/>
    <w:autoRedefine/>
    <w:qFormat/>
    <w:uiPriority w:val="0"/>
    <w:rPr>
      <w:sz w:val="24"/>
      <w:szCs w:val="20"/>
    </w:rPr>
  </w:style>
  <w:style w:type="paragraph" w:styleId="23">
    <w:name w:val="Body Text Indent 2"/>
    <w:basedOn w:val="1"/>
    <w:autoRedefine/>
    <w:qFormat/>
    <w:uiPriority w:val="0"/>
    <w:pPr>
      <w:ind w:firstLine="560" w:firstLineChars="200"/>
    </w:pPr>
    <w:rPr>
      <w:rFonts w:ascii="宋体" w:hAnsi="宋体"/>
      <w:sz w:val="28"/>
    </w:rPr>
  </w:style>
  <w:style w:type="paragraph" w:styleId="24">
    <w:name w:val="Balloon Text"/>
    <w:basedOn w:val="1"/>
    <w:autoRedefine/>
    <w:semiHidden/>
    <w:qFormat/>
    <w:uiPriority w:val="0"/>
    <w:rPr>
      <w:sz w:val="18"/>
      <w:szCs w:val="18"/>
    </w:rPr>
  </w:style>
  <w:style w:type="paragraph" w:styleId="25">
    <w:name w:val="footer"/>
    <w:basedOn w:val="1"/>
    <w:link w:val="57"/>
    <w:autoRedefine/>
    <w:qFormat/>
    <w:uiPriority w:val="99"/>
    <w:pPr>
      <w:tabs>
        <w:tab w:val="center" w:pos="4153"/>
        <w:tab w:val="right" w:pos="8306"/>
      </w:tabs>
      <w:snapToGrid w:val="0"/>
      <w:jc w:val="left"/>
    </w:pPr>
    <w:rPr>
      <w:sz w:val="18"/>
      <w:szCs w:val="20"/>
    </w:rPr>
  </w:style>
  <w:style w:type="paragraph" w:styleId="26">
    <w:name w:val="header"/>
    <w:basedOn w:val="1"/>
    <w:link w:val="58"/>
    <w:autoRedefine/>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semiHidden/>
    <w:qFormat/>
    <w:uiPriority w:val="0"/>
    <w:pPr>
      <w:tabs>
        <w:tab w:val="right" w:leader="dot" w:pos="9440"/>
      </w:tabs>
      <w:spacing w:before="120" w:after="120" w:line="300" w:lineRule="exact"/>
      <w:jc w:val="left"/>
    </w:pPr>
    <w:rPr>
      <w:rFonts w:ascii="黑体" w:eastAsia="黑体"/>
      <w:b/>
      <w:caps/>
      <w:sz w:val="18"/>
      <w:szCs w:val="28"/>
    </w:rPr>
  </w:style>
  <w:style w:type="paragraph" w:styleId="28">
    <w:name w:val="toc 4"/>
    <w:basedOn w:val="1"/>
    <w:next w:val="1"/>
    <w:autoRedefine/>
    <w:semiHidden/>
    <w:qFormat/>
    <w:uiPriority w:val="0"/>
    <w:pPr>
      <w:ind w:left="1260" w:leftChars="600"/>
    </w:pPr>
  </w:style>
  <w:style w:type="paragraph" w:styleId="29">
    <w:name w:val="toc 6"/>
    <w:basedOn w:val="1"/>
    <w:next w:val="1"/>
    <w:semiHidden/>
    <w:qFormat/>
    <w:uiPriority w:val="0"/>
    <w:pPr>
      <w:ind w:left="2100" w:leftChars="1000"/>
    </w:pPr>
  </w:style>
  <w:style w:type="paragraph" w:styleId="30">
    <w:name w:val="Body Text Indent 3"/>
    <w:basedOn w:val="1"/>
    <w:autoRedefine/>
    <w:qFormat/>
    <w:uiPriority w:val="0"/>
    <w:pPr>
      <w:ind w:firstLine="523"/>
    </w:pPr>
    <w:rPr>
      <w:rFonts w:ascii="仿宋_GB2312" w:hAnsi="宋体" w:eastAsia="仿宋_GB2312"/>
      <w:sz w:val="24"/>
    </w:rPr>
  </w:style>
  <w:style w:type="paragraph" w:styleId="31">
    <w:name w:val="toc 2"/>
    <w:basedOn w:val="1"/>
    <w:next w:val="1"/>
    <w:autoRedefine/>
    <w:semiHidden/>
    <w:qFormat/>
    <w:uiPriority w:val="0"/>
    <w:pPr>
      <w:tabs>
        <w:tab w:val="right" w:leader="dot" w:pos="9440"/>
      </w:tabs>
      <w:spacing w:line="260" w:lineRule="exact"/>
      <w:jc w:val="left"/>
    </w:pPr>
    <w:rPr>
      <w:rFonts w:ascii="黑体" w:eastAsia="黑体"/>
      <w:b/>
      <w:bCs/>
      <w:smallCaps/>
      <w:sz w:val="18"/>
      <w:szCs w:val="44"/>
    </w:rPr>
  </w:style>
  <w:style w:type="paragraph" w:styleId="32">
    <w:name w:val="toc 9"/>
    <w:basedOn w:val="1"/>
    <w:next w:val="1"/>
    <w:semiHidden/>
    <w:qFormat/>
    <w:uiPriority w:val="0"/>
    <w:pPr>
      <w:ind w:left="3360" w:leftChars="1600"/>
    </w:pPr>
  </w:style>
  <w:style w:type="paragraph" w:styleId="33">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5">
    <w:name w:val="index 1"/>
    <w:basedOn w:val="1"/>
    <w:next w:val="1"/>
    <w:autoRedefine/>
    <w:semiHidden/>
    <w:qFormat/>
    <w:uiPriority w:val="0"/>
    <w:rPr>
      <w:rFonts w:ascii="宋体" w:hAnsi="宋体"/>
      <w:szCs w:val="18"/>
    </w:rPr>
  </w:style>
  <w:style w:type="paragraph" w:styleId="36">
    <w:name w:val="annotation subject"/>
    <w:basedOn w:val="13"/>
    <w:next w:val="13"/>
    <w:link w:val="59"/>
    <w:autoRedefine/>
    <w:qFormat/>
    <w:uiPriority w:val="0"/>
    <w:rPr>
      <w:b/>
      <w:bCs/>
    </w:rPr>
  </w:style>
  <w:style w:type="paragraph" w:styleId="37">
    <w:name w:val="Body Text First Indent"/>
    <w:basedOn w:val="2"/>
    <w:next w:val="38"/>
    <w:autoRedefine/>
    <w:qFormat/>
    <w:uiPriority w:val="0"/>
    <w:pPr>
      <w:ind w:firstLine="420"/>
    </w:pPr>
    <w:rPr>
      <w:rFonts w:ascii="Times New Roman" w:hAnsi="Times New Roman" w:eastAsia="宋体"/>
    </w:rPr>
  </w:style>
  <w:style w:type="paragraph" w:styleId="38">
    <w:name w:val="Body Text First Indent 2"/>
    <w:basedOn w:val="15"/>
    <w:next w:val="1"/>
    <w:autoRedefine/>
    <w:qFormat/>
    <w:uiPriority w:val="0"/>
    <w:pPr>
      <w:ind w:firstLine="420"/>
    </w:pPr>
  </w:style>
  <w:style w:type="table" w:styleId="40">
    <w:name w:val="Table Grid"/>
    <w:basedOn w:val="3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autoRedefine/>
    <w:qFormat/>
    <w:uiPriority w:val="0"/>
    <w:rPr>
      <w:b/>
      <w:bCs/>
    </w:rPr>
  </w:style>
  <w:style w:type="character" w:styleId="43">
    <w:name w:val="page number"/>
    <w:autoRedefine/>
    <w:qFormat/>
    <w:uiPriority w:val="0"/>
  </w:style>
  <w:style w:type="character" w:styleId="44">
    <w:name w:val="FollowedHyperlink"/>
    <w:autoRedefine/>
    <w:qFormat/>
    <w:uiPriority w:val="0"/>
    <w:rPr>
      <w:color w:val="800080"/>
      <w:u w:val="single"/>
    </w:rPr>
  </w:style>
  <w:style w:type="character" w:styleId="45">
    <w:name w:val="Emphasis"/>
    <w:autoRedefine/>
    <w:qFormat/>
    <w:uiPriority w:val="0"/>
    <w:rPr>
      <w:i/>
    </w:rPr>
  </w:style>
  <w:style w:type="character" w:styleId="46">
    <w:name w:val="Hyperlink"/>
    <w:qFormat/>
    <w:uiPriority w:val="0"/>
    <w:rPr>
      <w:color w:val="0000FF"/>
      <w:u w:val="single"/>
    </w:rPr>
  </w:style>
  <w:style w:type="character" w:styleId="47">
    <w:name w:val="annotation reference"/>
    <w:qFormat/>
    <w:uiPriority w:val="0"/>
    <w:rPr>
      <w:sz w:val="21"/>
      <w:szCs w:val="21"/>
    </w:rPr>
  </w:style>
  <w:style w:type="paragraph" w:customStyle="1" w:styleId="4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9">
    <w:name w:val="一级条标题"/>
    <w:basedOn w:val="50"/>
    <w:next w:val="51"/>
    <w:qFormat/>
    <w:uiPriority w:val="0"/>
    <w:pPr>
      <w:tabs>
        <w:tab w:val="left" w:pos="810"/>
        <w:tab w:val="left" w:pos="907"/>
        <w:tab w:val="left" w:pos="1265"/>
      </w:tabs>
      <w:spacing w:before="0" w:after="0"/>
      <w:ind w:left="907" w:hanging="907"/>
      <w:outlineLvl w:val="2"/>
    </w:pPr>
    <w:rPr>
      <w:rFonts w:ascii="Times New Roman" w:hAnsi="宋体" w:eastAsia="宋体"/>
      <w:kern w:val="0"/>
      <w:sz w:val="20"/>
      <w:szCs w:val="20"/>
    </w:rPr>
  </w:style>
  <w:style w:type="paragraph" w:customStyle="1" w:styleId="50">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51">
    <w:name w:val="段"/>
    <w:next w:val="1"/>
    <w:autoRedefine/>
    <w:qFormat/>
    <w:uiPriority w:val="99"/>
    <w:pPr>
      <w:autoSpaceDE w:val="0"/>
      <w:autoSpaceDN w:val="0"/>
      <w:ind w:firstLine="200" w:firstLineChars="200"/>
      <w:jc w:val="both"/>
    </w:pPr>
    <w:rPr>
      <w:rFonts w:ascii="宋体" w:hAnsi="Times New Roman" w:eastAsia="宋体" w:cs="Times New Roman"/>
      <w:kern w:val="2"/>
      <w:sz w:val="22"/>
      <w:lang w:val="en-US" w:eastAsia="zh-CN" w:bidi="ar-SA"/>
    </w:rPr>
  </w:style>
  <w:style w:type="paragraph" w:customStyle="1" w:styleId="52">
    <w:name w:val="正文49"/>
    <w:autoRedefine/>
    <w:qFormat/>
    <w:uiPriority w:val="0"/>
    <w:pPr>
      <w:widowControl w:val="0"/>
      <w:jc w:val="both"/>
    </w:pPr>
    <w:rPr>
      <w:rFonts w:ascii="Calibri" w:hAnsi="Calibri" w:eastAsia="宋体" w:cs="Times New Roman"/>
      <w:sz w:val="21"/>
      <w:szCs w:val="22"/>
      <w:lang w:val="en-US" w:eastAsia="zh-CN" w:bidi="ar-SA"/>
    </w:rPr>
  </w:style>
  <w:style w:type="character" w:customStyle="1" w:styleId="53">
    <w:name w:val="标题 1 字符"/>
    <w:link w:val="4"/>
    <w:qFormat/>
    <w:uiPriority w:val="0"/>
    <w:rPr>
      <w:rFonts w:ascii="楷体_GB2312" w:eastAsia="楷体_GB2312"/>
      <w:kern w:val="2"/>
      <w:sz w:val="28"/>
      <w:lang w:val="en-US" w:eastAsia="zh-CN" w:bidi="ar-SA"/>
    </w:rPr>
  </w:style>
  <w:style w:type="character" w:customStyle="1" w:styleId="54">
    <w:name w:val="标题 2 字符"/>
    <w:link w:val="5"/>
    <w:qFormat/>
    <w:uiPriority w:val="0"/>
    <w:rPr>
      <w:rFonts w:ascii="Arial" w:hAnsi="Arial" w:eastAsia="幼圆"/>
      <w:b/>
      <w:kern w:val="2"/>
      <w:sz w:val="44"/>
    </w:rPr>
  </w:style>
  <w:style w:type="character" w:customStyle="1" w:styleId="55">
    <w:name w:val="正文缩进 字符"/>
    <w:link w:val="10"/>
    <w:qFormat/>
    <w:uiPriority w:val="0"/>
    <w:rPr>
      <w:rFonts w:eastAsia="宋体"/>
      <w:kern w:val="2"/>
      <w:sz w:val="21"/>
      <w:lang w:val="en-US" w:eastAsia="zh-CN" w:bidi="ar-SA"/>
    </w:rPr>
  </w:style>
  <w:style w:type="character" w:customStyle="1" w:styleId="56">
    <w:name w:val="批注文字 字符"/>
    <w:link w:val="13"/>
    <w:autoRedefine/>
    <w:qFormat/>
    <w:uiPriority w:val="0"/>
    <w:rPr>
      <w:kern w:val="2"/>
      <w:sz w:val="21"/>
      <w:szCs w:val="24"/>
    </w:rPr>
  </w:style>
  <w:style w:type="character" w:customStyle="1" w:styleId="57">
    <w:name w:val="页脚 字符"/>
    <w:link w:val="25"/>
    <w:autoRedefine/>
    <w:qFormat/>
    <w:uiPriority w:val="99"/>
    <w:rPr>
      <w:kern w:val="2"/>
      <w:sz w:val="18"/>
    </w:rPr>
  </w:style>
  <w:style w:type="character" w:customStyle="1" w:styleId="58">
    <w:name w:val="页眉 字符"/>
    <w:link w:val="26"/>
    <w:autoRedefine/>
    <w:qFormat/>
    <w:uiPriority w:val="99"/>
    <w:rPr>
      <w:kern w:val="2"/>
      <w:sz w:val="18"/>
      <w:szCs w:val="18"/>
    </w:rPr>
  </w:style>
  <w:style w:type="character" w:customStyle="1" w:styleId="59">
    <w:name w:val="批注主题 字符"/>
    <w:link w:val="36"/>
    <w:qFormat/>
    <w:uiPriority w:val="0"/>
    <w:rPr>
      <w:b/>
      <w:bCs/>
      <w:kern w:val="2"/>
      <w:sz w:val="21"/>
      <w:szCs w:val="24"/>
    </w:rPr>
  </w:style>
  <w:style w:type="character" w:customStyle="1" w:styleId="60">
    <w:name w:val="列出段落 Char"/>
    <w:link w:val="61"/>
    <w:autoRedefine/>
    <w:qFormat/>
    <w:locked/>
    <w:uiPriority w:val="0"/>
    <w:rPr>
      <w:rFonts w:ascii="Calibri" w:hAnsi="Calibri"/>
      <w:sz w:val="24"/>
      <w:szCs w:val="24"/>
      <w:lang w:eastAsia="en-US" w:bidi="en-US"/>
    </w:rPr>
  </w:style>
  <w:style w:type="paragraph" w:customStyle="1" w:styleId="61">
    <w:name w:val="列出段落1"/>
    <w:basedOn w:val="1"/>
    <w:link w:val="60"/>
    <w:autoRedefine/>
    <w:qFormat/>
    <w:uiPriority w:val="0"/>
    <w:pPr>
      <w:widowControl/>
      <w:ind w:left="720"/>
      <w:contextualSpacing/>
      <w:jc w:val="left"/>
    </w:pPr>
    <w:rPr>
      <w:kern w:val="0"/>
      <w:sz w:val="24"/>
      <w:lang w:eastAsia="en-US" w:bidi="en-US"/>
    </w:rPr>
  </w:style>
  <w:style w:type="character" w:customStyle="1" w:styleId="62">
    <w:name w:val="标题2 Char"/>
    <w:autoRedefine/>
    <w:qFormat/>
    <w:uiPriority w:val="0"/>
    <w:rPr>
      <w:rFonts w:ascii="方正楷体_GBK" w:hAnsi="Book Antiqua" w:eastAsia="方正楷体_GBK"/>
      <w:snapToGrid w:val="0"/>
      <w:sz w:val="32"/>
      <w:lang w:val="en-US" w:eastAsia="zh-CN" w:bidi="ar-SA"/>
    </w:rPr>
  </w:style>
  <w:style w:type="character" w:customStyle="1" w:styleId="63">
    <w:name w:val="Variable"/>
    <w:qFormat/>
    <w:uiPriority w:val="0"/>
    <w:rPr>
      <w:i/>
    </w:rPr>
  </w:style>
  <w:style w:type="character" w:customStyle="1" w:styleId="64">
    <w:name w:val="jj1"/>
    <w:qFormat/>
    <w:uiPriority w:val="0"/>
    <w:rPr>
      <w:sz w:val="20"/>
      <w:szCs w:val="20"/>
      <w:u w:val="none"/>
    </w:rPr>
  </w:style>
  <w:style w:type="character" w:customStyle="1" w:styleId="65">
    <w:name w:val="fontstyle01"/>
    <w:autoRedefine/>
    <w:qFormat/>
    <w:uiPriority w:val="0"/>
    <w:rPr>
      <w:rFonts w:hint="eastAsia" w:ascii="宋体" w:hAnsi="宋体" w:eastAsia="宋体"/>
      <w:color w:val="000000"/>
      <w:sz w:val="22"/>
      <w:szCs w:val="22"/>
    </w:rPr>
  </w:style>
  <w:style w:type="character" w:customStyle="1" w:styleId="66">
    <w:name w:val="无间隔 字符"/>
    <w:link w:val="67"/>
    <w:autoRedefine/>
    <w:qFormat/>
    <w:uiPriority w:val="1"/>
    <w:rPr>
      <w:sz w:val="22"/>
      <w:szCs w:val="22"/>
      <w:lang w:val="en-US" w:eastAsia="zh-CN" w:bidi="ar-SA"/>
    </w:rPr>
  </w:style>
  <w:style w:type="paragraph" w:styleId="67">
    <w:name w:val="No Spacing"/>
    <w:link w:val="66"/>
    <w:autoRedefine/>
    <w:qFormat/>
    <w:uiPriority w:val="1"/>
    <w:rPr>
      <w:rFonts w:ascii="Times New Roman" w:hAnsi="Times New Roman" w:eastAsia="宋体" w:cs="Times New Roman"/>
      <w:sz w:val="22"/>
      <w:szCs w:val="22"/>
      <w:lang w:val="en-US" w:eastAsia="zh-CN" w:bidi="ar-SA"/>
    </w:rPr>
  </w:style>
  <w:style w:type="character" w:customStyle="1" w:styleId="68">
    <w:name w:val="小四 段落 宋体 Char Char Char1"/>
    <w:autoRedefine/>
    <w:qFormat/>
    <w:uiPriority w:val="0"/>
    <w:rPr>
      <w:rFonts w:ascii="宋体" w:hAnsi="宋体" w:eastAsia="宋体"/>
      <w:kern w:val="2"/>
      <w:sz w:val="24"/>
      <w:szCs w:val="24"/>
      <w:lang w:val="en-US" w:eastAsia="zh-CN" w:bidi="ar-SA"/>
    </w:rPr>
  </w:style>
  <w:style w:type="paragraph" w:customStyle="1" w:styleId="69">
    <w:name w:val="ListBullet2"/>
    <w:basedOn w:val="1"/>
    <w:autoRedefine/>
    <w:qFormat/>
    <w:uiPriority w:val="0"/>
    <w:pPr>
      <w:numPr>
        <w:ilvl w:val="0"/>
        <w:numId w:val="2"/>
      </w:numPr>
      <w:tabs>
        <w:tab w:val="decimal" w:pos="780"/>
      </w:tabs>
    </w:pPr>
  </w:style>
  <w:style w:type="paragraph" w:customStyle="1" w:styleId="70">
    <w:name w:val="xl47"/>
    <w:basedOn w:val="1"/>
    <w:autoRedefine/>
    <w:qFormat/>
    <w:uiPriority w:val="0"/>
    <w:pPr>
      <w:widowControl/>
      <w:spacing w:before="100" w:beforeAutospacing="1" w:after="100" w:afterAutospacing="1"/>
      <w:jc w:val="center"/>
    </w:pPr>
    <w:rPr>
      <w:rFonts w:hint="eastAsia" w:ascii="方正姚体" w:hAnsi="宋体" w:eastAsia="方正姚体"/>
      <w:b/>
      <w:bCs/>
      <w:kern w:val="0"/>
      <w:sz w:val="36"/>
      <w:szCs w:val="36"/>
    </w:rPr>
  </w:style>
  <w:style w:type="paragraph" w:customStyle="1" w:styleId="7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2">
    <w:name w:val="列出段落2"/>
    <w:basedOn w:val="1"/>
    <w:autoRedefine/>
    <w:qFormat/>
    <w:uiPriority w:val="34"/>
    <w:pPr>
      <w:ind w:firstLine="420" w:firstLineChars="200"/>
    </w:pPr>
  </w:style>
  <w:style w:type="paragraph" w:customStyle="1" w:styleId="73">
    <w:name w:val="BioQuote Tekst"/>
    <w:basedOn w:val="1"/>
    <w:autoRedefine/>
    <w:qFormat/>
    <w:uiPriority w:val="0"/>
    <w:pPr>
      <w:ind w:right="-1"/>
    </w:pPr>
    <w:rPr>
      <w:rFonts w:ascii="Arial" w:hAnsi="Arial"/>
      <w:snapToGrid w:val="0"/>
      <w:kern w:val="0"/>
      <w:sz w:val="22"/>
      <w:szCs w:val="20"/>
      <w:lang w:eastAsia="en-US"/>
    </w:rPr>
  </w:style>
  <w:style w:type="paragraph" w:customStyle="1" w:styleId="74">
    <w:name w:val="标题1"/>
    <w:basedOn w:val="1"/>
    <w:next w:val="1"/>
    <w:autoRedefine/>
    <w:qFormat/>
    <w:uiPriority w:val="0"/>
    <w:pPr>
      <w:tabs>
        <w:tab w:val="left" w:pos="9193"/>
        <w:tab w:val="left" w:pos="9827"/>
      </w:tabs>
      <w:spacing w:line="700" w:lineRule="atLeast"/>
      <w:jc w:val="center"/>
    </w:pPr>
    <w:rPr>
      <w:rFonts w:eastAsia="方正小标宋_GBK"/>
      <w:sz w:val="44"/>
    </w:rPr>
  </w:style>
  <w:style w:type="paragraph" w:customStyle="1" w:styleId="75">
    <w:name w:val="标题 4_0"/>
    <w:basedOn w:val="76"/>
    <w:next w:val="76"/>
    <w:autoRedefine/>
    <w:qFormat/>
    <w:uiPriority w:val="0"/>
    <w:pPr>
      <w:keepNext/>
      <w:keepLines/>
      <w:spacing w:before="280" w:after="290" w:line="372" w:lineRule="auto"/>
      <w:outlineLvl w:val="3"/>
    </w:pPr>
    <w:rPr>
      <w:rFonts w:ascii="Cambria" w:hAnsi="Cambria"/>
      <w:b/>
      <w:bCs/>
      <w:sz w:val="28"/>
      <w:szCs w:val="28"/>
    </w:rPr>
  </w:style>
  <w:style w:type="paragraph" w:customStyle="1" w:styleId="76">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
    <w:name w:val="正文 1.1.1"/>
    <w:basedOn w:val="1"/>
    <w:next w:val="1"/>
    <w:autoRedefine/>
    <w:qFormat/>
    <w:uiPriority w:val="0"/>
    <w:pPr>
      <w:numPr>
        <w:ilvl w:val="2"/>
        <w:numId w:val="3"/>
      </w:numPr>
      <w:adjustRightInd w:val="0"/>
      <w:spacing w:line="360" w:lineRule="auto"/>
      <w:textAlignment w:val="baseline"/>
      <w:outlineLvl w:val="2"/>
    </w:pPr>
    <w:rPr>
      <w:rFonts w:ascii="宋体" w:hAnsi="宋体"/>
      <w:color w:val="000000"/>
      <w:kern w:val="0"/>
      <w:sz w:val="28"/>
      <w:szCs w:val="21"/>
    </w:rPr>
  </w:style>
  <w:style w:type="paragraph" w:customStyle="1" w:styleId="78">
    <w:name w:val="Char Char Char Char1 Char Char"/>
    <w:basedOn w:val="1"/>
    <w:autoRedefine/>
    <w:qFormat/>
    <w:uiPriority w:val="0"/>
    <w:pPr>
      <w:tabs>
        <w:tab w:val="left" w:pos="360"/>
      </w:tabs>
    </w:pPr>
    <w:rPr>
      <w:sz w:val="24"/>
    </w:rPr>
  </w:style>
  <w:style w:type="paragraph" w:customStyle="1" w:styleId="79">
    <w:name w:val="Char Char Char Char"/>
    <w:basedOn w:val="11"/>
    <w:autoRedefine/>
    <w:qFormat/>
    <w:uiPriority w:val="0"/>
    <w:pPr>
      <w:adjustRightInd w:val="0"/>
      <w:snapToGrid w:val="0"/>
      <w:spacing w:line="360" w:lineRule="auto"/>
    </w:pPr>
    <w:rPr>
      <w:rFonts w:ascii="Tahoma" w:hAnsi="Tahoma"/>
      <w:sz w:val="24"/>
    </w:rPr>
  </w:style>
  <w:style w:type="paragraph" w:customStyle="1" w:styleId="80">
    <w:name w:val="Address"/>
    <w:basedOn w:val="1"/>
    <w:next w:val="1"/>
    <w:autoRedefine/>
    <w:qFormat/>
    <w:uiPriority w:val="0"/>
    <w:pPr>
      <w:autoSpaceDE w:val="0"/>
      <w:autoSpaceDN w:val="0"/>
      <w:adjustRightInd w:val="0"/>
      <w:jc w:val="left"/>
    </w:pPr>
    <w:rPr>
      <w:i/>
      <w:kern w:val="0"/>
      <w:sz w:val="24"/>
      <w:szCs w:val="20"/>
    </w:rPr>
  </w:style>
  <w:style w:type="paragraph" w:customStyle="1" w:styleId="81">
    <w:name w:val="正文 1.1"/>
    <w:basedOn w:val="1"/>
    <w:next w:val="77"/>
    <w:autoRedefine/>
    <w:qFormat/>
    <w:uiPriority w:val="0"/>
    <w:pPr>
      <w:numPr>
        <w:ilvl w:val="1"/>
        <w:numId w:val="3"/>
      </w:numPr>
      <w:tabs>
        <w:tab w:val="clear" w:pos="851"/>
      </w:tabs>
      <w:adjustRightInd w:val="0"/>
      <w:spacing w:line="360" w:lineRule="auto"/>
      <w:ind w:left="980" w:hanging="980" w:hangingChars="350"/>
      <w:textAlignment w:val="baseline"/>
      <w:outlineLvl w:val="1"/>
    </w:pPr>
    <w:rPr>
      <w:rFonts w:ascii="仿宋" w:hAnsi="仿宋" w:eastAsia="仿宋"/>
      <w:b/>
      <w:kern w:val="0"/>
      <w:sz w:val="28"/>
      <w:szCs w:val="21"/>
    </w:rPr>
  </w:style>
  <w:style w:type="paragraph" w:customStyle="1" w:styleId="82">
    <w:name w:val="Char Char Char Char1 Char Char Char"/>
    <w:basedOn w:val="11"/>
    <w:autoRedefine/>
    <w:qFormat/>
    <w:uiPriority w:val="0"/>
    <w:pPr>
      <w:adjustRightInd w:val="0"/>
      <w:snapToGrid w:val="0"/>
      <w:spacing w:line="360" w:lineRule="auto"/>
    </w:pPr>
    <w:rPr>
      <w:rFonts w:ascii="Tahoma" w:hAnsi="Tahoma"/>
      <w:sz w:val="24"/>
    </w:rPr>
  </w:style>
  <w:style w:type="paragraph" w:customStyle="1" w:styleId="83">
    <w:name w:val="Char"/>
    <w:basedOn w:val="1"/>
    <w:autoRedefine/>
    <w:qFormat/>
    <w:uiPriority w:val="0"/>
    <w:rPr>
      <w:rFonts w:ascii="Tahoma" w:hAnsi="Tahoma"/>
      <w:snapToGrid w:val="0"/>
      <w:sz w:val="24"/>
      <w:szCs w:val="20"/>
    </w:rPr>
  </w:style>
  <w:style w:type="paragraph" w:customStyle="1" w:styleId="84">
    <w:name w:val="第四级"/>
    <w:basedOn w:val="1"/>
    <w:next w:val="1"/>
    <w:autoRedefine/>
    <w:qFormat/>
    <w:uiPriority w:val="0"/>
    <w:pPr>
      <w:numPr>
        <w:ilvl w:val="3"/>
        <w:numId w:val="3"/>
      </w:numPr>
      <w:adjustRightInd w:val="0"/>
      <w:spacing w:line="360" w:lineRule="auto"/>
      <w:textAlignment w:val="baseline"/>
    </w:pPr>
    <w:rPr>
      <w:rFonts w:ascii="宋体" w:hAnsi="宋体" w:eastAsia="仿宋"/>
      <w:kern w:val="0"/>
      <w:sz w:val="28"/>
      <w:szCs w:val="21"/>
    </w:rPr>
  </w:style>
  <w:style w:type="paragraph" w:customStyle="1" w:styleId="85">
    <w:name w:val="正文空2格  1."/>
    <w:basedOn w:val="1"/>
    <w:autoRedefine/>
    <w:qFormat/>
    <w:uiPriority w:val="0"/>
    <w:pPr>
      <w:adjustRightInd w:val="0"/>
      <w:spacing w:line="360" w:lineRule="auto"/>
      <w:ind w:firstLine="480" w:firstLineChars="200"/>
      <w:textAlignment w:val="baseline"/>
    </w:pPr>
    <w:rPr>
      <w:rFonts w:ascii="宋体" w:eastAsia="仿宋" w:cs="宋体"/>
      <w:kern w:val="0"/>
      <w:sz w:val="28"/>
      <w:szCs w:val="20"/>
    </w:rPr>
  </w:style>
  <w:style w:type="paragraph" w:customStyle="1" w:styleId="86">
    <w:name w:val="默认段落字体 Para Char Char Char Char Char Char Char Char Char1 Char Char Char Char Char Char Char"/>
    <w:basedOn w:val="11"/>
    <w:autoRedefine/>
    <w:qFormat/>
    <w:uiPriority w:val="0"/>
    <w:rPr>
      <w:rFonts w:ascii="Tahoma" w:hAnsi="Tahoma"/>
      <w:sz w:val="24"/>
    </w:rPr>
  </w:style>
  <w:style w:type="paragraph" w:customStyle="1" w:styleId="87">
    <w:name w:val="附录1"/>
    <w:autoRedefine/>
    <w:qFormat/>
    <w:uiPriority w:val="0"/>
    <w:pPr>
      <w:numPr>
        <w:ilvl w:val="0"/>
        <w:numId w:val="4"/>
      </w:numPr>
      <w:snapToGrid w:val="0"/>
      <w:spacing w:before="240" w:line="600" w:lineRule="atLeast"/>
    </w:pPr>
    <w:rPr>
      <w:rFonts w:ascii="Times New Roman" w:hAnsi="Times New Roman" w:eastAsia="宋体" w:cs="Times New Roman"/>
      <w:b/>
      <w:i/>
      <w:sz w:val="28"/>
      <w:lang w:val="en-US" w:eastAsia="zh-CN" w:bidi="ar-SA"/>
    </w:rPr>
  </w:style>
  <w:style w:type="paragraph" w:customStyle="1" w:styleId="88">
    <w:name w:val="Table Text"/>
    <w:autoRedefine/>
    <w:qFormat/>
    <w:uiPriority w:val="0"/>
    <w:pPr>
      <w:snapToGrid w:val="0"/>
      <w:spacing w:beforeLines="50" w:after="80"/>
      <w:jc w:val="center"/>
    </w:pPr>
    <w:rPr>
      <w:rFonts w:ascii="仿宋_GB2312" w:hAnsi="宋体" w:eastAsia="仿宋_GB2312" w:cs="Times New Roman"/>
      <w:sz w:val="24"/>
      <w:lang w:val="en-US" w:eastAsia="zh-CN" w:bidi="ar-SA"/>
    </w:rPr>
  </w:style>
  <w:style w:type="paragraph" w:customStyle="1" w:styleId="89">
    <w:name w:val="HTML 预先格式化"/>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90">
    <w:name w:val="正文_2_0"/>
    <w:autoRedefine/>
    <w:qFormat/>
    <w:uiPriority w:val="0"/>
    <w:rPr>
      <w:rFonts w:ascii="Times New Roman" w:hAnsi="Times New Roman" w:eastAsia="宋体" w:cs="Times New Roman"/>
      <w:lang w:val="en-US" w:eastAsia="zh-CN" w:bidi="ar-SA"/>
    </w:rPr>
  </w:style>
  <w:style w:type="paragraph" w:customStyle="1" w:styleId="91">
    <w:name w:val="Blockquote"/>
    <w:basedOn w:val="1"/>
    <w:autoRedefine/>
    <w:qFormat/>
    <w:uiPriority w:val="0"/>
    <w:pPr>
      <w:autoSpaceDE w:val="0"/>
      <w:autoSpaceDN w:val="0"/>
      <w:adjustRightInd w:val="0"/>
      <w:spacing w:before="100" w:after="100"/>
      <w:ind w:left="360" w:right="360"/>
    </w:pPr>
    <w:rPr>
      <w:sz w:val="24"/>
    </w:rPr>
  </w:style>
  <w:style w:type="paragraph" w:styleId="92">
    <w:name w:val="List Paragraph"/>
    <w:basedOn w:val="1"/>
    <w:next w:val="1"/>
    <w:autoRedefine/>
    <w:qFormat/>
    <w:uiPriority w:val="0"/>
    <w:pPr>
      <w:ind w:firstLine="420" w:firstLineChars="200"/>
    </w:pPr>
    <w:rPr>
      <w:rFonts w:ascii="Calibri" w:hAnsi="Calibri"/>
      <w:szCs w:val="22"/>
    </w:rPr>
  </w:style>
  <w:style w:type="paragraph" w:customStyle="1" w:styleId="93">
    <w:name w:val="正文_0_0"/>
    <w:autoRedefine/>
    <w:qFormat/>
    <w:uiPriority w:val="0"/>
    <w:pPr>
      <w:widowControl w:val="0"/>
      <w:jc w:val="both"/>
    </w:pPr>
    <w:rPr>
      <w:rFonts w:ascii="Times New Roman" w:hAnsi="Times New Roman" w:eastAsia="宋体" w:cs="Times New Roman"/>
      <w:lang w:val="en-US" w:eastAsia="zh-CN" w:bidi="ar-SA"/>
    </w:rPr>
  </w:style>
  <w:style w:type="paragraph" w:customStyle="1" w:styleId="94">
    <w:name w:val="正文 第一章"/>
    <w:basedOn w:val="1"/>
    <w:next w:val="81"/>
    <w:autoRedefine/>
    <w:qFormat/>
    <w:uiPriority w:val="0"/>
    <w:pPr>
      <w:pageBreakBefore/>
      <w:numPr>
        <w:ilvl w:val="0"/>
        <w:numId w:val="3"/>
      </w:numPr>
      <w:adjustRightInd w:val="0"/>
      <w:spacing w:before="240" w:after="240" w:line="480" w:lineRule="auto"/>
      <w:jc w:val="center"/>
      <w:textAlignment w:val="baseline"/>
      <w:outlineLvl w:val="0"/>
    </w:pPr>
    <w:rPr>
      <w:rFonts w:ascii="黑体" w:hAnsi="宋体" w:eastAsia="黑体"/>
      <w:kern w:val="0"/>
      <w:sz w:val="36"/>
      <w:szCs w:val="21"/>
    </w:rPr>
  </w:style>
  <w:style w:type="paragraph" w:customStyle="1" w:styleId="95">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96">
    <w:name w:val="Char1"/>
    <w:basedOn w:val="1"/>
    <w:autoRedefine/>
    <w:qFormat/>
    <w:uiPriority w:val="0"/>
    <w:pPr>
      <w:tabs>
        <w:tab w:val="left" w:pos="360"/>
      </w:tabs>
    </w:pPr>
    <w:rPr>
      <w:sz w:val="24"/>
    </w:rPr>
  </w:style>
  <w:style w:type="paragraph" w:customStyle="1" w:styleId="97">
    <w:name w:val="标题3"/>
    <w:basedOn w:val="1"/>
    <w:next w:val="1"/>
    <w:autoRedefine/>
    <w:qFormat/>
    <w:uiPriority w:val="0"/>
    <w:rPr>
      <w:rFonts w:eastAsia="方正黑体_GBK"/>
    </w:rPr>
  </w:style>
  <w:style w:type="paragraph" w:customStyle="1" w:styleId="98">
    <w:name w:val="标题2"/>
    <w:basedOn w:val="1"/>
    <w:next w:val="1"/>
    <w:autoRedefine/>
    <w:qFormat/>
    <w:uiPriority w:val="0"/>
    <w:pPr>
      <w:jc w:val="center"/>
    </w:pPr>
    <w:rPr>
      <w:rFonts w:eastAsia="方正楷体_GBK"/>
    </w:rPr>
  </w:style>
  <w:style w:type="paragraph" w:customStyle="1" w:styleId="99">
    <w:name w:val="Table Paragraph"/>
    <w:basedOn w:val="1"/>
    <w:autoRedefine/>
    <w:qFormat/>
    <w:uiPriority w:val="99"/>
    <w:pPr>
      <w:jc w:val="left"/>
    </w:pPr>
    <w:rPr>
      <w:rFonts w:ascii="Calibri" w:hAnsi="Calibri" w:cs="Calibri"/>
      <w:kern w:val="0"/>
      <w:sz w:val="22"/>
      <w:lang w:eastAsia="en-US"/>
    </w:rPr>
  </w:style>
  <w:style w:type="paragraph" w:customStyle="1" w:styleId="100">
    <w:name w:val="Coms Alinea"/>
    <w:autoRedefine/>
    <w:qFormat/>
    <w:uiPriority w:val="0"/>
    <w:pPr>
      <w:widowControl w:val="0"/>
    </w:pPr>
    <w:rPr>
      <w:rFonts w:ascii="Arial" w:hAnsi="Arial" w:eastAsia="宋体" w:cs="Arial"/>
      <w:lang w:val="en-US" w:eastAsia="zh-CN" w:bidi="ar-SA"/>
    </w:rPr>
  </w:style>
  <w:style w:type="paragraph" w:customStyle="1" w:styleId="101">
    <w:name w:val="正文1"/>
    <w:autoRedefine/>
    <w:qFormat/>
    <w:uiPriority w:val="0"/>
    <w:rPr>
      <w:rFonts w:ascii="Times New Roman" w:hAnsi="Times New Roman" w:eastAsia="宋体" w:cs="Times New Roman"/>
      <w:lang w:val="en-US" w:eastAsia="zh-CN" w:bidi="ar-SA"/>
    </w:rPr>
  </w:style>
  <w:style w:type="paragraph" w:customStyle="1" w:styleId="102">
    <w:name w:val="Normal1"/>
    <w:autoRedefine/>
    <w:qFormat/>
    <w:uiPriority w:val="99"/>
    <w:rPr>
      <w:rFonts w:ascii="Calibri" w:hAnsi="Calibri" w:eastAsia="宋体" w:cs="Times New Roman"/>
      <w:sz w:val="24"/>
      <w:szCs w:val="24"/>
      <w:lang w:val="en-US" w:eastAsia="zh-CN" w:bidi="ar-SA"/>
    </w:rPr>
  </w:style>
  <w:style w:type="paragraph" w:customStyle="1" w:styleId="103">
    <w:name w:val="批注文字1"/>
    <w:basedOn w:val="1"/>
    <w:autoRedefine/>
    <w:unhideWhenUsed/>
    <w:qFormat/>
    <w:uiPriority w:val="99"/>
    <w:pPr>
      <w:jc w:val="left"/>
    </w:pPr>
  </w:style>
  <w:style w:type="paragraph" w:customStyle="1" w:styleId="104">
    <w:name w:val="标题 21"/>
    <w:basedOn w:val="1"/>
    <w:next w:val="105"/>
    <w:autoRedefine/>
    <w:qFormat/>
    <w:uiPriority w:val="9"/>
    <w:pPr>
      <w:keepNext/>
      <w:keepLines/>
      <w:spacing w:before="260" w:after="260" w:line="416" w:lineRule="auto"/>
      <w:outlineLvl w:val="1"/>
    </w:pPr>
    <w:rPr>
      <w:rFonts w:ascii="Cambria" w:hAnsi="Cambria"/>
      <w:b/>
      <w:bCs/>
      <w:sz w:val="32"/>
      <w:szCs w:val="32"/>
    </w:rPr>
  </w:style>
  <w:style w:type="paragraph" w:customStyle="1" w:styleId="105">
    <w:name w:val="正文缩进1"/>
    <w:basedOn w:val="1"/>
    <w:autoRedefine/>
    <w:unhideWhenUsed/>
    <w:qFormat/>
    <w:uiPriority w:val="0"/>
    <w:pPr>
      <w:ind w:firstLine="420"/>
    </w:pPr>
    <w:rPr>
      <w:rFonts w:ascii="Calibri" w:hAnsi="Calibri"/>
    </w:rPr>
  </w:style>
  <w:style w:type="paragraph" w:customStyle="1" w:styleId="106">
    <w:name w:val="普通(网站)1"/>
    <w:basedOn w:val="1"/>
    <w:autoRedefine/>
    <w:unhideWhenUsed/>
    <w:qFormat/>
    <w:uiPriority w:val="0"/>
    <w:pPr>
      <w:jc w:val="left"/>
    </w:pPr>
    <w:rPr>
      <w:rFonts w:ascii="Calibri" w:hAnsi="Calibri"/>
      <w:sz w:val="24"/>
    </w:rPr>
  </w:style>
  <w:style w:type="character" w:customStyle="1" w:styleId="107">
    <w:name w:val="要点1"/>
    <w:autoRedefine/>
    <w:qFormat/>
    <w:uiPriority w:val="0"/>
    <w:rPr>
      <w:b/>
    </w:rPr>
  </w:style>
  <w:style w:type="paragraph" w:customStyle="1" w:styleId="108">
    <w:name w:val="正文（缩进）"/>
    <w:basedOn w:val="1"/>
    <w:next w:val="109"/>
    <w:autoRedefine/>
    <w:qFormat/>
    <w:uiPriority w:val="0"/>
    <w:pPr>
      <w:ind w:firstLine="480" w:firstLineChars="200"/>
    </w:pPr>
  </w:style>
  <w:style w:type="paragraph" w:customStyle="1" w:styleId="109">
    <w:name w:val="Char Char Char Char Char Char Char Char Char"/>
    <w:basedOn w:val="1"/>
    <w:next w:val="110"/>
    <w:autoRedefine/>
    <w:qFormat/>
    <w:uiPriority w:val="99"/>
    <w:pPr>
      <w:ind w:left="360" w:firstLine="5784"/>
    </w:pPr>
  </w:style>
  <w:style w:type="paragraph" w:customStyle="1" w:styleId="110">
    <w:name w:val="正文文本 21"/>
    <w:basedOn w:val="1"/>
    <w:next w:val="111"/>
    <w:autoRedefine/>
    <w:qFormat/>
    <w:uiPriority w:val="99"/>
    <w:pPr>
      <w:widowControl/>
      <w:autoSpaceDE w:val="0"/>
      <w:autoSpaceDN w:val="0"/>
      <w:ind w:left="720" w:firstLine="5680"/>
    </w:pPr>
  </w:style>
  <w:style w:type="paragraph" w:customStyle="1" w:styleId="111">
    <w:name w:val="默认段落字体 Para Char Char Char Char Char Char Char"/>
    <w:basedOn w:val="1"/>
    <w:next w:val="112"/>
    <w:autoRedefine/>
    <w:qFormat/>
    <w:uiPriority w:val="99"/>
    <w:pPr>
      <w:ind w:firstLine="200" w:firstLineChars="200"/>
    </w:pPr>
    <w:rPr>
      <w:rFonts w:cs="Arial"/>
    </w:rPr>
  </w:style>
  <w:style w:type="paragraph" w:customStyle="1" w:styleId="112">
    <w:name w:val="样式 首行缩进:  2 字符"/>
    <w:basedOn w:val="1"/>
    <w:next w:val="113"/>
    <w:autoRedefine/>
    <w:qFormat/>
    <w:uiPriority w:val="99"/>
    <w:pPr>
      <w:spacing w:line="360" w:lineRule="auto"/>
      <w:ind w:left="480" w:firstLine="5856"/>
    </w:pPr>
  </w:style>
  <w:style w:type="paragraph" w:customStyle="1" w:styleId="113">
    <w:name w:val="样式 段后: 0.25 行"/>
    <w:basedOn w:val="1"/>
    <w:next w:val="114"/>
    <w:autoRedefine/>
    <w:qFormat/>
    <w:uiPriority w:val="99"/>
    <w:pPr>
      <w:widowControl/>
      <w:spacing w:line="300" w:lineRule="auto"/>
      <w:ind w:left="420" w:firstLine="5796"/>
    </w:pPr>
  </w:style>
  <w:style w:type="paragraph" w:customStyle="1" w:styleId="114">
    <w:name w:val="正文 New New New New New New New New New New New New New New"/>
    <w:next w:val="32"/>
    <w:autoRedefine/>
    <w:qFormat/>
    <w:uiPriority w:val="99"/>
    <w:pPr>
      <w:widowControl w:val="0"/>
      <w:ind w:firstLine="2048"/>
      <w:jc w:val="both"/>
    </w:pPr>
    <w:rPr>
      <w:rFonts w:ascii="Calibri" w:hAnsi="Calibri" w:eastAsia="宋体" w:cs="Times New Roman"/>
      <w:lang w:val="en-US" w:eastAsia="zh-CN" w:bidi="ar-SA"/>
    </w:rPr>
  </w:style>
  <w:style w:type="character" w:customStyle="1" w:styleId="115">
    <w:name w:val="NormalCharacter"/>
    <w:autoRedefine/>
    <w:qFormat/>
    <w:uiPriority w:val="0"/>
    <w:rPr>
      <w:rFonts w:ascii="Times New Roman" w:hAnsi="Times New Roman" w:eastAsia="宋体" w:cs="Times New Roman"/>
      <w:kern w:val="2"/>
      <w:sz w:val="21"/>
      <w:lang w:val="en-US" w:eastAsia="zh-CN" w:bidi="ar-SA"/>
    </w:rPr>
  </w:style>
  <w:style w:type="paragraph" w:customStyle="1" w:styleId="116">
    <w:name w:val="Normal_30"/>
    <w:autoRedefine/>
    <w:qFormat/>
    <w:uiPriority w:val="0"/>
    <w:pPr>
      <w:spacing w:before="120" w:after="240"/>
      <w:jc w:val="both"/>
    </w:pPr>
    <w:rPr>
      <w:rFonts w:ascii="Calibri" w:hAnsi="Calibri"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Info spid="_x0000_s1033"/>
    <customShpInfo spid="_x0000_s1031"/>
    <customShpInfo spid="_x0000_s1032"/>
    <customShpInfo spid="_x0000_s1029"/>
    <customShpInfo spid="_x0000_s1030"/>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20750</Words>
  <Characters>22179</Characters>
  <Lines>174</Lines>
  <Paragraphs>49</Paragraphs>
  <TotalTime>1</TotalTime>
  <ScaleCrop>false</ScaleCrop>
  <LinksUpToDate>false</LinksUpToDate>
  <CharactersWithSpaces>23200</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2024-04-29T08:27:00Z</dcterms:created>
  <dc:creator>cgzx</dc:creator>
  <cp:lastModifiedBy>linzuchao</cp:lastModifiedBy>
  <cp:lastPrinted>2020-07-14T07:46:00Z</cp:lastPrinted>
  <dcterms:modified xsi:type="dcterms:W3CDTF">2024-04-30T03:03:46Z</dcterms:modified>
  <dc:title>总  目  录</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35645683E03D4F95BF35613161EBF565_13</vt:lpwstr>
  </property>
</Properties>
</file>