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20" w:after="120"/>
        <w:jc w:val="center"/>
        <w:outlineLvl w:val="0"/>
        <w:rPr>
          <w:rStyle w:val="6"/>
          <w:rFonts w:ascii="黑体"/>
          <w:bCs w:val="0"/>
          <w:iCs w:val="0"/>
          <w:sz w:val="32"/>
          <w:szCs w:val="32"/>
        </w:rPr>
      </w:pPr>
      <w:bookmarkStart w:id="0" w:name="_Toc16783"/>
      <w:r>
        <w:rPr>
          <w:rStyle w:val="6"/>
          <w:rFonts w:hint="eastAsia" w:ascii="黑体" w:hAnsi="黑体"/>
          <w:bCs w:val="0"/>
          <w:iCs w:val="0"/>
          <w:sz w:val="32"/>
          <w:szCs w:val="32"/>
        </w:rPr>
        <w:t>第三章</w:t>
      </w:r>
      <w:r>
        <w:rPr>
          <w:rStyle w:val="6"/>
          <w:rFonts w:ascii="黑体" w:hAnsi="黑体"/>
          <w:bCs w:val="0"/>
          <w:iCs w:val="0"/>
          <w:sz w:val="32"/>
          <w:szCs w:val="32"/>
        </w:rPr>
        <w:t xml:space="preserve">  </w:t>
      </w:r>
      <w:r>
        <w:rPr>
          <w:rStyle w:val="6"/>
          <w:rFonts w:hint="eastAsia" w:ascii="黑体" w:hAnsi="黑体"/>
          <w:bCs w:val="0"/>
          <w:iCs w:val="0"/>
          <w:sz w:val="32"/>
          <w:szCs w:val="32"/>
        </w:rPr>
        <w:t>评标办法（技术评分最低标价法）</w:t>
      </w:r>
      <w:bookmarkEnd w:id="0"/>
    </w:p>
    <w:p>
      <w:pPr>
        <w:pStyle w:val="5"/>
        <w:ind w:firstLine="480"/>
        <w:rPr>
          <w:rStyle w:val="6"/>
          <w:rFonts w:ascii="黑体" w:hAnsi="黑体" w:eastAsia="黑体"/>
          <w:sz w:val="24"/>
        </w:rPr>
      </w:pPr>
      <w:r>
        <w:rPr>
          <w:rStyle w:val="6"/>
          <w:rFonts w:hint="eastAsia" w:ascii="黑体" w:hAnsi="黑体" w:eastAsia="黑体"/>
          <w:sz w:val="24"/>
        </w:rPr>
        <w:t>评标办法前附表</w:t>
      </w:r>
    </w:p>
    <w:tbl>
      <w:tblPr>
        <w:tblStyle w:val="2"/>
        <w:tblW w:w="966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592"/>
        <w:gridCol w:w="7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exac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center"/>
              <w:rPr>
                <w:rStyle w:val="6"/>
                <w:b/>
              </w:rPr>
            </w:pPr>
            <w:r>
              <w:rPr>
                <w:rStyle w:val="6"/>
                <w:rFonts w:hint="eastAsia"/>
                <w:b/>
              </w:rPr>
              <w:t>条款号</w:t>
            </w:r>
          </w:p>
        </w:tc>
        <w:tc>
          <w:tcPr>
            <w:tcW w:w="7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6"/>
                <w:b/>
              </w:rPr>
            </w:pPr>
            <w:r>
              <w:rPr>
                <w:rStyle w:val="6"/>
                <w:rFonts w:hint="eastAsia"/>
                <w:b/>
              </w:rPr>
              <w:t>评审因素与标准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exac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Style w:val="6"/>
                <w:rFonts w:hAnsi="宋体"/>
                <w:bCs/>
              </w:rPr>
            </w:pPr>
            <w:r>
              <w:rPr>
                <w:rStyle w:val="6"/>
                <w:rFonts w:hAnsi="宋体"/>
                <w:bCs/>
              </w:rPr>
              <w:t>1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Style w:val="6"/>
              </w:rPr>
            </w:pPr>
            <w:r>
              <w:rPr>
                <w:rStyle w:val="6"/>
                <w:rFonts w:hint="eastAsia"/>
              </w:rPr>
              <w:t>评标方法</w:t>
            </w:r>
          </w:p>
        </w:tc>
        <w:tc>
          <w:tcPr>
            <w:tcW w:w="7260" w:type="dxa"/>
            <w:noWrap w:val="0"/>
            <w:vAlign w:val="center"/>
          </w:tcPr>
          <w:p>
            <w:pPr>
              <w:spacing w:line="320" w:lineRule="exact"/>
              <w:rPr>
                <w:rStyle w:val="6"/>
              </w:rPr>
            </w:pPr>
            <w:r>
              <w:rPr>
                <w:rStyle w:val="6"/>
              </w:rPr>
              <w:t xml:space="preserve">    </w:t>
            </w:r>
            <w:r>
              <w:rPr>
                <w:rStyle w:val="6"/>
                <w:rFonts w:hint="eastAsia"/>
              </w:rPr>
              <w:t>评标价相等时，评标委员会依次按照以下优先顺序推荐中标候选人或确定中标人：</w:t>
            </w:r>
          </w:p>
          <w:p>
            <w:pPr>
              <w:spacing w:line="320" w:lineRule="exact"/>
              <w:rPr>
                <w:rStyle w:val="6"/>
              </w:rPr>
            </w:pPr>
            <w:r>
              <w:rPr>
                <w:rStyle w:val="6"/>
              </w:rPr>
              <w:t xml:space="preserve">    </w:t>
            </w:r>
            <w:r>
              <w:rPr>
                <w:rStyle w:val="6"/>
                <w:rFonts w:hint="eastAsia"/>
              </w:rPr>
              <w:t>（</w:t>
            </w:r>
            <w:r>
              <w:rPr>
                <w:rStyle w:val="6"/>
              </w:rPr>
              <w:t>1</w:t>
            </w:r>
            <w:r>
              <w:rPr>
                <w:rStyle w:val="6"/>
                <w:rFonts w:hint="eastAsia"/>
              </w:rPr>
              <w:t>）投标报价低的投标人优先；</w:t>
            </w:r>
          </w:p>
          <w:p>
            <w:pPr>
              <w:spacing w:line="320" w:lineRule="exact"/>
              <w:rPr>
                <w:rStyle w:val="6"/>
              </w:rPr>
            </w:pPr>
            <w:r>
              <w:rPr>
                <w:rStyle w:val="6"/>
              </w:rPr>
              <w:t xml:space="preserve">    </w:t>
            </w:r>
            <w:r>
              <w:rPr>
                <w:rStyle w:val="6"/>
                <w:rFonts w:hint="eastAsia"/>
              </w:rPr>
              <w:t>（</w:t>
            </w:r>
            <w:r>
              <w:rPr>
                <w:rStyle w:val="6"/>
              </w:rPr>
              <w:t>2</w:t>
            </w:r>
            <w:r>
              <w:rPr>
                <w:rStyle w:val="6"/>
                <w:rFonts w:hint="eastAsia"/>
              </w:rPr>
              <w:t>）</w:t>
            </w:r>
            <w:r>
              <w:rPr>
                <w:rStyle w:val="6"/>
                <w:rFonts w:hint="eastAsia" w:hAnsi="宋体" w:cs="宋体"/>
                <w:szCs w:val="24"/>
              </w:rPr>
              <w:t>被招标项目所在地省级</w:t>
            </w:r>
            <w:r>
              <w:rPr>
                <w:rStyle w:val="6"/>
                <w:rFonts w:hint="eastAsia" w:hAnsi="宋体"/>
                <w:szCs w:val="24"/>
              </w:rPr>
              <w:t>交通运输主管部门评为较高信用等级</w:t>
            </w:r>
            <w:r>
              <w:rPr>
                <w:rStyle w:val="6"/>
                <w:rFonts w:hint="eastAsia" w:hAnsi="宋体" w:cs="宋体"/>
                <w:szCs w:val="24"/>
              </w:rPr>
              <w:t>的投标人优先；</w:t>
            </w:r>
          </w:p>
          <w:p>
            <w:pPr>
              <w:ind w:left="617" w:hanging="617"/>
              <w:rPr>
                <w:rStyle w:val="6"/>
                <w:rFonts w:hAnsi="宋体"/>
              </w:rPr>
            </w:pPr>
            <w:r>
              <w:rPr>
                <w:rStyle w:val="6"/>
                <w:rFonts w:hAnsi="宋体"/>
                <w:szCs w:val="21"/>
              </w:rPr>
              <w:t xml:space="preserve">    </w:t>
            </w:r>
            <w:r>
              <w:rPr>
                <w:rStyle w:val="6"/>
                <w:rFonts w:hint="eastAsia" w:hAnsi="宋体"/>
                <w:szCs w:val="21"/>
              </w:rPr>
              <w:t>（</w:t>
            </w:r>
            <w:r>
              <w:rPr>
                <w:rStyle w:val="6"/>
                <w:rFonts w:hAnsi="宋体"/>
                <w:szCs w:val="21"/>
              </w:rPr>
              <w:t>3</w:t>
            </w:r>
            <w:r>
              <w:rPr>
                <w:rStyle w:val="6"/>
                <w:rFonts w:hint="eastAsia" w:hAnsi="宋体"/>
                <w:szCs w:val="21"/>
              </w:rPr>
              <w:t>）商务和技术得分较高的投标人优先。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2" w:hRule="exac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Style w:val="6"/>
              </w:rPr>
            </w:pPr>
            <w:r>
              <w:rPr>
                <w:rStyle w:val="6"/>
                <w:rFonts w:hAnsi="宋体"/>
                <w:bCs/>
              </w:rPr>
              <w:t>2.</w:t>
            </w:r>
            <w:r>
              <w:rPr>
                <w:rStyle w:val="6"/>
              </w:rPr>
              <w:t>1.1</w:t>
            </w:r>
          </w:p>
          <w:p>
            <w:pPr>
              <w:jc w:val="center"/>
              <w:rPr>
                <w:rStyle w:val="6"/>
              </w:rPr>
            </w:pPr>
            <w:r>
              <w:rPr>
                <w:rStyle w:val="6"/>
              </w:rPr>
              <w:t>2.1.3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Style w:val="6"/>
              </w:rPr>
            </w:pPr>
            <w:r>
              <w:rPr>
                <w:rStyle w:val="6"/>
                <w:rFonts w:hint="eastAsia"/>
              </w:rPr>
              <w:t>形式评审与响应性评审标准</w:t>
            </w:r>
          </w:p>
        </w:tc>
        <w:tc>
          <w:tcPr>
            <w:tcW w:w="7260" w:type="dxa"/>
            <w:noWrap w:val="0"/>
            <w:vAlign w:val="top"/>
          </w:tcPr>
          <w:p>
            <w:pPr>
              <w:spacing w:line="320" w:lineRule="exact"/>
              <w:rPr>
                <w:rStyle w:val="6"/>
              </w:rPr>
            </w:pPr>
            <w:r>
              <w:rPr>
                <w:rStyle w:val="6"/>
              </w:rPr>
              <w:t xml:space="preserve">    </w:t>
            </w:r>
            <w:r>
              <w:rPr>
                <w:rStyle w:val="6"/>
                <w:rFonts w:hint="eastAsia"/>
              </w:rPr>
              <w:t>第一个信封（商务及技术文件）评审标准：</w:t>
            </w:r>
          </w:p>
          <w:p>
            <w:pPr>
              <w:spacing w:line="320" w:lineRule="exact"/>
              <w:rPr>
                <w:rStyle w:val="6"/>
              </w:rPr>
            </w:pPr>
            <w:r>
              <w:rPr>
                <w:rStyle w:val="6"/>
              </w:rPr>
              <w:t xml:space="preserve">    </w:t>
            </w:r>
            <w:r>
              <w:rPr>
                <w:rStyle w:val="6"/>
                <w:rFonts w:hint="eastAsia"/>
              </w:rPr>
              <w:t>（</w:t>
            </w:r>
            <w:r>
              <w:rPr>
                <w:rStyle w:val="6"/>
              </w:rPr>
              <w:t>1</w:t>
            </w:r>
            <w:r>
              <w:rPr>
                <w:rStyle w:val="6"/>
                <w:rFonts w:hint="eastAsia"/>
              </w:rPr>
              <w:t>）投标文件按照招标文件规定的格式、内容填写，字迹清晰可辨：</w:t>
            </w:r>
          </w:p>
          <w:p>
            <w:pPr>
              <w:spacing w:line="320" w:lineRule="exact"/>
              <w:ind w:firstLine="480" w:firstLineChars="200"/>
              <w:rPr>
                <w:rStyle w:val="6"/>
              </w:rPr>
            </w:pPr>
            <w:r>
              <w:rPr>
                <w:rStyle w:val="6"/>
              </w:rPr>
              <w:t>a.</w:t>
            </w:r>
            <w:r>
              <w:rPr>
                <w:rStyle w:val="6"/>
                <w:rFonts w:hint="eastAsia"/>
              </w:rPr>
              <w:t>投标函按招标文件规定填报了项目名称、标段号、补遗书编号（如有）、工期、工程质量要求、安全目标及环保目标；</w:t>
            </w:r>
          </w:p>
          <w:p>
            <w:pPr>
              <w:spacing w:line="320" w:lineRule="exact"/>
              <w:ind w:firstLine="480" w:firstLineChars="200"/>
              <w:rPr>
                <w:rStyle w:val="6"/>
              </w:rPr>
            </w:pPr>
            <w:r>
              <w:rPr>
                <w:rStyle w:val="6"/>
              </w:rPr>
              <w:t>b.</w:t>
            </w:r>
            <w:r>
              <w:rPr>
                <w:rStyle w:val="6"/>
                <w:rFonts w:hint="eastAsia"/>
              </w:rPr>
              <w:t>投标函附录的所有数据均符合招标文件规定；</w:t>
            </w:r>
          </w:p>
          <w:p>
            <w:pPr>
              <w:spacing w:line="320" w:lineRule="exact"/>
              <w:ind w:firstLine="480" w:firstLineChars="200"/>
              <w:rPr>
                <w:rStyle w:val="6"/>
              </w:rPr>
            </w:pPr>
            <w:r>
              <w:rPr>
                <w:rStyle w:val="6"/>
              </w:rPr>
              <w:t>c.</w:t>
            </w:r>
            <w:r>
              <w:rPr>
                <w:rStyle w:val="6"/>
                <w:rFonts w:hint="eastAsia"/>
              </w:rPr>
              <w:t>投标文件组成齐全完整，内容均按规定填写；</w:t>
            </w:r>
          </w:p>
          <w:p>
            <w:pPr>
              <w:spacing w:line="280" w:lineRule="exact"/>
              <w:rPr>
                <w:rStyle w:val="6"/>
              </w:rPr>
            </w:pPr>
            <w:r>
              <w:rPr>
                <w:rStyle w:val="6"/>
              </w:rPr>
              <w:t xml:space="preserve">    </w:t>
            </w:r>
            <w:r>
              <w:rPr>
                <w:rStyle w:val="6"/>
                <w:rFonts w:hint="eastAsia"/>
              </w:rPr>
              <w:t>（</w:t>
            </w:r>
            <w:r>
              <w:rPr>
                <w:rStyle w:val="6"/>
              </w:rPr>
              <w:t>2</w:t>
            </w:r>
            <w:r>
              <w:rPr>
                <w:rStyle w:val="6"/>
                <w:rFonts w:hint="eastAsia"/>
              </w:rPr>
              <w:t>）投标文件上法定代表人或其委托代理人的签字、投标人的单位章盖章齐全，符合招标文件规定：</w:t>
            </w:r>
          </w:p>
          <w:p>
            <w:pPr>
              <w:spacing w:line="320" w:lineRule="exact"/>
              <w:rPr>
                <w:rStyle w:val="6"/>
              </w:rPr>
            </w:pPr>
            <w:r>
              <w:rPr>
                <w:rStyle w:val="6"/>
              </w:rPr>
              <w:t xml:space="preserve">    </w:t>
            </w:r>
            <w:r>
              <w:rPr>
                <w:rStyle w:val="6"/>
                <w:rFonts w:hint="eastAsia"/>
              </w:rPr>
              <w:t>（</w:t>
            </w:r>
            <w:r>
              <w:rPr>
                <w:rStyle w:val="6"/>
              </w:rPr>
              <w:t>3</w:t>
            </w:r>
            <w:r>
              <w:rPr>
                <w:rStyle w:val="6"/>
                <w:rFonts w:hint="eastAsia"/>
              </w:rPr>
              <w:t>）投标人法定代表人授权委托代理人签署投标文件的，需提交授权委托书，且授权人和被授权人均在授权委托书上签名，未使用印章、签名章或其他电子制版签名代替（电子投标文件可使用电子制版签名）。</w:t>
            </w:r>
          </w:p>
          <w:p>
            <w:pPr>
              <w:spacing w:line="320" w:lineRule="exact"/>
              <w:ind w:firstLine="480" w:firstLineChars="200"/>
              <w:rPr>
                <w:rStyle w:val="6"/>
              </w:rPr>
            </w:pPr>
            <w:r>
              <w:rPr>
                <w:rStyle w:val="6"/>
                <w:rFonts w:hint="eastAsia"/>
              </w:rPr>
              <w:t>（</w:t>
            </w:r>
            <w:r>
              <w:rPr>
                <w:rStyle w:val="6"/>
              </w:rPr>
              <w:t>4</w:t>
            </w:r>
            <w:r>
              <w:rPr>
                <w:rStyle w:val="6"/>
                <w:rFonts w:hint="eastAsia"/>
              </w:rPr>
              <w:t>）投标人法定代表人亲自签署投标文件的，提供了法定代表人身份证明，且法定代表人在法定代表人身份证明上签名，未使用印章、签名章或其他电子制版签名代替（电子投标文件可使用电子制版签名）。</w:t>
            </w:r>
          </w:p>
          <w:p>
            <w:pPr>
              <w:spacing w:line="320" w:lineRule="exact"/>
              <w:ind w:firstLine="465"/>
              <w:rPr>
                <w:rStyle w:val="6"/>
              </w:rPr>
            </w:pPr>
            <w:r>
              <w:rPr>
                <w:rStyle w:val="6"/>
                <w:rFonts w:hint="eastAsia"/>
              </w:rPr>
              <w:t>（</w:t>
            </w:r>
            <w:r>
              <w:rPr>
                <w:rStyle w:val="6"/>
              </w:rPr>
              <w:t>5</w:t>
            </w:r>
            <w:r>
              <w:rPr>
                <w:rStyle w:val="6"/>
                <w:rFonts w:hint="eastAsia"/>
              </w:rPr>
              <w:t>）投标人未以联合体形式投标。</w:t>
            </w:r>
          </w:p>
          <w:p>
            <w:pPr>
              <w:spacing w:line="320" w:lineRule="exact"/>
              <w:ind w:firstLine="480" w:firstLineChars="200"/>
              <w:rPr>
                <w:rStyle w:val="6"/>
              </w:rPr>
            </w:pPr>
            <w:r>
              <w:rPr>
                <w:rStyle w:val="6"/>
                <w:rFonts w:hint="eastAsia"/>
              </w:rPr>
              <w:t>（</w:t>
            </w:r>
            <w:r>
              <w:rPr>
                <w:rStyle w:val="6"/>
              </w:rPr>
              <w:t>6</w:t>
            </w:r>
            <w:r>
              <w:rPr>
                <w:rStyle w:val="6"/>
                <w:rFonts w:hint="eastAsia"/>
              </w:rPr>
              <w:t>）投标人无分包计划。</w:t>
            </w:r>
          </w:p>
          <w:p>
            <w:pPr>
              <w:spacing w:line="320" w:lineRule="exact"/>
              <w:rPr>
                <w:rStyle w:val="6"/>
              </w:rPr>
            </w:pPr>
            <w:r>
              <w:rPr>
                <w:rStyle w:val="6"/>
              </w:rPr>
              <w:t xml:space="preserve">    </w:t>
            </w:r>
            <w:r>
              <w:rPr>
                <w:rStyle w:val="6"/>
                <w:rFonts w:hint="eastAsia"/>
              </w:rPr>
              <w:t>（</w:t>
            </w:r>
            <w:r>
              <w:rPr>
                <w:rStyle w:val="6"/>
              </w:rPr>
              <w:t>7</w:t>
            </w:r>
            <w:r>
              <w:rPr>
                <w:rStyle w:val="6"/>
                <w:rFonts w:hint="eastAsia"/>
              </w:rPr>
              <w:t>）同一投标人未提交两个以上不同的投标文件。</w:t>
            </w:r>
          </w:p>
          <w:p>
            <w:pPr>
              <w:spacing w:line="320" w:lineRule="exact"/>
              <w:rPr>
                <w:rStyle w:val="6"/>
              </w:rPr>
            </w:pPr>
            <w:r>
              <w:rPr>
                <w:rStyle w:val="6"/>
              </w:rPr>
              <w:t xml:space="preserve">    </w:t>
            </w:r>
            <w:r>
              <w:rPr>
                <w:rStyle w:val="6"/>
                <w:rFonts w:hint="eastAsia"/>
              </w:rPr>
              <w:t>（</w:t>
            </w:r>
            <w:r>
              <w:rPr>
                <w:rStyle w:val="6"/>
              </w:rPr>
              <w:t>8</w:t>
            </w:r>
            <w:r>
              <w:rPr>
                <w:rStyle w:val="6"/>
                <w:rFonts w:hint="eastAsia"/>
              </w:rPr>
              <w:t>）投标文件未出现有关投标报价的内容。</w:t>
            </w:r>
          </w:p>
          <w:p>
            <w:pPr>
              <w:spacing w:line="320" w:lineRule="exact"/>
              <w:rPr>
                <w:rStyle w:val="6"/>
              </w:rPr>
            </w:pPr>
            <w:r>
              <w:rPr>
                <w:rStyle w:val="6"/>
              </w:rPr>
              <w:t xml:space="preserve">    </w:t>
            </w:r>
            <w:r>
              <w:rPr>
                <w:rStyle w:val="6"/>
                <w:rFonts w:hint="eastAsia"/>
              </w:rPr>
              <w:t>（</w:t>
            </w:r>
            <w:r>
              <w:rPr>
                <w:rStyle w:val="6"/>
              </w:rPr>
              <w:t>9</w:t>
            </w:r>
            <w:r>
              <w:rPr>
                <w:rStyle w:val="6"/>
                <w:rFonts w:hint="eastAsia"/>
              </w:rPr>
              <w:t>）投标文件载明的招标项目完成期限未超过招标文件规定的时限。</w:t>
            </w:r>
          </w:p>
          <w:p>
            <w:pPr>
              <w:spacing w:line="320" w:lineRule="exact"/>
              <w:rPr>
                <w:rStyle w:val="6"/>
              </w:rPr>
            </w:pPr>
            <w:r>
              <w:rPr>
                <w:rStyle w:val="6"/>
              </w:rPr>
              <w:t xml:space="preserve">    </w:t>
            </w:r>
            <w:r>
              <w:rPr>
                <w:rStyle w:val="6"/>
                <w:rFonts w:hint="eastAsia"/>
              </w:rPr>
              <w:t>（</w:t>
            </w:r>
            <w:r>
              <w:rPr>
                <w:rStyle w:val="6"/>
              </w:rPr>
              <w:t>10</w:t>
            </w:r>
            <w:r>
              <w:rPr>
                <w:rStyle w:val="6"/>
                <w:rFonts w:hint="eastAsia"/>
              </w:rPr>
              <w:t>）投标文件对招标文件的实质性要求和条件做出响应。</w:t>
            </w:r>
          </w:p>
          <w:p>
            <w:pPr>
              <w:ind w:firstLine="480" w:firstLineChars="200"/>
              <w:rPr>
                <w:rStyle w:val="6"/>
              </w:rPr>
            </w:pPr>
            <w:r>
              <w:rPr>
                <w:rStyle w:val="6"/>
                <w:rFonts w:hint="eastAsia"/>
              </w:rPr>
              <w:t>（</w:t>
            </w:r>
            <w:r>
              <w:rPr>
                <w:rStyle w:val="6"/>
              </w:rPr>
              <w:t>11</w:t>
            </w:r>
            <w:r>
              <w:rPr>
                <w:rStyle w:val="6"/>
                <w:rFonts w:hint="eastAsia"/>
              </w:rPr>
              <w:t>）权利义务符合招标文件规定：</w:t>
            </w:r>
          </w:p>
          <w:p>
            <w:pPr>
              <w:rPr>
                <w:rStyle w:val="6"/>
              </w:rPr>
            </w:pPr>
            <w:r>
              <w:rPr>
                <w:rStyle w:val="6"/>
              </w:rPr>
              <w:t xml:space="preserve">    a.</w:t>
            </w:r>
            <w:r>
              <w:rPr>
                <w:rStyle w:val="6"/>
                <w:rFonts w:hint="eastAsia"/>
              </w:rPr>
              <w:t>投标人应接受招标文件规定的风险划分原则，未提出新的风险划分办法；</w:t>
            </w:r>
          </w:p>
          <w:p>
            <w:pPr>
              <w:rPr>
                <w:rStyle w:val="6"/>
              </w:rPr>
            </w:pPr>
            <w:r>
              <w:rPr>
                <w:rStyle w:val="6"/>
              </w:rPr>
              <w:t xml:space="preserve">    b.</w:t>
            </w:r>
            <w:r>
              <w:rPr>
                <w:rStyle w:val="6"/>
                <w:rFonts w:hint="eastAsia"/>
              </w:rPr>
              <w:t>投标人未增加发包人的责任范围，或减少投标人义务；</w:t>
            </w:r>
          </w:p>
          <w:p>
            <w:pPr>
              <w:rPr>
                <w:rStyle w:val="6"/>
              </w:rPr>
            </w:pPr>
            <w:r>
              <w:rPr>
                <w:rStyle w:val="6"/>
              </w:rPr>
              <w:t xml:space="preserve">    c.</w:t>
            </w:r>
            <w:r>
              <w:rPr>
                <w:rStyle w:val="6"/>
                <w:rFonts w:hint="eastAsia"/>
              </w:rPr>
              <w:t>投标人未提出不同的工程验收、计量、支付办法；</w:t>
            </w:r>
          </w:p>
          <w:p>
            <w:pPr>
              <w:rPr>
                <w:rStyle w:val="6"/>
              </w:rPr>
            </w:pPr>
            <w:r>
              <w:rPr>
                <w:rStyle w:val="6"/>
              </w:rPr>
              <w:t xml:space="preserve">    d.</w:t>
            </w:r>
            <w:r>
              <w:rPr>
                <w:rStyle w:val="6"/>
                <w:rFonts w:hint="eastAsia"/>
              </w:rPr>
              <w:t>投标人对合同纠纷、事故处理办法未提出异议；</w:t>
            </w:r>
          </w:p>
          <w:p>
            <w:pPr>
              <w:rPr>
                <w:rStyle w:val="6"/>
              </w:rPr>
            </w:pPr>
            <w:r>
              <w:rPr>
                <w:rStyle w:val="6"/>
              </w:rPr>
              <w:t xml:space="preserve">    e.</w:t>
            </w:r>
            <w:r>
              <w:rPr>
                <w:rStyle w:val="6"/>
                <w:rFonts w:hint="eastAsia"/>
              </w:rPr>
              <w:t>投标人在投标活动中无欺诈行为；</w:t>
            </w:r>
          </w:p>
          <w:p>
            <w:pPr>
              <w:rPr>
                <w:rStyle w:val="6"/>
              </w:rPr>
            </w:pPr>
            <w:r>
              <w:rPr>
                <w:rStyle w:val="6"/>
              </w:rPr>
              <w:t xml:space="preserve">    f.</w:t>
            </w:r>
            <w:r>
              <w:rPr>
                <w:rStyle w:val="6"/>
                <w:rFonts w:hint="eastAsia"/>
              </w:rPr>
              <w:t>投标人未对合同条款有重要保留。</w:t>
            </w:r>
          </w:p>
          <w:p>
            <w:pPr>
              <w:spacing w:line="320" w:lineRule="exact"/>
              <w:ind w:firstLine="465"/>
              <w:rPr>
                <w:rStyle w:val="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6" w:hRule="exact"/>
        </w:trPr>
        <w:tc>
          <w:tcPr>
            <w:tcW w:w="817" w:type="dxa"/>
            <w:noWrap w:val="0"/>
            <w:vAlign w:val="center"/>
          </w:tcPr>
          <w:p>
            <w:pPr>
              <w:rPr>
                <w:rStyle w:val="6"/>
              </w:rPr>
            </w:pPr>
            <w:r>
              <w:rPr>
                <w:rStyle w:val="6"/>
                <w:rFonts w:hAnsi="宋体"/>
                <w:bCs/>
              </w:rPr>
              <w:t>2.</w:t>
            </w:r>
            <w:r>
              <w:rPr>
                <w:rStyle w:val="6"/>
              </w:rPr>
              <w:t>1.1</w:t>
            </w:r>
          </w:p>
          <w:p>
            <w:pPr>
              <w:rPr>
                <w:rStyle w:val="6"/>
              </w:rPr>
            </w:pPr>
            <w:r>
              <w:rPr>
                <w:rStyle w:val="6"/>
              </w:rPr>
              <w:t>2.1.3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Style w:val="6"/>
              </w:rPr>
            </w:pPr>
            <w:r>
              <w:rPr>
                <w:rStyle w:val="6"/>
                <w:rFonts w:hint="eastAsia"/>
              </w:rPr>
              <w:t>形式评审与响应性评审标准</w:t>
            </w:r>
          </w:p>
        </w:tc>
        <w:tc>
          <w:tcPr>
            <w:tcW w:w="7260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Style w:val="6"/>
              </w:rPr>
            </w:pPr>
            <w:r>
              <w:rPr>
                <w:rStyle w:val="6"/>
                <w:rFonts w:hint="eastAsia"/>
              </w:rPr>
              <w:t>第二个信封（报价文件）评审标准：</w:t>
            </w:r>
          </w:p>
          <w:p>
            <w:pPr>
              <w:spacing w:line="320" w:lineRule="exact"/>
              <w:rPr>
                <w:rStyle w:val="6"/>
                <w:szCs w:val="21"/>
              </w:rPr>
            </w:pPr>
            <w:r>
              <w:rPr>
                <w:rStyle w:val="6"/>
                <w:szCs w:val="21"/>
              </w:rPr>
              <w:t xml:space="preserve">    </w:t>
            </w:r>
            <w:r>
              <w:rPr>
                <w:rStyle w:val="6"/>
                <w:rFonts w:hint="eastAsia"/>
                <w:szCs w:val="21"/>
              </w:rPr>
              <w:t>（</w:t>
            </w:r>
            <w:r>
              <w:rPr>
                <w:rStyle w:val="6"/>
                <w:szCs w:val="21"/>
              </w:rPr>
              <w:t>1</w:t>
            </w:r>
            <w:r>
              <w:rPr>
                <w:rStyle w:val="6"/>
                <w:rFonts w:hint="eastAsia"/>
                <w:szCs w:val="21"/>
              </w:rPr>
              <w:t>）投标文件按照招标文件规定的格式、内容填写，字迹清晰可辨：</w:t>
            </w:r>
          </w:p>
          <w:p>
            <w:pPr>
              <w:spacing w:line="320" w:lineRule="exact"/>
              <w:rPr>
                <w:rStyle w:val="6"/>
                <w:szCs w:val="21"/>
              </w:rPr>
            </w:pPr>
            <w:r>
              <w:rPr>
                <w:rStyle w:val="6"/>
                <w:szCs w:val="21"/>
              </w:rPr>
              <w:t xml:space="preserve">    a.</w:t>
            </w:r>
            <w:r>
              <w:rPr>
                <w:rStyle w:val="6"/>
                <w:rFonts w:hint="eastAsia"/>
                <w:szCs w:val="21"/>
              </w:rPr>
              <w:t>报价函按招标文件规定填报了项目名称、标段号、补遗书编号（如有）、投标价（包括大写金额和小写金额）；</w:t>
            </w:r>
          </w:p>
          <w:p>
            <w:pPr>
              <w:spacing w:line="320" w:lineRule="exact"/>
              <w:rPr>
                <w:rStyle w:val="6"/>
                <w:szCs w:val="21"/>
              </w:rPr>
            </w:pPr>
            <w:r>
              <w:rPr>
                <w:rStyle w:val="6"/>
                <w:szCs w:val="21"/>
              </w:rPr>
              <w:t xml:space="preserve">    b.</w:t>
            </w:r>
            <w:r>
              <w:rPr>
                <w:rStyle w:val="6"/>
                <w:rFonts w:hint="eastAsia"/>
                <w:szCs w:val="21"/>
              </w:rPr>
              <w:t>已标价工程量清单说明与招标文件规定一致，未进行实质性修改和删减；</w:t>
            </w:r>
          </w:p>
          <w:p>
            <w:pPr>
              <w:spacing w:line="320" w:lineRule="exact"/>
              <w:rPr>
                <w:rStyle w:val="6"/>
                <w:szCs w:val="21"/>
              </w:rPr>
            </w:pPr>
            <w:r>
              <w:rPr>
                <w:rStyle w:val="6"/>
                <w:szCs w:val="21"/>
              </w:rPr>
              <w:t xml:space="preserve">    c.</w:t>
            </w:r>
            <w:r>
              <w:rPr>
                <w:rStyle w:val="6"/>
                <w:rFonts w:hint="eastAsia"/>
                <w:szCs w:val="21"/>
              </w:rPr>
              <w:t>投标文件组成齐全完整，内容均按规定填写。</w:t>
            </w:r>
          </w:p>
          <w:p>
            <w:pPr>
              <w:spacing w:line="320" w:lineRule="exact"/>
              <w:ind w:firstLine="480" w:firstLineChars="200"/>
              <w:rPr>
                <w:rStyle w:val="6"/>
                <w:szCs w:val="21"/>
              </w:rPr>
            </w:pPr>
            <w:r>
              <w:rPr>
                <w:rStyle w:val="6"/>
                <w:rFonts w:hint="eastAsia"/>
                <w:szCs w:val="21"/>
              </w:rPr>
              <w:t>（</w:t>
            </w:r>
            <w:r>
              <w:rPr>
                <w:rStyle w:val="6"/>
                <w:szCs w:val="21"/>
              </w:rPr>
              <w:t>2</w:t>
            </w:r>
            <w:r>
              <w:rPr>
                <w:rStyle w:val="6"/>
                <w:rFonts w:hint="eastAsia"/>
                <w:szCs w:val="21"/>
              </w:rPr>
              <w:t>）投标文件上法定代表人或其委托代理人的签字、投标人的单位章盖章齐全，符合招标文件规定。</w:t>
            </w:r>
          </w:p>
          <w:p>
            <w:pPr>
              <w:spacing w:line="320" w:lineRule="exact"/>
              <w:ind w:firstLine="480" w:firstLineChars="200"/>
              <w:rPr>
                <w:rStyle w:val="6"/>
                <w:szCs w:val="21"/>
              </w:rPr>
            </w:pPr>
            <w:r>
              <w:rPr>
                <w:rStyle w:val="6"/>
                <w:rFonts w:hint="eastAsia"/>
                <w:szCs w:val="21"/>
              </w:rPr>
              <w:t>（</w:t>
            </w:r>
            <w:r>
              <w:rPr>
                <w:rStyle w:val="6"/>
                <w:szCs w:val="21"/>
              </w:rPr>
              <w:t>3</w:t>
            </w:r>
            <w:r>
              <w:rPr>
                <w:rStyle w:val="6"/>
                <w:rFonts w:hint="eastAsia"/>
                <w:szCs w:val="21"/>
              </w:rPr>
              <w:t>）投标报价中的报价未超过招标文件设定的最高投标限价。</w:t>
            </w:r>
          </w:p>
          <w:p>
            <w:pPr>
              <w:spacing w:line="320" w:lineRule="exact"/>
              <w:rPr>
                <w:rStyle w:val="6"/>
                <w:szCs w:val="21"/>
              </w:rPr>
            </w:pPr>
            <w:r>
              <w:rPr>
                <w:rStyle w:val="6"/>
                <w:szCs w:val="21"/>
              </w:rPr>
              <w:t xml:space="preserve">    </w:t>
            </w:r>
            <w:r>
              <w:rPr>
                <w:rStyle w:val="6"/>
                <w:rFonts w:hint="eastAsia"/>
                <w:szCs w:val="21"/>
              </w:rPr>
              <w:t>（</w:t>
            </w:r>
            <w:r>
              <w:rPr>
                <w:rStyle w:val="6"/>
                <w:szCs w:val="21"/>
              </w:rPr>
              <w:t>4</w:t>
            </w:r>
            <w:r>
              <w:rPr>
                <w:rStyle w:val="6"/>
                <w:rFonts w:hint="eastAsia"/>
                <w:szCs w:val="21"/>
              </w:rPr>
              <w:t>）投标报价中报价的大写金额能够确定具体数值。</w:t>
            </w:r>
          </w:p>
          <w:p>
            <w:pPr>
              <w:spacing w:line="320" w:lineRule="exact"/>
              <w:rPr>
                <w:rStyle w:val="6"/>
                <w:szCs w:val="21"/>
              </w:rPr>
            </w:pPr>
            <w:r>
              <w:rPr>
                <w:rStyle w:val="6"/>
                <w:szCs w:val="21"/>
              </w:rPr>
              <w:t xml:space="preserve">    </w:t>
            </w:r>
            <w:r>
              <w:rPr>
                <w:rStyle w:val="6"/>
                <w:rFonts w:hint="eastAsia"/>
                <w:szCs w:val="21"/>
              </w:rPr>
              <w:t>（</w:t>
            </w:r>
            <w:r>
              <w:rPr>
                <w:rStyle w:val="6"/>
                <w:szCs w:val="21"/>
              </w:rPr>
              <w:t>5</w:t>
            </w:r>
            <w:r>
              <w:rPr>
                <w:rStyle w:val="6"/>
                <w:rFonts w:hint="eastAsia"/>
                <w:szCs w:val="21"/>
              </w:rPr>
              <w:t>）同一投标人未提交两个以上不同的投标报价。</w:t>
            </w:r>
          </w:p>
          <w:p>
            <w:pPr>
              <w:spacing w:line="320" w:lineRule="exact"/>
              <w:rPr>
                <w:rStyle w:val="6"/>
                <w:szCs w:val="21"/>
              </w:rPr>
            </w:pPr>
            <w:r>
              <w:rPr>
                <w:rStyle w:val="6"/>
                <w:szCs w:val="21"/>
              </w:rPr>
              <w:t xml:space="preserve">    </w:t>
            </w:r>
            <w:r>
              <w:rPr>
                <w:rStyle w:val="6"/>
                <w:rFonts w:hint="eastAsia"/>
                <w:szCs w:val="21"/>
              </w:rPr>
              <w:t>（</w:t>
            </w:r>
            <w:r>
              <w:rPr>
                <w:rStyle w:val="6"/>
                <w:szCs w:val="21"/>
              </w:rPr>
              <w:t>6</w:t>
            </w:r>
            <w:r>
              <w:rPr>
                <w:rStyle w:val="6"/>
                <w:rFonts w:hint="eastAsia"/>
                <w:szCs w:val="21"/>
              </w:rPr>
              <w:t>）投标人未提交调价函。</w:t>
            </w:r>
          </w:p>
          <w:p>
            <w:pPr>
              <w:spacing w:line="320" w:lineRule="exact"/>
              <w:rPr>
                <w:rStyle w:val="6"/>
                <w:rFonts w:hAnsi="宋体"/>
                <w:color w:val="000000"/>
                <w:szCs w:val="21"/>
              </w:rPr>
            </w:pPr>
            <w:r>
              <w:rPr>
                <w:rStyle w:val="6"/>
                <w:szCs w:val="21"/>
              </w:rPr>
              <w:t xml:space="preserve">    </w:t>
            </w:r>
            <w:r>
              <w:rPr>
                <w:rStyle w:val="6"/>
                <w:rFonts w:hint="eastAsia"/>
                <w:szCs w:val="21"/>
              </w:rPr>
              <w:t>（</w:t>
            </w:r>
            <w:r>
              <w:rPr>
                <w:rStyle w:val="6"/>
                <w:szCs w:val="21"/>
              </w:rPr>
              <w:t>7</w:t>
            </w:r>
            <w:r>
              <w:rPr>
                <w:rStyle w:val="6"/>
                <w:rFonts w:hint="eastAsia"/>
                <w:szCs w:val="21"/>
              </w:rPr>
              <w:t>）投标人若填写工程量固化清单，填写完毕的工程量固化清单未对工程量固化清单电子文件中的数据、格式和运算定义进行修改；工程量固化清单中的投标报价和投标函大写金额报价一致</w:t>
            </w:r>
            <w:r>
              <w:rPr>
                <w:rStyle w:val="6"/>
                <w:rFonts w:hint="eastAsia" w:hAnsi="宋体"/>
                <w:color w:val="000000"/>
                <w:szCs w:val="21"/>
              </w:rPr>
              <w:t>。</w:t>
            </w:r>
          </w:p>
          <w:p>
            <w:pPr>
              <w:spacing w:line="320" w:lineRule="exact"/>
              <w:ind w:firstLine="420" w:firstLineChars="200"/>
              <w:rPr>
                <w:rStyle w:val="6"/>
              </w:rPr>
            </w:pPr>
            <w:r>
              <w:rPr>
                <w:rStyle w:val="6"/>
                <w:rFonts w:hint="eastAsia"/>
                <w:sz w:val="21"/>
                <w:szCs w:val="21"/>
              </w:rPr>
              <w:t xml:space="preserve"> </w:t>
            </w:r>
            <w:r>
              <w:rPr>
                <w:rStyle w:val="6"/>
                <w:rFonts w:hint="eastAsia"/>
                <w:szCs w:val="24"/>
              </w:rPr>
              <w:t>（8）投标价算术性修正偏差未超过1％。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1" w:hRule="atLeast"/>
        </w:trPr>
        <w:tc>
          <w:tcPr>
            <w:tcW w:w="817" w:type="dxa"/>
            <w:noWrap w:val="0"/>
            <w:vAlign w:val="center"/>
          </w:tcPr>
          <w:p>
            <w:pPr>
              <w:rPr>
                <w:rStyle w:val="6"/>
              </w:rPr>
            </w:pPr>
            <w:r>
              <w:rPr>
                <w:rStyle w:val="6"/>
              </w:rPr>
              <w:t>2.1.2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Style w:val="6"/>
              </w:rPr>
            </w:pPr>
            <w:r>
              <w:rPr>
                <w:rStyle w:val="6"/>
                <w:rFonts w:hint="eastAsia"/>
              </w:rPr>
              <w:t>资格评审标准</w:t>
            </w:r>
          </w:p>
        </w:tc>
        <w:tc>
          <w:tcPr>
            <w:tcW w:w="7260" w:type="dxa"/>
            <w:noWrap w:val="0"/>
            <w:vAlign w:val="center"/>
          </w:tcPr>
          <w:p>
            <w:pPr>
              <w:spacing w:line="320" w:lineRule="exact"/>
            </w:pPr>
            <w:r>
              <w:t xml:space="preserve">    </w:t>
            </w: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）投标人具备有效的营业执照、资质证书、安全生产许可证）；</w:t>
            </w:r>
          </w:p>
          <w:p>
            <w:pPr>
              <w:spacing w:line="320" w:lineRule="exact"/>
            </w:pPr>
            <w:r>
              <w:t xml:space="preserve">    </w:t>
            </w: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）投标人的资质等级符合招标文件规定；</w:t>
            </w:r>
          </w:p>
          <w:p>
            <w:pPr>
              <w:spacing w:line="320" w:lineRule="exact"/>
            </w:pPr>
            <w:r>
              <w:t xml:space="preserve">    </w:t>
            </w: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）投标人的财务状况符合招标文件规定；</w:t>
            </w:r>
          </w:p>
          <w:p>
            <w:pPr>
              <w:spacing w:line="320" w:lineRule="exact"/>
            </w:pPr>
            <w:r>
              <w:t xml:space="preserve">    </w:t>
            </w: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）投标人的类似项目业绩符合招标文件规定；</w:t>
            </w:r>
          </w:p>
          <w:p>
            <w:pPr>
              <w:spacing w:line="320" w:lineRule="exact"/>
            </w:pPr>
            <w:r>
              <w:t xml:space="preserve">    </w:t>
            </w: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）投标人的信誉符合招标文件规定；</w:t>
            </w:r>
          </w:p>
          <w:p>
            <w:pPr>
              <w:spacing w:line="320" w:lineRule="exact"/>
              <w:ind w:firstLine="480"/>
            </w:pPr>
            <w:r>
              <w:rPr>
                <w:rFonts w:hint="eastAsia"/>
              </w:rPr>
              <w:t>（</w:t>
            </w:r>
            <w:r>
              <w:t>6</w:t>
            </w:r>
            <w:r>
              <w:rPr>
                <w:rFonts w:hint="eastAsia"/>
              </w:rPr>
              <w:t>）投标人的项目经理、项目总工、安全生产负责人资格、在岗情况符合招标文件规定；</w:t>
            </w:r>
          </w:p>
          <w:p>
            <w:pPr>
              <w:spacing w:line="320" w:lineRule="exact"/>
            </w:pPr>
            <w:r>
              <w:t xml:space="preserve">    </w:t>
            </w:r>
            <w:r>
              <w:rPr>
                <w:rFonts w:hint="eastAsia"/>
              </w:rPr>
              <w:t>（</w:t>
            </w:r>
            <w:r>
              <w:t>7</w:t>
            </w:r>
            <w:r>
              <w:rPr>
                <w:rFonts w:hint="eastAsia"/>
              </w:rPr>
              <w:t>）投标人的其他要求符合招标文件规定；</w:t>
            </w:r>
          </w:p>
          <w:p>
            <w:pPr>
              <w:spacing w:line="320" w:lineRule="exact"/>
              <w:ind w:firstLine="480"/>
            </w:pPr>
            <w:r>
              <w:rPr>
                <w:rFonts w:hint="eastAsia"/>
              </w:rPr>
              <w:t>（</w:t>
            </w:r>
            <w:r>
              <w:t>8</w:t>
            </w:r>
            <w:r>
              <w:rPr>
                <w:rFonts w:hint="eastAsia"/>
              </w:rPr>
              <w:t>）投标人不存在第二章</w:t>
            </w:r>
            <w:r>
              <w:t>“</w:t>
            </w:r>
            <w:r>
              <w:rPr>
                <w:rFonts w:hint="eastAsia"/>
              </w:rPr>
              <w:t>投标人须知</w:t>
            </w:r>
            <w:r>
              <w:t>”</w:t>
            </w:r>
            <w:r>
              <w:rPr>
                <w:rFonts w:hint="eastAsia"/>
              </w:rPr>
              <w:t>第</w:t>
            </w:r>
            <w:r>
              <w:t>1.4.3</w:t>
            </w:r>
            <w:r>
              <w:rPr>
                <w:rFonts w:hint="eastAsia"/>
              </w:rPr>
              <w:t>项或第</w:t>
            </w:r>
            <w:r>
              <w:t>1.4.4</w:t>
            </w:r>
            <w:r>
              <w:rPr>
                <w:rFonts w:hint="eastAsia"/>
              </w:rPr>
              <w:t>项规定的任何一种情形；</w:t>
            </w:r>
          </w:p>
          <w:p>
            <w:pPr>
              <w:spacing w:line="320" w:lineRule="exact"/>
              <w:ind w:firstLine="480"/>
            </w:pPr>
            <w:r>
              <w:rPr>
                <w:rFonts w:hint="eastAsia"/>
              </w:rPr>
              <w:t>（</w:t>
            </w:r>
            <w:r>
              <w:t>9</w:t>
            </w:r>
            <w:r>
              <w:rPr>
                <w:rFonts w:hint="eastAsia"/>
              </w:rPr>
              <w:t>）投标人符合第二章“投标人须知”第</w:t>
            </w:r>
            <w:r>
              <w:t>1.4.5</w:t>
            </w:r>
            <w:r>
              <w:rPr>
                <w:rFonts w:hint="eastAsia"/>
              </w:rPr>
              <w:t>项规定。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Style w:val="6"/>
                <w:b/>
                <w:szCs w:val="21"/>
              </w:rPr>
            </w:pPr>
            <w:r>
              <w:rPr>
                <w:rStyle w:val="6"/>
                <w:rFonts w:hint="eastAsia"/>
                <w:b/>
                <w:szCs w:val="21"/>
              </w:rPr>
              <w:t>条款号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b/>
                <w:szCs w:val="21"/>
              </w:rPr>
            </w:pPr>
            <w:r>
              <w:rPr>
                <w:rStyle w:val="6"/>
                <w:rFonts w:hint="eastAsia"/>
                <w:b/>
                <w:szCs w:val="21"/>
              </w:rPr>
              <w:t>条款内容</w:t>
            </w:r>
          </w:p>
        </w:tc>
        <w:tc>
          <w:tcPr>
            <w:tcW w:w="72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Style w:val="6"/>
                <w:rFonts w:hAnsi="宋体"/>
                <w:b/>
                <w:szCs w:val="21"/>
              </w:rPr>
            </w:pPr>
            <w:r>
              <w:rPr>
                <w:rStyle w:val="6"/>
                <w:rFonts w:hint="eastAsia" w:hAnsi="宋体"/>
                <w:b/>
                <w:szCs w:val="21"/>
              </w:rPr>
              <w:t>编列内容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hAnsi="宋体"/>
                <w:color w:val="000000"/>
                <w:szCs w:val="21"/>
              </w:rPr>
            </w:pPr>
            <w:r>
              <w:rPr>
                <w:rStyle w:val="6"/>
                <w:rFonts w:hAnsi="宋体"/>
                <w:color w:val="000000"/>
                <w:szCs w:val="21"/>
              </w:rPr>
              <w:t>2.2.1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hAnsi="宋体"/>
                <w:color w:val="000000"/>
                <w:szCs w:val="21"/>
              </w:rPr>
            </w:pPr>
            <w:r>
              <w:rPr>
                <w:rStyle w:val="6"/>
                <w:rFonts w:hint="eastAsia" w:hAnsi="宋体"/>
                <w:color w:val="000000"/>
                <w:szCs w:val="21"/>
              </w:rPr>
              <w:t>第一个信封</w:t>
            </w:r>
          </w:p>
          <w:p>
            <w:pPr>
              <w:spacing w:line="300" w:lineRule="exact"/>
              <w:jc w:val="center"/>
              <w:rPr>
                <w:rStyle w:val="6"/>
                <w:rFonts w:hAnsi="宋体"/>
                <w:color w:val="000000"/>
                <w:szCs w:val="21"/>
              </w:rPr>
            </w:pPr>
            <w:r>
              <w:rPr>
                <w:rStyle w:val="6"/>
                <w:rFonts w:hint="eastAsia" w:hAnsi="宋体"/>
                <w:color w:val="000000"/>
                <w:szCs w:val="21"/>
              </w:rPr>
              <w:t>评分分值构成</w:t>
            </w:r>
            <w:r>
              <w:rPr>
                <w:rStyle w:val="6"/>
                <w:rFonts w:hAnsi="宋体"/>
                <w:color w:val="000000"/>
                <w:szCs w:val="21"/>
              </w:rPr>
              <w:t>(</w:t>
            </w:r>
            <w:r>
              <w:rPr>
                <w:rStyle w:val="6"/>
                <w:rFonts w:hint="eastAsia" w:hAnsi="宋体"/>
                <w:color w:val="000000"/>
                <w:szCs w:val="21"/>
              </w:rPr>
              <w:t>总分</w:t>
            </w:r>
            <w:r>
              <w:rPr>
                <w:rStyle w:val="6"/>
                <w:rFonts w:hAnsi="宋体"/>
                <w:color w:val="000000"/>
                <w:szCs w:val="21"/>
              </w:rPr>
              <w:t>100</w:t>
            </w:r>
            <w:r>
              <w:rPr>
                <w:rStyle w:val="6"/>
                <w:rFonts w:hint="eastAsia" w:hAnsi="宋体"/>
                <w:color w:val="000000"/>
                <w:szCs w:val="21"/>
              </w:rPr>
              <w:t>分</w:t>
            </w:r>
            <w:r>
              <w:rPr>
                <w:rStyle w:val="6"/>
                <w:rFonts w:hAnsi="宋体"/>
                <w:color w:val="000000"/>
                <w:szCs w:val="21"/>
              </w:rPr>
              <w:t>)</w:t>
            </w:r>
          </w:p>
        </w:tc>
        <w:tc>
          <w:tcPr>
            <w:tcW w:w="7260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Style w:val="6"/>
                <w:rFonts w:hAnsi="宋体"/>
                <w:color w:val="000000"/>
                <w:szCs w:val="21"/>
              </w:rPr>
            </w:pPr>
            <w:r>
              <w:rPr>
                <w:rStyle w:val="6"/>
                <w:rFonts w:hint="eastAsia" w:hAnsi="宋体"/>
                <w:color w:val="000000"/>
                <w:szCs w:val="21"/>
              </w:rPr>
              <w:t>施工组织设计：</w:t>
            </w:r>
            <w:r>
              <w:rPr>
                <w:rStyle w:val="6"/>
                <w:rFonts w:hAnsi="宋体"/>
                <w:color w:val="000000"/>
                <w:szCs w:val="21"/>
              </w:rPr>
              <w:t>40</w:t>
            </w:r>
            <w:r>
              <w:rPr>
                <w:rStyle w:val="6"/>
                <w:rFonts w:hint="eastAsia" w:hAnsi="宋体"/>
                <w:color w:val="000000"/>
                <w:szCs w:val="21"/>
              </w:rPr>
              <w:t>分</w:t>
            </w:r>
          </w:p>
          <w:p>
            <w:pPr>
              <w:spacing w:line="300" w:lineRule="exact"/>
              <w:ind w:firstLine="240" w:firstLineChars="100"/>
              <w:rPr>
                <w:rStyle w:val="6"/>
                <w:rFonts w:hAnsi="宋体"/>
                <w:color w:val="000000"/>
                <w:szCs w:val="21"/>
              </w:rPr>
            </w:pPr>
            <w:r>
              <w:rPr>
                <w:rStyle w:val="6"/>
                <w:rFonts w:hint="eastAsia" w:hAnsi="宋体"/>
                <w:color w:val="000000"/>
                <w:szCs w:val="21"/>
              </w:rPr>
              <w:t>主要人员：30分</w:t>
            </w:r>
          </w:p>
          <w:p>
            <w:pPr>
              <w:spacing w:line="300" w:lineRule="exact"/>
              <w:ind w:firstLine="240" w:firstLineChars="100"/>
              <w:rPr>
                <w:rStyle w:val="6"/>
                <w:rFonts w:hAnsi="宋体"/>
                <w:color w:val="000000"/>
                <w:szCs w:val="21"/>
              </w:rPr>
            </w:pPr>
            <w:r>
              <w:rPr>
                <w:rStyle w:val="6"/>
                <w:rFonts w:hint="eastAsia" w:hAnsi="宋体"/>
                <w:color w:val="000000"/>
                <w:szCs w:val="21"/>
              </w:rPr>
              <w:t>业绩：</w:t>
            </w:r>
            <w:r>
              <w:rPr>
                <w:rStyle w:val="6"/>
                <w:rFonts w:hAnsi="宋体"/>
                <w:color w:val="000000"/>
                <w:szCs w:val="21"/>
              </w:rPr>
              <w:t>2</w:t>
            </w:r>
            <w:r>
              <w:rPr>
                <w:rStyle w:val="6"/>
                <w:rFonts w:hint="eastAsia" w:hAnsi="宋体"/>
                <w:color w:val="000000"/>
                <w:szCs w:val="21"/>
              </w:rPr>
              <w:t>5分</w:t>
            </w:r>
          </w:p>
          <w:p>
            <w:pPr>
              <w:spacing w:line="300" w:lineRule="exact"/>
              <w:ind w:firstLine="240" w:firstLineChars="100"/>
              <w:rPr>
                <w:rStyle w:val="6"/>
                <w:rFonts w:hAnsi="宋体"/>
                <w:color w:val="000000"/>
                <w:szCs w:val="21"/>
              </w:rPr>
            </w:pPr>
            <w:r>
              <w:rPr>
                <w:rStyle w:val="6"/>
                <w:rFonts w:hint="eastAsia" w:hAnsi="宋体"/>
                <w:color w:val="000000"/>
                <w:szCs w:val="21"/>
              </w:rPr>
              <w:t>履约信誉：</w:t>
            </w:r>
            <w:r>
              <w:rPr>
                <w:rStyle w:val="6"/>
                <w:rFonts w:hAnsi="宋体"/>
                <w:color w:val="000000"/>
                <w:szCs w:val="21"/>
              </w:rPr>
              <w:t>5</w:t>
            </w:r>
            <w:r>
              <w:rPr>
                <w:rStyle w:val="6"/>
                <w:rFonts w:hint="eastAsia" w:hAnsi="宋体"/>
                <w:color w:val="000000"/>
                <w:szCs w:val="21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hAnsi="宋体"/>
                <w:color w:val="000000"/>
                <w:szCs w:val="21"/>
              </w:rPr>
            </w:pPr>
            <w:r>
              <w:rPr>
                <w:rStyle w:val="6"/>
                <w:rFonts w:hAnsi="宋体"/>
                <w:color w:val="000000"/>
                <w:szCs w:val="21"/>
              </w:rPr>
              <w:t>2.2.3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hAnsi="宋体"/>
                <w:color w:val="000000"/>
                <w:szCs w:val="21"/>
              </w:rPr>
            </w:pPr>
            <w:r>
              <w:rPr>
                <w:rStyle w:val="6"/>
                <w:rFonts w:hint="eastAsia" w:hAnsi="宋体"/>
                <w:color w:val="000000"/>
                <w:szCs w:val="21"/>
              </w:rPr>
              <w:t>第二个信封</w:t>
            </w:r>
          </w:p>
          <w:p>
            <w:pPr>
              <w:spacing w:line="300" w:lineRule="exact"/>
              <w:jc w:val="center"/>
              <w:rPr>
                <w:rStyle w:val="6"/>
                <w:rFonts w:hAnsi="宋体"/>
                <w:b/>
                <w:color w:val="000000"/>
                <w:szCs w:val="21"/>
              </w:rPr>
            </w:pPr>
            <w:r>
              <w:rPr>
                <w:rStyle w:val="6"/>
                <w:rFonts w:hint="eastAsia" w:hAnsi="宋体"/>
                <w:color w:val="000000"/>
                <w:szCs w:val="21"/>
              </w:rPr>
              <w:t>详细评审标准</w:t>
            </w:r>
          </w:p>
        </w:tc>
        <w:tc>
          <w:tcPr>
            <w:tcW w:w="7260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Style w:val="6"/>
                <w:rFonts w:hAnsi="宋体"/>
                <w:color w:val="000000"/>
                <w:szCs w:val="21"/>
              </w:rPr>
            </w:pPr>
            <w:r>
              <w:rPr>
                <w:rStyle w:val="6"/>
                <w:rFonts w:hint="eastAsia" w:hAnsi="宋体"/>
                <w:color w:val="000000"/>
                <w:szCs w:val="21"/>
              </w:rPr>
              <w:t>评标价计算公式：</w:t>
            </w:r>
          </w:p>
          <w:p>
            <w:pPr>
              <w:spacing w:line="300" w:lineRule="exact"/>
              <w:ind w:firstLine="240" w:firstLineChars="100"/>
              <w:rPr>
                <w:rStyle w:val="6"/>
                <w:rFonts w:hAnsi="宋体"/>
                <w:color w:val="FF0000"/>
                <w:szCs w:val="21"/>
              </w:rPr>
            </w:pPr>
            <w:r>
              <w:rPr>
                <w:rStyle w:val="6"/>
                <w:rFonts w:hint="eastAsia" w:hAnsi="宋体"/>
                <w:szCs w:val="21"/>
              </w:rPr>
              <w:t>评标价</w:t>
            </w:r>
            <w:r>
              <w:rPr>
                <w:rStyle w:val="6"/>
                <w:rFonts w:hAnsi="宋体"/>
                <w:szCs w:val="21"/>
              </w:rPr>
              <w:t>=</w:t>
            </w:r>
            <w:r>
              <w:rPr>
                <w:rStyle w:val="6"/>
                <w:rFonts w:hint="eastAsia" w:hAnsi="宋体"/>
                <w:szCs w:val="21"/>
              </w:rPr>
              <w:t>投标函文字报价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hAnsi="宋体"/>
                <w:color w:val="000000"/>
                <w:szCs w:val="21"/>
              </w:rPr>
            </w:pPr>
            <w:r>
              <w:rPr>
                <w:rStyle w:val="6"/>
                <w:rFonts w:hAnsi="宋体"/>
                <w:color w:val="000000"/>
                <w:szCs w:val="21"/>
              </w:rPr>
              <w:t>3.2.4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hAnsi="宋体"/>
                <w:color w:val="000000"/>
                <w:szCs w:val="21"/>
              </w:rPr>
            </w:pPr>
            <w:r>
              <w:rPr>
                <w:rStyle w:val="6"/>
                <w:rFonts w:hint="eastAsia" w:hAnsi="宋体"/>
                <w:color w:val="000000"/>
                <w:szCs w:val="21"/>
              </w:rPr>
              <w:t>通过第一个</w:t>
            </w:r>
          </w:p>
          <w:p>
            <w:pPr>
              <w:spacing w:line="300" w:lineRule="exact"/>
              <w:jc w:val="center"/>
              <w:rPr>
                <w:rStyle w:val="6"/>
                <w:rFonts w:hAnsi="宋体"/>
                <w:color w:val="000000"/>
                <w:szCs w:val="21"/>
              </w:rPr>
            </w:pPr>
            <w:r>
              <w:rPr>
                <w:rStyle w:val="6"/>
                <w:rFonts w:hint="eastAsia" w:hAnsi="宋体"/>
                <w:color w:val="000000"/>
                <w:szCs w:val="21"/>
              </w:rPr>
              <w:t>信封详细评审的投标人数量</w:t>
            </w:r>
          </w:p>
        </w:tc>
        <w:tc>
          <w:tcPr>
            <w:tcW w:w="7260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Style w:val="6"/>
                <w:rFonts w:hAnsi="宋体"/>
                <w:color w:val="000000"/>
                <w:szCs w:val="21"/>
              </w:rPr>
            </w:pPr>
            <w:r>
              <w:rPr>
                <w:rStyle w:val="6"/>
                <w:rFonts w:hint="eastAsia" w:hAnsi="宋体"/>
                <w:color w:val="000000"/>
                <w:szCs w:val="21"/>
              </w:rPr>
              <w:t>按照投标人的商务和技术得分由高到低排序，选择前</w:t>
            </w:r>
            <w:r>
              <w:rPr>
                <w:rStyle w:val="6"/>
                <w:rFonts w:hAnsi="宋体"/>
                <w:b/>
                <w:bCs/>
                <w:color w:val="000000"/>
                <w:szCs w:val="21"/>
                <w:u w:val="single" w:color="000000"/>
              </w:rPr>
              <w:t>5</w:t>
            </w:r>
            <w:r>
              <w:rPr>
                <w:rStyle w:val="6"/>
                <w:rFonts w:hint="eastAsia" w:hAnsi="宋体"/>
                <w:color w:val="000000"/>
                <w:szCs w:val="21"/>
              </w:rPr>
              <w:t>名通过详细评审。</w:t>
            </w:r>
          </w:p>
        </w:tc>
      </w:tr>
    </w:tbl>
    <w:p>
      <w:pPr>
        <w:ind w:right="840" w:firstLine="7440" w:firstLineChars="3100"/>
        <w:rPr>
          <w:rStyle w:val="6"/>
          <w:rFonts w:hAnsi="宋体"/>
        </w:rPr>
      </w:pPr>
      <w:r>
        <w:rPr>
          <w:rStyle w:val="6"/>
          <w:rFonts w:hint="eastAsia" w:hAnsi="宋体"/>
        </w:rPr>
        <w:t>续上表</w:t>
      </w:r>
    </w:p>
    <w:tbl>
      <w:tblPr>
        <w:tblStyle w:val="2"/>
        <w:tblW w:w="96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451"/>
        <w:gridCol w:w="426"/>
        <w:gridCol w:w="908"/>
        <w:gridCol w:w="1772"/>
        <w:gridCol w:w="557"/>
        <w:gridCol w:w="40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582" w:type="dxa"/>
            <w:gridSpan w:val="6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评分因素与权重分值</w:t>
            </w:r>
          </w:p>
        </w:tc>
        <w:tc>
          <w:tcPr>
            <w:tcW w:w="4075" w:type="dxa"/>
            <w:vMerge w:val="restart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  <w:jc w:val="center"/>
        </w:trPr>
        <w:tc>
          <w:tcPr>
            <w:tcW w:w="1468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条款号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评分</w:t>
            </w:r>
          </w:p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因素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评分因素权重分值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各评分因素细分项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分值</w:t>
            </w:r>
          </w:p>
        </w:tc>
        <w:tc>
          <w:tcPr>
            <w:tcW w:w="4075" w:type="dxa"/>
            <w:vMerge w:val="continue"/>
            <w:noWrap w:val="0"/>
            <w:vAlign w:val="top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468" w:type="dxa"/>
            <w:vMerge w:val="restart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Ansi="宋体"/>
                <w:kern w:val="0"/>
                <w:szCs w:val="21"/>
              </w:rPr>
              <w:t>2.2.2</w:t>
            </w:r>
            <w:r>
              <w:rPr>
                <w:rStyle w:val="6"/>
                <w:rFonts w:hint="eastAsia" w:hAnsi="宋体"/>
                <w:kern w:val="0"/>
                <w:szCs w:val="21"/>
              </w:rPr>
              <w:t>（</w:t>
            </w:r>
            <w:r>
              <w:rPr>
                <w:rStyle w:val="6"/>
                <w:rFonts w:hAnsi="宋体"/>
                <w:kern w:val="0"/>
                <w:szCs w:val="21"/>
              </w:rPr>
              <w:t>1</w:t>
            </w:r>
            <w:r>
              <w:rPr>
                <w:rStyle w:val="6"/>
                <w:rFonts w:hint="eastAsia" w:hAnsi="宋体"/>
                <w:kern w:val="0"/>
                <w:szCs w:val="21"/>
              </w:rPr>
              <w:t>）</w:t>
            </w:r>
          </w:p>
        </w:tc>
        <w:tc>
          <w:tcPr>
            <w:tcW w:w="877" w:type="dxa"/>
            <w:gridSpan w:val="2"/>
            <w:vMerge w:val="restart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施工组织设计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Ansi="宋体"/>
                <w:kern w:val="0"/>
                <w:szCs w:val="21"/>
              </w:rPr>
              <w:t>40</w:t>
            </w:r>
            <w:r>
              <w:rPr>
                <w:rStyle w:val="6"/>
                <w:rFonts w:hint="eastAsia" w:hAnsi="宋体"/>
                <w:kern w:val="0"/>
                <w:szCs w:val="21"/>
              </w:rPr>
              <w:t>分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总体施工组织布置及规划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5分</w:t>
            </w:r>
          </w:p>
        </w:tc>
        <w:tc>
          <w:tcPr>
            <w:tcW w:w="4075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总体施工组织布置及规划合理，内容全面，切实可行，符合招标文件要求，得满分5分，否则根据其整体情况酌情扣减</w:t>
            </w:r>
            <w:r>
              <w:rPr>
                <w:rStyle w:val="6"/>
                <w:rFonts w:hAnsi="宋体"/>
                <w:kern w:val="0"/>
                <w:szCs w:val="21"/>
              </w:rPr>
              <w:t>0-2</w:t>
            </w:r>
            <w:r>
              <w:rPr>
                <w:rStyle w:val="6"/>
                <w:rFonts w:hint="eastAsia" w:hAnsi="宋体"/>
                <w:kern w:val="0"/>
                <w:szCs w:val="21"/>
              </w:rPr>
              <w:t>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</w:p>
        </w:tc>
        <w:tc>
          <w:tcPr>
            <w:tcW w:w="877" w:type="dxa"/>
            <w:gridSpan w:val="2"/>
            <w:vMerge w:val="continue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主要工程项目的施工方案、方法与技术措施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Ansi="宋体"/>
                <w:kern w:val="0"/>
                <w:szCs w:val="21"/>
              </w:rPr>
              <w:t>12</w:t>
            </w:r>
            <w:r>
              <w:rPr>
                <w:rStyle w:val="6"/>
                <w:rFonts w:hint="eastAsia" w:hAnsi="宋体"/>
                <w:kern w:val="0"/>
                <w:szCs w:val="21"/>
              </w:rPr>
              <w:t>分</w:t>
            </w:r>
          </w:p>
        </w:tc>
        <w:tc>
          <w:tcPr>
            <w:tcW w:w="4075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对本工程的重点、难点理解分析正确、全面，施工方案与技术措施切实可行，得满分12分，否则根据其整体情况酌情扣减</w:t>
            </w:r>
            <w:r>
              <w:rPr>
                <w:rStyle w:val="6"/>
                <w:rFonts w:hAnsi="宋体"/>
                <w:kern w:val="0"/>
                <w:szCs w:val="21"/>
              </w:rPr>
              <w:t>0-4.8</w:t>
            </w:r>
            <w:r>
              <w:rPr>
                <w:rStyle w:val="6"/>
                <w:rFonts w:hint="eastAsia" w:hAnsi="宋体"/>
                <w:kern w:val="0"/>
                <w:szCs w:val="21"/>
              </w:rPr>
              <w:t>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</w:p>
        </w:tc>
        <w:tc>
          <w:tcPr>
            <w:tcW w:w="877" w:type="dxa"/>
            <w:gridSpan w:val="2"/>
            <w:vMerge w:val="continue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交通组织方案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6分</w:t>
            </w:r>
          </w:p>
        </w:tc>
        <w:tc>
          <w:tcPr>
            <w:tcW w:w="4075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针对项目实际情况，建立健全交通组织体系，方案规范全面，措施完善、保障有力，得满分6分，否则根据其整体情况酌情扣减</w:t>
            </w:r>
            <w:r>
              <w:rPr>
                <w:rStyle w:val="6"/>
                <w:rFonts w:hAnsi="宋体"/>
                <w:kern w:val="0"/>
                <w:szCs w:val="21"/>
              </w:rPr>
              <w:t>0-</w:t>
            </w:r>
            <w:r>
              <w:rPr>
                <w:rStyle w:val="6"/>
                <w:rFonts w:hint="eastAsia" w:hAnsi="宋体"/>
                <w:kern w:val="0"/>
                <w:szCs w:val="21"/>
              </w:rPr>
              <w:t>2.4分。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</w:p>
        </w:tc>
        <w:tc>
          <w:tcPr>
            <w:tcW w:w="877" w:type="dxa"/>
            <w:gridSpan w:val="2"/>
            <w:vMerge w:val="continue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工期保证体系及保证措施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4分</w:t>
            </w:r>
          </w:p>
        </w:tc>
        <w:tc>
          <w:tcPr>
            <w:tcW w:w="4075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对影响本工程进度的因素理解分析准确，考虑全面，计划安排合理，保证措施得力，得满分4分，否则根据其整体情况酌情扣减</w:t>
            </w:r>
            <w:r>
              <w:rPr>
                <w:rStyle w:val="6"/>
                <w:rFonts w:hAnsi="宋体"/>
                <w:kern w:val="0"/>
                <w:szCs w:val="21"/>
              </w:rPr>
              <w:t>0-</w:t>
            </w:r>
            <w:r>
              <w:rPr>
                <w:rStyle w:val="6"/>
                <w:rFonts w:hint="eastAsia" w:hAnsi="宋体"/>
                <w:kern w:val="0"/>
                <w:szCs w:val="21"/>
              </w:rPr>
              <w:t>1</w:t>
            </w:r>
            <w:r>
              <w:rPr>
                <w:rStyle w:val="6"/>
                <w:rFonts w:hAnsi="宋体"/>
                <w:kern w:val="0"/>
                <w:szCs w:val="21"/>
              </w:rPr>
              <w:t>.</w:t>
            </w:r>
            <w:r>
              <w:rPr>
                <w:rStyle w:val="6"/>
                <w:rFonts w:hint="eastAsia" w:hAnsi="宋体"/>
                <w:kern w:val="0"/>
                <w:szCs w:val="21"/>
              </w:rPr>
              <w:t>6分。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</w:p>
        </w:tc>
        <w:tc>
          <w:tcPr>
            <w:tcW w:w="877" w:type="dxa"/>
            <w:gridSpan w:val="2"/>
            <w:vMerge w:val="continue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工程质量管理体系及保证措施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4分</w:t>
            </w:r>
          </w:p>
        </w:tc>
        <w:tc>
          <w:tcPr>
            <w:tcW w:w="4075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针对项目实际情况，建立、健全工程质量管理体系及保证措施，保障有力，切实可行，得满分4分，否则根据其整体情况酌情扣减</w:t>
            </w:r>
            <w:r>
              <w:rPr>
                <w:rStyle w:val="6"/>
                <w:rFonts w:hAnsi="宋体"/>
                <w:kern w:val="0"/>
                <w:szCs w:val="21"/>
              </w:rPr>
              <w:t>0-</w:t>
            </w:r>
            <w:r>
              <w:rPr>
                <w:rStyle w:val="6"/>
                <w:rFonts w:hint="eastAsia" w:hAnsi="宋体"/>
                <w:kern w:val="0"/>
                <w:szCs w:val="21"/>
              </w:rPr>
              <w:t>1</w:t>
            </w:r>
            <w:r>
              <w:rPr>
                <w:rStyle w:val="6"/>
                <w:rFonts w:hAnsi="宋体"/>
                <w:kern w:val="0"/>
                <w:szCs w:val="21"/>
              </w:rPr>
              <w:t>.</w:t>
            </w:r>
            <w:r>
              <w:rPr>
                <w:rStyle w:val="6"/>
                <w:rFonts w:hint="eastAsia" w:hAnsi="宋体"/>
                <w:kern w:val="0"/>
                <w:szCs w:val="21"/>
              </w:rPr>
              <w:t>6分。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</w:p>
        </w:tc>
        <w:tc>
          <w:tcPr>
            <w:tcW w:w="877" w:type="dxa"/>
            <w:gridSpan w:val="2"/>
            <w:vMerge w:val="continue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安全生产管理体系及保证措施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4分</w:t>
            </w:r>
          </w:p>
        </w:tc>
        <w:tc>
          <w:tcPr>
            <w:tcW w:w="4075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针对项目实际情况，建立、健全安全管理体系及保证措施，保障有力，切实可行，得满分4分，否则根据其整体情况酌情扣减</w:t>
            </w:r>
            <w:r>
              <w:rPr>
                <w:rStyle w:val="6"/>
                <w:rFonts w:hAnsi="宋体"/>
                <w:kern w:val="0"/>
                <w:szCs w:val="21"/>
              </w:rPr>
              <w:t>0-</w:t>
            </w:r>
            <w:r>
              <w:rPr>
                <w:rStyle w:val="6"/>
                <w:rFonts w:hint="eastAsia" w:hAnsi="宋体"/>
                <w:kern w:val="0"/>
                <w:szCs w:val="21"/>
              </w:rPr>
              <w:t>1</w:t>
            </w:r>
            <w:r>
              <w:rPr>
                <w:rStyle w:val="6"/>
                <w:rFonts w:hAnsi="宋体"/>
                <w:kern w:val="0"/>
                <w:szCs w:val="21"/>
              </w:rPr>
              <w:t>.</w:t>
            </w:r>
            <w:r>
              <w:rPr>
                <w:rStyle w:val="6"/>
                <w:rFonts w:hint="eastAsia" w:hAnsi="宋体"/>
                <w:kern w:val="0"/>
                <w:szCs w:val="21"/>
              </w:rPr>
              <w:t>6分。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</w:p>
        </w:tc>
        <w:tc>
          <w:tcPr>
            <w:tcW w:w="877" w:type="dxa"/>
            <w:gridSpan w:val="2"/>
            <w:vMerge w:val="continue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环境保护、水土保持、文明施工、文物保护、廉政、农民工工资保证体系及保证措施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3分</w:t>
            </w:r>
          </w:p>
        </w:tc>
        <w:tc>
          <w:tcPr>
            <w:tcW w:w="4075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充分认识到相关方面的重要性，有完善及切实可行的保证体系及保证措施，得满分3分，否则根据其整体情况酌情扣减</w:t>
            </w:r>
            <w:r>
              <w:rPr>
                <w:rStyle w:val="6"/>
                <w:rFonts w:hAnsi="宋体"/>
                <w:kern w:val="0"/>
                <w:szCs w:val="21"/>
              </w:rPr>
              <w:t>0-</w:t>
            </w:r>
            <w:r>
              <w:rPr>
                <w:rStyle w:val="6"/>
                <w:rFonts w:hint="eastAsia" w:hAnsi="宋体"/>
                <w:kern w:val="0"/>
                <w:szCs w:val="21"/>
              </w:rPr>
              <w:t>1</w:t>
            </w:r>
            <w:r>
              <w:rPr>
                <w:rStyle w:val="6"/>
                <w:rFonts w:hAnsi="宋体"/>
                <w:kern w:val="0"/>
                <w:szCs w:val="21"/>
              </w:rPr>
              <w:t>.</w:t>
            </w:r>
            <w:r>
              <w:rPr>
                <w:rStyle w:val="6"/>
                <w:rFonts w:hint="eastAsia" w:hAnsi="宋体"/>
                <w:kern w:val="0"/>
                <w:szCs w:val="21"/>
              </w:rPr>
              <w:t>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</w:p>
        </w:tc>
        <w:tc>
          <w:tcPr>
            <w:tcW w:w="877" w:type="dxa"/>
            <w:gridSpan w:val="2"/>
            <w:vMerge w:val="continue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项目风险预测与防范，事故应急预案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Ansi="宋体"/>
                <w:kern w:val="0"/>
                <w:szCs w:val="21"/>
              </w:rPr>
              <w:t>2</w:t>
            </w:r>
            <w:r>
              <w:rPr>
                <w:rStyle w:val="6"/>
                <w:rFonts w:hint="eastAsia" w:hAnsi="宋体"/>
                <w:kern w:val="0"/>
                <w:szCs w:val="21"/>
              </w:rPr>
              <w:t>分</w:t>
            </w:r>
          </w:p>
        </w:tc>
        <w:tc>
          <w:tcPr>
            <w:tcW w:w="4075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对项目风险有充分预测，有相应的防范措施，事故应急预案齐全、切实可行，得满分2分，否则根据其整体情况酌情扣减</w:t>
            </w:r>
            <w:r>
              <w:rPr>
                <w:rStyle w:val="6"/>
                <w:rFonts w:hAnsi="宋体"/>
                <w:kern w:val="0"/>
                <w:szCs w:val="21"/>
              </w:rPr>
              <w:t>0-0.8</w:t>
            </w:r>
            <w:r>
              <w:rPr>
                <w:rStyle w:val="6"/>
                <w:rFonts w:hint="eastAsia" w:hAnsi="宋体"/>
                <w:kern w:val="0"/>
                <w:szCs w:val="21"/>
              </w:rPr>
              <w:t>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68" w:type="dxa"/>
            <w:vMerge w:val="restart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Ansi="宋体"/>
                <w:kern w:val="0"/>
                <w:szCs w:val="21"/>
              </w:rPr>
              <w:t>2.2.2</w:t>
            </w:r>
            <w:r>
              <w:rPr>
                <w:rStyle w:val="6"/>
                <w:rFonts w:hint="eastAsia" w:hAnsi="宋体"/>
                <w:kern w:val="0"/>
                <w:szCs w:val="21"/>
              </w:rPr>
              <w:t>（</w:t>
            </w:r>
            <w:r>
              <w:rPr>
                <w:rStyle w:val="6"/>
                <w:rFonts w:hAnsi="宋体"/>
                <w:kern w:val="0"/>
                <w:szCs w:val="21"/>
              </w:rPr>
              <w:t>2</w:t>
            </w:r>
            <w:r>
              <w:rPr>
                <w:rStyle w:val="6"/>
                <w:rFonts w:hint="eastAsia" w:hAnsi="宋体"/>
                <w:kern w:val="0"/>
                <w:szCs w:val="21"/>
              </w:rPr>
              <w:t>）</w:t>
            </w:r>
          </w:p>
        </w:tc>
        <w:tc>
          <w:tcPr>
            <w:tcW w:w="877" w:type="dxa"/>
            <w:gridSpan w:val="2"/>
            <w:vMerge w:val="restart"/>
            <w:noWrap w:val="0"/>
            <w:vAlign w:val="center"/>
          </w:tcPr>
          <w:p>
            <w:pPr>
              <w:pStyle w:val="7"/>
              <w:jc w:val="center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主要人员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30分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项目经理任职资格与业绩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15分</w:t>
            </w:r>
          </w:p>
        </w:tc>
        <w:tc>
          <w:tcPr>
            <w:tcW w:w="4075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满足基本要求，得9分；每承担1个类似工程施工项目的项目经理、项目总工或项目副经理、项目副总工任职经历加6分，满分</w:t>
            </w:r>
            <w:r>
              <w:rPr>
                <w:rStyle w:val="6"/>
                <w:rFonts w:hAnsi="宋体"/>
                <w:kern w:val="0"/>
                <w:szCs w:val="21"/>
              </w:rPr>
              <w:t>15</w:t>
            </w:r>
            <w:r>
              <w:rPr>
                <w:rStyle w:val="6"/>
                <w:rFonts w:hint="eastAsia" w:hAnsi="宋体"/>
                <w:kern w:val="0"/>
                <w:szCs w:val="21"/>
              </w:rPr>
              <w:t>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</w:p>
        </w:tc>
        <w:tc>
          <w:tcPr>
            <w:tcW w:w="877" w:type="dxa"/>
            <w:gridSpan w:val="2"/>
            <w:vMerge w:val="continue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项目总工任职资格与业绩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Ansi="宋体"/>
                <w:kern w:val="0"/>
                <w:szCs w:val="21"/>
              </w:rPr>
              <w:t>10</w:t>
            </w:r>
            <w:r>
              <w:rPr>
                <w:rStyle w:val="6"/>
                <w:rFonts w:hint="eastAsia" w:hAnsi="宋体"/>
                <w:kern w:val="0"/>
                <w:szCs w:val="21"/>
              </w:rPr>
              <w:t>分</w:t>
            </w:r>
          </w:p>
        </w:tc>
        <w:tc>
          <w:tcPr>
            <w:tcW w:w="4075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满足基本要求，得</w:t>
            </w:r>
            <w:r>
              <w:rPr>
                <w:rStyle w:val="6"/>
                <w:rFonts w:hAnsi="宋体"/>
                <w:kern w:val="0"/>
                <w:szCs w:val="21"/>
              </w:rPr>
              <w:t>6</w:t>
            </w:r>
            <w:r>
              <w:rPr>
                <w:rStyle w:val="6"/>
                <w:rFonts w:hint="eastAsia" w:hAnsi="宋体"/>
                <w:kern w:val="0"/>
                <w:szCs w:val="21"/>
              </w:rPr>
              <w:t>分；每承担1个类似工程施工项目的项目经理、项目总工或项目副经理、项目副总工任职经历加</w:t>
            </w:r>
            <w:r>
              <w:rPr>
                <w:rStyle w:val="6"/>
                <w:rFonts w:hAnsi="宋体"/>
                <w:kern w:val="0"/>
                <w:szCs w:val="21"/>
              </w:rPr>
              <w:t>4</w:t>
            </w:r>
            <w:r>
              <w:rPr>
                <w:rStyle w:val="6"/>
                <w:rFonts w:hint="eastAsia" w:hAnsi="宋体"/>
                <w:kern w:val="0"/>
                <w:szCs w:val="21"/>
              </w:rPr>
              <w:t>分，满分</w:t>
            </w:r>
            <w:r>
              <w:rPr>
                <w:rStyle w:val="6"/>
                <w:rFonts w:hAnsi="宋体"/>
                <w:kern w:val="0"/>
                <w:szCs w:val="21"/>
              </w:rPr>
              <w:t>10</w:t>
            </w:r>
            <w:r>
              <w:rPr>
                <w:rStyle w:val="6"/>
                <w:rFonts w:hint="eastAsia" w:hAnsi="宋体"/>
                <w:kern w:val="0"/>
                <w:szCs w:val="21"/>
              </w:rPr>
              <w:t>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</w:p>
        </w:tc>
        <w:tc>
          <w:tcPr>
            <w:tcW w:w="877" w:type="dxa"/>
            <w:gridSpan w:val="2"/>
            <w:vMerge w:val="continue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安全生产负责人任职资格与业绩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Ansi="宋体"/>
                <w:kern w:val="0"/>
                <w:szCs w:val="21"/>
              </w:rPr>
              <w:t>5</w:t>
            </w:r>
            <w:r>
              <w:rPr>
                <w:rStyle w:val="6"/>
                <w:rFonts w:hint="eastAsia" w:hAnsi="宋体"/>
                <w:kern w:val="0"/>
                <w:szCs w:val="21"/>
              </w:rPr>
              <w:t>分</w:t>
            </w:r>
          </w:p>
        </w:tc>
        <w:tc>
          <w:tcPr>
            <w:tcW w:w="4075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color w:val="FF0000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满足基本要求，得</w:t>
            </w:r>
            <w:r>
              <w:rPr>
                <w:rStyle w:val="6"/>
                <w:rFonts w:hAnsi="宋体"/>
                <w:kern w:val="0"/>
                <w:szCs w:val="21"/>
              </w:rPr>
              <w:t>3</w:t>
            </w:r>
            <w:r>
              <w:rPr>
                <w:rStyle w:val="6"/>
                <w:rFonts w:hint="eastAsia" w:hAnsi="宋体"/>
                <w:kern w:val="0"/>
                <w:szCs w:val="21"/>
              </w:rPr>
              <w:t>分；，每承担1个类似工程施工项目的安全生产负责人、安全工程师或专职安全员任职经历加</w:t>
            </w:r>
            <w:r>
              <w:rPr>
                <w:rStyle w:val="6"/>
                <w:rFonts w:hAnsi="宋体"/>
                <w:kern w:val="0"/>
                <w:szCs w:val="21"/>
              </w:rPr>
              <w:t>2</w:t>
            </w:r>
            <w:r>
              <w:rPr>
                <w:rStyle w:val="6"/>
                <w:rFonts w:hint="eastAsia" w:hAnsi="宋体"/>
                <w:kern w:val="0"/>
                <w:szCs w:val="21"/>
              </w:rPr>
              <w:t>分，满分</w:t>
            </w:r>
            <w:r>
              <w:rPr>
                <w:rStyle w:val="6"/>
                <w:rFonts w:hAnsi="宋体"/>
                <w:kern w:val="0"/>
                <w:szCs w:val="21"/>
              </w:rPr>
              <w:t>5</w:t>
            </w:r>
            <w:r>
              <w:rPr>
                <w:rStyle w:val="6"/>
                <w:rFonts w:hint="eastAsia" w:hAnsi="宋体"/>
                <w:kern w:val="0"/>
                <w:szCs w:val="21"/>
              </w:rPr>
              <w:t>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68" w:type="dxa"/>
            <w:vMerge w:val="restart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Ansi="宋体"/>
                <w:kern w:val="0"/>
                <w:szCs w:val="21"/>
              </w:rPr>
              <w:t>2.2.</w:t>
            </w:r>
            <w:r>
              <w:rPr>
                <w:rStyle w:val="6"/>
                <w:rFonts w:hint="eastAsia" w:hAnsi="宋体"/>
                <w:kern w:val="0"/>
                <w:szCs w:val="21"/>
              </w:rPr>
              <w:t>2（3）</w:t>
            </w:r>
          </w:p>
        </w:tc>
        <w:tc>
          <w:tcPr>
            <w:tcW w:w="451" w:type="dxa"/>
            <w:vMerge w:val="restart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其他因素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业</w:t>
            </w:r>
            <w:r>
              <w:rPr>
                <w:rStyle w:val="6"/>
                <w:rFonts w:hAnsi="宋体"/>
                <w:kern w:val="0"/>
                <w:szCs w:val="21"/>
              </w:rPr>
              <w:t xml:space="preserve">  </w:t>
            </w:r>
            <w:r>
              <w:rPr>
                <w:rStyle w:val="6"/>
                <w:rFonts w:hint="eastAsia" w:hAnsi="宋体"/>
                <w:kern w:val="0"/>
                <w:szCs w:val="21"/>
              </w:rPr>
              <w:t>绩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Ansi="宋体"/>
                <w:kern w:val="0"/>
                <w:szCs w:val="21"/>
              </w:rPr>
              <w:t>25</w:t>
            </w:r>
            <w:r>
              <w:rPr>
                <w:rStyle w:val="6"/>
                <w:rFonts w:hint="eastAsia" w:hAnsi="宋体"/>
                <w:kern w:val="0"/>
                <w:szCs w:val="21"/>
              </w:rPr>
              <w:t>分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业</w:t>
            </w:r>
            <w:r>
              <w:rPr>
                <w:rStyle w:val="6"/>
                <w:rFonts w:hAnsi="宋体"/>
                <w:kern w:val="0"/>
                <w:szCs w:val="21"/>
              </w:rPr>
              <w:t xml:space="preserve">  </w:t>
            </w:r>
            <w:r>
              <w:rPr>
                <w:rStyle w:val="6"/>
                <w:rFonts w:hint="eastAsia" w:hAnsi="宋体"/>
                <w:kern w:val="0"/>
                <w:szCs w:val="21"/>
              </w:rPr>
              <w:t>绩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Ansi="宋体"/>
                <w:kern w:val="0"/>
                <w:szCs w:val="21"/>
              </w:rPr>
              <w:t>25</w:t>
            </w:r>
            <w:r>
              <w:rPr>
                <w:rStyle w:val="6"/>
                <w:rFonts w:hint="eastAsia" w:hAnsi="宋体"/>
                <w:kern w:val="0"/>
                <w:szCs w:val="21"/>
              </w:rPr>
              <w:t>分</w:t>
            </w:r>
          </w:p>
        </w:tc>
        <w:tc>
          <w:tcPr>
            <w:tcW w:w="4075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满足基本条件得</w:t>
            </w:r>
            <w:r>
              <w:rPr>
                <w:rStyle w:val="6"/>
                <w:rFonts w:hAnsi="宋体"/>
                <w:kern w:val="0"/>
                <w:szCs w:val="21"/>
              </w:rPr>
              <w:t>15</w:t>
            </w:r>
            <w:r>
              <w:rPr>
                <w:rStyle w:val="6"/>
                <w:rFonts w:hint="eastAsia" w:hAnsi="宋体"/>
                <w:kern w:val="0"/>
                <w:szCs w:val="21"/>
              </w:rPr>
              <w:t>分；每增加一项类似项目业绩加5分，满分</w:t>
            </w:r>
            <w:r>
              <w:rPr>
                <w:rStyle w:val="6"/>
                <w:rFonts w:hAnsi="宋体"/>
                <w:kern w:val="0"/>
                <w:szCs w:val="21"/>
              </w:rPr>
              <w:t>25</w:t>
            </w:r>
            <w:r>
              <w:rPr>
                <w:rStyle w:val="6"/>
                <w:rFonts w:hint="eastAsia" w:hAnsi="宋体"/>
                <w:kern w:val="0"/>
                <w:szCs w:val="21"/>
              </w:rPr>
              <w:t>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</w:p>
        </w:tc>
        <w:tc>
          <w:tcPr>
            <w:tcW w:w="451" w:type="dxa"/>
            <w:vMerge w:val="continue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履约信誉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Ansi="宋体"/>
                <w:kern w:val="0"/>
                <w:szCs w:val="21"/>
              </w:rPr>
              <w:t>5</w:t>
            </w:r>
            <w:r>
              <w:rPr>
                <w:rStyle w:val="6"/>
                <w:rFonts w:hint="eastAsia" w:hAnsi="宋体"/>
                <w:kern w:val="0"/>
                <w:szCs w:val="21"/>
              </w:rPr>
              <w:t>分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int="eastAsia" w:hAnsi="宋体"/>
                <w:kern w:val="0"/>
                <w:szCs w:val="21"/>
              </w:rPr>
              <w:t>履约信誉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pStyle w:val="7"/>
              <w:rPr>
                <w:rStyle w:val="6"/>
                <w:rFonts w:hAnsi="宋体"/>
                <w:kern w:val="0"/>
                <w:szCs w:val="21"/>
              </w:rPr>
            </w:pPr>
            <w:r>
              <w:rPr>
                <w:rStyle w:val="6"/>
                <w:rFonts w:hAnsi="宋体"/>
                <w:kern w:val="0"/>
                <w:szCs w:val="21"/>
              </w:rPr>
              <w:t>5</w:t>
            </w:r>
            <w:r>
              <w:rPr>
                <w:rStyle w:val="6"/>
                <w:rFonts w:hint="eastAsia" w:hAnsi="宋体"/>
                <w:kern w:val="0"/>
                <w:szCs w:val="21"/>
              </w:rPr>
              <w:t>分</w:t>
            </w:r>
          </w:p>
        </w:tc>
        <w:tc>
          <w:tcPr>
            <w:tcW w:w="4075" w:type="dxa"/>
            <w:noWrap w:val="0"/>
            <w:vAlign w:val="center"/>
          </w:tcPr>
          <w:p>
            <w:pPr>
              <w:rPr>
                <w:rStyle w:val="6"/>
                <w:rFonts w:hint="eastAsia" w:hAnsi="宋体" w:cs="宋体"/>
                <w:sz w:val="21"/>
                <w:szCs w:val="21"/>
              </w:rPr>
            </w:pPr>
            <w:r>
              <w:rPr>
                <w:rStyle w:val="6"/>
                <w:rFonts w:hint="eastAsia" w:hAnsi="宋体" w:cs="宋体"/>
                <w:sz w:val="21"/>
                <w:szCs w:val="21"/>
              </w:rPr>
              <w:t>满足基本要求得5分。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9657" w:type="dxa"/>
            <w:gridSpan w:val="7"/>
            <w:noWrap w:val="0"/>
            <w:vAlign w:val="top"/>
          </w:tcPr>
          <w:p>
            <w:pPr>
              <w:ind w:right="113" w:firstLine="240" w:firstLineChars="100"/>
              <w:rPr>
                <w:rStyle w:val="6"/>
                <w:rFonts w:hAnsi="宋体"/>
                <w:szCs w:val="21"/>
              </w:rPr>
            </w:pPr>
            <w:r>
              <w:rPr>
                <w:rStyle w:val="6"/>
                <w:rFonts w:hint="eastAsia" w:hAnsi="宋体"/>
                <w:szCs w:val="24"/>
              </w:rPr>
              <w:t>需要补充的其他内容：</w:t>
            </w:r>
          </w:p>
        </w:tc>
      </w:tr>
    </w:tbl>
    <w:p>
      <w:pPr>
        <w:pStyle w:val="7"/>
        <w:ind w:firstLine="240" w:firstLineChars="100"/>
        <w:jc w:val="center"/>
        <w:rPr>
          <w:rStyle w:val="6"/>
          <w:sz w:val="24"/>
          <w:szCs w:val="24"/>
        </w:rPr>
      </w:pPr>
    </w:p>
    <w:p>
      <w:pPr>
        <w:pStyle w:val="7"/>
        <w:ind w:firstLine="240" w:firstLineChars="100"/>
        <w:jc w:val="center"/>
        <w:rPr>
          <w:rStyle w:val="6"/>
          <w:sz w:val="24"/>
          <w:szCs w:val="24"/>
        </w:rPr>
      </w:pPr>
    </w:p>
    <w:p>
      <w:pPr>
        <w:pStyle w:val="7"/>
        <w:ind w:firstLine="240" w:firstLineChars="100"/>
        <w:jc w:val="center"/>
        <w:rPr>
          <w:rStyle w:val="6"/>
          <w:sz w:val="24"/>
          <w:szCs w:val="24"/>
        </w:rPr>
      </w:pPr>
    </w:p>
    <w:p>
      <w:pPr>
        <w:pStyle w:val="7"/>
        <w:ind w:firstLine="240" w:firstLineChars="100"/>
        <w:jc w:val="center"/>
        <w:rPr>
          <w:rStyle w:val="6"/>
          <w:sz w:val="24"/>
          <w:szCs w:val="24"/>
        </w:rPr>
      </w:pPr>
    </w:p>
    <w:p>
      <w:pPr>
        <w:pStyle w:val="7"/>
        <w:ind w:firstLine="240" w:firstLineChars="100"/>
        <w:jc w:val="center"/>
        <w:rPr>
          <w:rStyle w:val="6"/>
          <w:sz w:val="24"/>
          <w:szCs w:val="24"/>
        </w:rPr>
      </w:pPr>
    </w:p>
    <w:p>
      <w:pPr>
        <w:pStyle w:val="7"/>
        <w:ind w:firstLine="240" w:firstLineChars="100"/>
        <w:jc w:val="center"/>
        <w:rPr>
          <w:rStyle w:val="6"/>
          <w:sz w:val="24"/>
          <w:szCs w:val="24"/>
        </w:rPr>
      </w:pPr>
    </w:p>
    <w:p>
      <w:pPr>
        <w:pStyle w:val="7"/>
        <w:ind w:firstLine="240" w:firstLineChars="100"/>
        <w:jc w:val="center"/>
        <w:rPr>
          <w:rStyle w:val="6"/>
          <w:sz w:val="24"/>
          <w:szCs w:val="24"/>
        </w:rPr>
      </w:pPr>
    </w:p>
    <w:p>
      <w:pPr>
        <w:pStyle w:val="7"/>
        <w:ind w:firstLine="240" w:firstLineChars="100"/>
        <w:jc w:val="center"/>
        <w:rPr>
          <w:rStyle w:val="6"/>
          <w:sz w:val="24"/>
          <w:szCs w:val="24"/>
        </w:rPr>
      </w:pPr>
    </w:p>
    <w:p>
      <w:pPr>
        <w:pStyle w:val="7"/>
        <w:ind w:firstLine="240" w:firstLineChars="100"/>
        <w:jc w:val="center"/>
        <w:rPr>
          <w:rStyle w:val="6"/>
          <w:sz w:val="24"/>
          <w:szCs w:val="24"/>
        </w:rPr>
      </w:pPr>
    </w:p>
    <w:p>
      <w:pPr>
        <w:pStyle w:val="7"/>
        <w:ind w:firstLine="240" w:firstLineChars="100"/>
        <w:jc w:val="center"/>
        <w:rPr>
          <w:rStyle w:val="6"/>
          <w:sz w:val="24"/>
          <w:szCs w:val="24"/>
        </w:rPr>
      </w:pPr>
    </w:p>
    <w:p>
      <w:pPr>
        <w:pStyle w:val="7"/>
        <w:ind w:firstLine="240" w:firstLineChars="100"/>
        <w:jc w:val="center"/>
        <w:rPr>
          <w:rStyle w:val="6"/>
          <w:sz w:val="24"/>
          <w:szCs w:val="24"/>
        </w:rPr>
      </w:pPr>
    </w:p>
    <w:p>
      <w:pPr>
        <w:pStyle w:val="7"/>
        <w:ind w:firstLine="240" w:firstLineChars="100"/>
        <w:jc w:val="center"/>
        <w:rPr>
          <w:rStyle w:val="6"/>
          <w:sz w:val="24"/>
          <w:szCs w:val="24"/>
        </w:rPr>
      </w:pPr>
    </w:p>
    <w:p>
      <w:pPr>
        <w:pStyle w:val="7"/>
        <w:ind w:firstLine="240" w:firstLineChars="100"/>
        <w:jc w:val="center"/>
        <w:rPr>
          <w:rStyle w:val="6"/>
          <w:sz w:val="24"/>
          <w:szCs w:val="24"/>
        </w:rPr>
      </w:pPr>
    </w:p>
    <w:p>
      <w:pPr>
        <w:pStyle w:val="7"/>
        <w:ind w:firstLine="240" w:firstLineChars="100"/>
        <w:jc w:val="center"/>
        <w:rPr>
          <w:rStyle w:val="6"/>
          <w:sz w:val="24"/>
          <w:szCs w:val="24"/>
        </w:rPr>
      </w:pPr>
    </w:p>
    <w:p>
      <w:pPr>
        <w:pStyle w:val="7"/>
        <w:ind w:firstLine="240" w:firstLineChars="100"/>
        <w:jc w:val="center"/>
        <w:rPr>
          <w:rStyle w:val="6"/>
          <w:sz w:val="24"/>
          <w:szCs w:val="24"/>
        </w:rPr>
      </w:pPr>
    </w:p>
    <w:p>
      <w:pPr>
        <w:pStyle w:val="7"/>
        <w:ind w:firstLine="240" w:firstLineChars="100"/>
        <w:jc w:val="center"/>
        <w:rPr>
          <w:rStyle w:val="6"/>
          <w:sz w:val="24"/>
          <w:szCs w:val="24"/>
        </w:rPr>
      </w:pPr>
    </w:p>
    <w:p>
      <w:pPr>
        <w:pStyle w:val="7"/>
        <w:ind w:firstLine="240" w:firstLineChars="100"/>
        <w:jc w:val="center"/>
        <w:rPr>
          <w:rStyle w:val="6"/>
          <w:sz w:val="24"/>
          <w:szCs w:val="24"/>
        </w:rPr>
      </w:pPr>
    </w:p>
    <w:p>
      <w:pPr>
        <w:pStyle w:val="7"/>
        <w:ind w:firstLine="240" w:firstLineChars="100"/>
        <w:jc w:val="center"/>
        <w:rPr>
          <w:rStyle w:val="6"/>
          <w:sz w:val="24"/>
          <w:szCs w:val="24"/>
        </w:rPr>
      </w:pPr>
    </w:p>
    <w:p>
      <w:pPr>
        <w:pStyle w:val="7"/>
        <w:ind w:firstLine="240" w:firstLineChars="100"/>
        <w:jc w:val="center"/>
        <w:rPr>
          <w:rStyle w:val="6"/>
          <w:sz w:val="24"/>
          <w:szCs w:val="24"/>
        </w:rPr>
      </w:pPr>
    </w:p>
    <w:p>
      <w:pPr>
        <w:pStyle w:val="7"/>
        <w:ind w:firstLine="240" w:firstLineChars="100"/>
        <w:jc w:val="center"/>
        <w:rPr>
          <w:rStyle w:val="6"/>
          <w:sz w:val="24"/>
          <w:szCs w:val="24"/>
        </w:rPr>
      </w:pPr>
    </w:p>
    <w:p>
      <w:pPr>
        <w:pStyle w:val="7"/>
        <w:ind w:firstLine="240" w:firstLineChars="100"/>
        <w:jc w:val="center"/>
        <w:rPr>
          <w:rStyle w:val="6"/>
          <w:sz w:val="24"/>
          <w:szCs w:val="24"/>
        </w:rPr>
      </w:pPr>
    </w:p>
    <w:p>
      <w:pPr>
        <w:pStyle w:val="7"/>
        <w:ind w:firstLine="240" w:firstLineChars="100"/>
        <w:jc w:val="center"/>
        <w:rPr>
          <w:rStyle w:val="6"/>
          <w:sz w:val="24"/>
          <w:szCs w:val="24"/>
        </w:rPr>
      </w:pPr>
    </w:p>
    <w:p>
      <w:pPr>
        <w:pStyle w:val="7"/>
        <w:ind w:firstLine="240" w:firstLineChars="100"/>
        <w:jc w:val="center"/>
        <w:rPr>
          <w:rStyle w:val="6"/>
          <w:sz w:val="24"/>
          <w:szCs w:val="24"/>
        </w:rPr>
      </w:pPr>
    </w:p>
    <w:p>
      <w:pPr>
        <w:pStyle w:val="7"/>
        <w:ind w:firstLine="240" w:firstLineChars="100"/>
        <w:jc w:val="center"/>
        <w:rPr>
          <w:rStyle w:val="6"/>
          <w:sz w:val="24"/>
          <w:szCs w:val="24"/>
        </w:rPr>
      </w:pPr>
    </w:p>
    <w:p>
      <w:pPr>
        <w:pStyle w:val="7"/>
        <w:ind w:firstLine="240" w:firstLineChars="100"/>
        <w:jc w:val="center"/>
        <w:rPr>
          <w:rStyle w:val="6"/>
          <w:sz w:val="24"/>
          <w:szCs w:val="24"/>
        </w:rPr>
      </w:pPr>
    </w:p>
    <w:p>
      <w:pPr>
        <w:pStyle w:val="7"/>
        <w:ind w:firstLine="240" w:firstLineChars="100"/>
        <w:jc w:val="center"/>
        <w:rPr>
          <w:rStyle w:val="6"/>
          <w:sz w:val="24"/>
          <w:szCs w:val="24"/>
        </w:rPr>
      </w:pPr>
    </w:p>
    <w:p>
      <w:pPr>
        <w:pStyle w:val="7"/>
        <w:ind w:firstLine="240" w:firstLineChars="100"/>
        <w:jc w:val="center"/>
        <w:rPr>
          <w:rStyle w:val="6"/>
          <w:sz w:val="24"/>
          <w:szCs w:val="24"/>
        </w:rPr>
      </w:pPr>
    </w:p>
    <w:p>
      <w:pPr>
        <w:pStyle w:val="7"/>
        <w:ind w:firstLine="240" w:firstLineChars="100"/>
        <w:jc w:val="center"/>
        <w:rPr>
          <w:rStyle w:val="6"/>
          <w:sz w:val="24"/>
          <w:szCs w:val="24"/>
        </w:rPr>
      </w:pPr>
    </w:p>
    <w:p>
      <w:pPr>
        <w:pStyle w:val="7"/>
        <w:ind w:firstLine="240" w:firstLineChars="100"/>
        <w:jc w:val="center"/>
        <w:rPr>
          <w:rStyle w:val="6"/>
          <w:sz w:val="24"/>
          <w:szCs w:val="24"/>
        </w:rPr>
      </w:pPr>
    </w:p>
    <w:p>
      <w:pPr>
        <w:pStyle w:val="7"/>
        <w:ind w:firstLine="240" w:firstLineChars="100"/>
        <w:jc w:val="center"/>
        <w:rPr>
          <w:rStyle w:val="6"/>
          <w:rFonts w:hAnsi="宋体"/>
          <w:color w:val="000000"/>
          <w:sz w:val="24"/>
          <w:szCs w:val="24"/>
        </w:rPr>
      </w:pPr>
      <w:r>
        <w:rPr>
          <w:rStyle w:val="6"/>
          <w:rFonts w:hint="eastAsia"/>
          <w:sz w:val="24"/>
          <w:szCs w:val="24"/>
        </w:rPr>
        <w:t>评标办法正文内容见交通运输部《公路工程标准施工招标文件》</w:t>
      </w:r>
      <w:r>
        <w:rPr>
          <w:rStyle w:val="6"/>
          <w:sz w:val="24"/>
          <w:szCs w:val="24"/>
        </w:rPr>
        <w:t>(2018</w:t>
      </w:r>
      <w:r>
        <w:rPr>
          <w:rStyle w:val="6"/>
          <w:rFonts w:hint="eastAsia"/>
          <w:sz w:val="24"/>
          <w:szCs w:val="24"/>
        </w:rPr>
        <w:t>年版</w:t>
      </w:r>
      <w:r>
        <w:rPr>
          <w:rStyle w:val="6"/>
          <w:sz w:val="24"/>
          <w:szCs w:val="24"/>
        </w:rPr>
        <w:t>)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xNjU5Nzc1ZWIzMWMzNzk1ZWYzYmUxNTgzZDU1YTMifQ=="/>
  </w:docVars>
  <w:rsids>
    <w:rsidRoot w:val="75C771D0"/>
    <w:rsid w:val="008F3CBE"/>
    <w:rsid w:val="0425194B"/>
    <w:rsid w:val="08005B85"/>
    <w:rsid w:val="0A136126"/>
    <w:rsid w:val="0AE904F2"/>
    <w:rsid w:val="105E3AF6"/>
    <w:rsid w:val="16F07A0C"/>
    <w:rsid w:val="1D734F1C"/>
    <w:rsid w:val="1F1773D4"/>
    <w:rsid w:val="209510D7"/>
    <w:rsid w:val="220F74E8"/>
    <w:rsid w:val="2BAE36F2"/>
    <w:rsid w:val="302E7D22"/>
    <w:rsid w:val="328B57D4"/>
    <w:rsid w:val="343F0883"/>
    <w:rsid w:val="34F5768D"/>
    <w:rsid w:val="39AF0190"/>
    <w:rsid w:val="39FA2032"/>
    <w:rsid w:val="3A853D1E"/>
    <w:rsid w:val="3D653DC7"/>
    <w:rsid w:val="41AC539E"/>
    <w:rsid w:val="4B4E2A4F"/>
    <w:rsid w:val="4BDC50FF"/>
    <w:rsid w:val="4D9E5313"/>
    <w:rsid w:val="4E4D0672"/>
    <w:rsid w:val="507A4C72"/>
    <w:rsid w:val="51BE5507"/>
    <w:rsid w:val="5A9C2FF0"/>
    <w:rsid w:val="5D601113"/>
    <w:rsid w:val="5D8177BD"/>
    <w:rsid w:val="5E424003"/>
    <w:rsid w:val="639E53F9"/>
    <w:rsid w:val="668B3E7B"/>
    <w:rsid w:val="6AA415B6"/>
    <w:rsid w:val="6B9D3DF2"/>
    <w:rsid w:val="6C1638EF"/>
    <w:rsid w:val="6CFE2DB8"/>
    <w:rsid w:val="7221546F"/>
    <w:rsid w:val="75C771D0"/>
    <w:rsid w:val="7676545D"/>
    <w:rsid w:val="76DE09CF"/>
    <w:rsid w:val="7B5D6FBC"/>
    <w:rsid w:val="7E8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2"/>
    <w:basedOn w:val="1"/>
    <w:next w:val="5"/>
    <w:uiPriority w:val="0"/>
    <w:pPr>
      <w:keepNext/>
      <w:keepLines/>
      <w:spacing w:before="260" w:after="260" w:line="480" w:lineRule="exact"/>
      <w:jc w:val="left"/>
    </w:pPr>
    <w:rPr>
      <w:rFonts w:hAnsi="宋体" w:eastAsia="黑体"/>
      <w:bCs/>
      <w:iCs/>
      <w:kern w:val="2"/>
    </w:rPr>
  </w:style>
  <w:style w:type="paragraph" w:customStyle="1" w:styleId="5">
    <w:name w:val="NormalIndent"/>
    <w:basedOn w:val="1"/>
    <w:uiPriority w:val="0"/>
    <w:pPr>
      <w:ind w:firstLine="420" w:firstLineChars="200"/>
    </w:pPr>
    <w:rPr>
      <w:rFonts w:ascii="Times New Roman"/>
      <w:kern w:val="2"/>
      <w:sz w:val="21"/>
      <w:szCs w:val="24"/>
    </w:rPr>
  </w:style>
  <w:style w:type="character" w:customStyle="1" w:styleId="6">
    <w:name w:val="NormalCharacter"/>
    <w:autoRedefine/>
    <w:qFormat/>
    <w:uiPriority w:val="0"/>
  </w:style>
  <w:style w:type="paragraph" w:customStyle="1" w:styleId="7">
    <w:name w:val="PlainText"/>
    <w:basedOn w:val="1"/>
    <w:uiPriority w:val="0"/>
    <w:rPr>
      <w:rFonts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2024-04-28T07:25:00Z</dcterms:created>
  <dc:creator>1</dc:creator>
  <cp:lastModifiedBy>1</cp:lastModifiedBy>
  <dcterms:modified xsi:type="dcterms:W3CDTF">2024-04-28T07:25:36Z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5C919C0749EE46BABFB92088A4AF1BD9_11</vt:lpwstr>
  </property>
</Properties>
</file>