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</w:pPr>
      <w:bookmarkStart w:id="0" w:name="_Toc2474"/>
      <w:r>
        <w:rPr>
          <w:rStyle w:val="6"/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  <w:t>第三章</w:t>
      </w:r>
      <w:r>
        <w:rPr>
          <w:rStyle w:val="6"/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6"/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  <w:t>评标办法（综合评估法)</w:t>
      </w:r>
      <w:bookmarkEnd w:id="0"/>
    </w:p>
    <w:p>
      <w:pPr>
        <w:snapToGrid w:val="0"/>
        <w:ind w:left="120" w:right="-20"/>
        <w:jc w:val="left"/>
        <w:rPr>
          <w:rStyle w:val="6"/>
          <w:rFonts w:ascii="宋体" w:hAnsi="宋体"/>
          <w:color w:val="auto"/>
          <w:spacing w:val="2"/>
          <w:kern w:val="0"/>
          <w:sz w:val="28"/>
          <w:szCs w:val="28"/>
          <w:highlight w:val="none"/>
        </w:rPr>
      </w:pPr>
      <w:r>
        <w:rPr>
          <w:rStyle w:val="6"/>
          <w:rFonts w:ascii="宋体" w:hAnsi="宋体"/>
          <w:color w:val="auto"/>
          <w:spacing w:val="2"/>
          <w:kern w:val="0"/>
          <w:sz w:val="28"/>
          <w:szCs w:val="28"/>
          <w:highlight w:val="none"/>
        </w:rPr>
        <w:t>评标办法前附表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24"/>
        <w:gridCol w:w="6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条款号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评审因素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与评审标准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pacing w:val="-2"/>
                <w:kern w:val="0"/>
                <w:sz w:val="24"/>
                <w:szCs w:val="24"/>
                <w:highlight w:val="none"/>
              </w:rPr>
              <w:t>评标方法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综合评分相等时，评标委员会依次按照以下优先顺序推荐中标候选人或确定中标人：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（1）评标价低的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优先；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被省级及以上</w:t>
            </w:r>
            <w:r>
              <w:rPr>
                <w:rStyle w:val="6"/>
                <w:rFonts w:hint="eastAsia" w:hAnsi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交通运输主管部门评为较高信用等级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的投标人优先；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（3）技术得分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较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高的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优先；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（4）技术得分相同的，商务得分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较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高的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2.1.1</w:t>
            </w:r>
          </w:p>
          <w:p>
            <w:pPr>
              <w:snapToGrid w:val="0"/>
              <w:spacing w:line="36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2.1.3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0"/>
                <w:sz w:val="24"/>
                <w:szCs w:val="24"/>
                <w:highlight w:val="none"/>
              </w:rPr>
              <w:t>形式评审与响应性评审标准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ind w:firstLine="482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  <w:t>第一个信封（商务及技术文件）评审标准：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（1）投标文件按照招标文件规定的格式、内容和要求编制，字迹清晰可辨：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a.投标函按招标文件规定填报了项目名称、标段号、补遗书编号（如有)、监理服务期限、工程质量要求、安全目标及环保目标；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b.投标文件组成齐全完整，内容均按规定填写。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（2）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投标文件上法定代表人或其委托代理人的签字、投标人的单位章盖章齐全，符合招标文件规定。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（3）投标人法定代表人授权委托代理人签署投标文件的，须提交授权委托书，且授权人和被授权人均在授权委托书上签名，未使用印章、签名章或其他电子制版签名代替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（电子投标文件可使用电子制版签名）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（4）投标人法定代表人亲自签署投标文件的，提供了法定代表人身份证明，且法定代表人在法定代表人身份证明上签名，未使用印章、签名章或其他电子制版签名代替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（电子投标文件可使用电子制版签名）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（5）未以联合体形式投标。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（6）同一投标人未提交两个以上不同的投标文件。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（7）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投标文件中未出现有关投标报价的内容。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（8）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投标文件载明的招标项目完成期限未超过招标文件规定的时限。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（9）投标文件对招标文件的实质性要求和条件作出响应。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（10）权利义务符合招标文件规定：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a.投标人应接受招标文件规定的风险划分原则，未提出新的风险划分办法；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b.投标人未增加委托人的责任范围，或减少投标人义务；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en-US"/>
              </w:rPr>
              <w:t>c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.投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标人未提出不同的支付办法；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d.投标人对合同纠纷、事故处理办法未提出异议；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e.投标人在投标活动中无欺诈行为；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f.投标人未对合同条款有重要保留。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5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6"/>
                <w:rFonts w:hint="eastAsia" w:ascii="宋体" w:hAnsi="宋体" w:eastAsia="宋体" w:cs="宋体"/>
                <w:color w:val="auto"/>
                <w:spacing w:val="-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ind w:firstLine="482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en-US"/>
              </w:rPr>
              <w:t>第二个信封（报价文件）评审标准：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（1）投标文件按照招标文件规定的格式、内容填写，字迹清晰可辨，内容齐全完整：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a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投标函按招标文件规定填报了项目名称、标段号、补遗书编号（如有)、投标价（包括大写金额和小写金额)；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b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己标价报价清单说明文字与招标文件规定一致，未进行实质性修改和删减；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en-US"/>
              </w:rPr>
              <w:t>c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zh-CN"/>
              </w:rPr>
              <w:t>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投标文件组成齐全完整，内容均按规定填写。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(2)投标文件上法定代表人或其委托代理人的签字、投标人的单位章盖章齐全，符合招标文件规定。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(3)投标报价未超过招标文件设定的最高投标限价（如有)。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(4)投标报价的大写金额能够确定具体数值。</w:t>
            </w:r>
          </w:p>
          <w:p>
            <w:pPr>
              <w:snapToGrid w:val="0"/>
              <w:spacing w:line="34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(5)同一投标人未提交两个以上不同的投标报价，但招标文件要求提交备选投标的除外。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2.1.2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0"/>
                <w:sz w:val="24"/>
                <w:szCs w:val="24"/>
                <w:highlight w:val="none"/>
              </w:rPr>
              <w:t>资格评审标准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（1）具备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有效的营业执照、监理资质证书。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（2）投标人的资质</w:t>
            </w:r>
            <w:r>
              <w:rPr>
                <w:rStyle w:val="6"/>
                <w:rFonts w:hint="eastAsia" w:ascii="宋体" w:hAnsi="宋体" w:eastAsia="宋体" w:cs="宋体"/>
                <w:color w:val="auto"/>
                <w:spacing w:val="-2"/>
                <w:kern w:val="0"/>
                <w:sz w:val="24"/>
                <w:szCs w:val="24"/>
                <w:highlight w:val="none"/>
              </w:rPr>
              <w:t>等级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招标文件规定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（3）投标人的类似项目业绩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符合招标文件规定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（4）投标人的信誉</w:t>
            </w:r>
            <w:r>
              <w:rPr>
                <w:rStyle w:val="6"/>
                <w:rFonts w:hint="eastAsia" w:ascii="宋体" w:hAnsi="宋体" w:eastAsia="宋体" w:cs="宋体"/>
                <w:color w:val="auto"/>
                <w:spacing w:val="-2"/>
                <w:kern w:val="0"/>
                <w:sz w:val="24"/>
                <w:szCs w:val="24"/>
                <w:highlight w:val="none"/>
              </w:rPr>
              <w:t>符合招标文件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360" w:lineRule="exact"/>
              <w:ind w:firstLine="472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pacing w:val="-2"/>
                <w:kern w:val="0"/>
                <w:sz w:val="24"/>
                <w:szCs w:val="24"/>
                <w:highlight w:val="none"/>
              </w:rPr>
              <w:t>（5）投标人的总监理工程师及安全环保监理工程师资格、在岗情况等符合招标文件规定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（6）投标人的财务情况符合招标文件规定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（7）投标人的办公、生活及交通设施及试验、检测设备符合招标文件规定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7"/>
              <w:tabs>
                <w:tab w:val="left" w:pos="1075"/>
              </w:tabs>
              <w:snapToGrid w:val="0"/>
              <w:spacing w:before="0" w:line="360" w:lineRule="exact"/>
              <w:ind w:firstLine="480" w:firstLineChars="200"/>
              <w:jc w:val="left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（8）投标人不存在第二章“投标人须知”第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1.4.3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项或第</w:t>
            </w:r>
            <w:r>
              <w:rPr>
                <w:rStyle w:val="9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1.4.4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项规定的任何一种情形。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（9）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投标人符合第二章“投标人须知”第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en-US"/>
              </w:rPr>
              <w:t>1.4.5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项规定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（10）其他要求满足招标文件的规定。</w:t>
            </w:r>
          </w:p>
        </w:tc>
      </w:tr>
    </w:tbl>
    <w:p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i/>
          <w:caps/>
          <w:color w:val="auto"/>
          <w:sz w:val="24"/>
          <w:szCs w:val="24"/>
          <w:highlight w:val="none"/>
        </w:rPr>
        <w:br w:type="textWrapping"/>
      </w:r>
    </w:p>
    <w:p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pStyle w:val="2"/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4"/>
        <w:tblW w:w="877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294"/>
        <w:gridCol w:w="6603"/>
      </w:tblGrid>
      <w:tr>
        <w:trPr>
          <w:trHeight w:val="585" w:hRule="exac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spacing w:before="0" w:line="280" w:lineRule="exact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bidi="zh-CN"/>
              </w:rPr>
              <w:t>条款号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spacing w:before="0" w:line="280" w:lineRule="exact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bidi="zh-CN"/>
              </w:rPr>
              <w:t>条款内容</w:t>
            </w: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spacing w:before="0" w:line="280" w:lineRule="exact"/>
              <w:ind w:right="2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bidi="zh-CN"/>
              </w:rPr>
              <w:t>编列内容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exac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spacing w:before="0" w:line="4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2.2.1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spacing w:before="0" w:line="4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分值构成(总分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zh-CN" w:bidi="zh-CN"/>
              </w:rPr>
              <w:t>100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spacing w:before="0" w:line="400" w:lineRule="exact"/>
              <w:ind w:firstLine="482" w:firstLineChars="20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  <w:t>第一个信封（商务及技术文件）评分分值构成：</w:t>
            </w:r>
          </w:p>
          <w:p>
            <w:pPr>
              <w:pStyle w:val="7"/>
              <w:tabs>
                <w:tab w:val="left" w:pos="2371"/>
              </w:tabs>
              <w:snapToGrid w:val="0"/>
              <w:spacing w:before="0" w:line="400" w:lineRule="exact"/>
              <w:ind w:firstLine="54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技术建议书：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35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</w:t>
            </w:r>
          </w:p>
          <w:p>
            <w:pPr>
              <w:pStyle w:val="7"/>
              <w:tabs>
                <w:tab w:val="left" w:pos="2143"/>
              </w:tabs>
              <w:snapToGrid w:val="0"/>
              <w:spacing w:before="0" w:line="400" w:lineRule="exact"/>
              <w:ind w:firstLine="54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主要人员：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30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</w:t>
            </w:r>
          </w:p>
          <w:p>
            <w:pPr>
              <w:pStyle w:val="7"/>
              <w:tabs>
                <w:tab w:val="left" w:pos="2141"/>
              </w:tabs>
              <w:snapToGrid w:val="0"/>
              <w:spacing w:before="0" w:line="400" w:lineRule="exact"/>
              <w:ind w:firstLine="539"/>
              <w:jc w:val="both"/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业绩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20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</w:t>
            </w:r>
          </w:p>
          <w:p>
            <w:pPr>
              <w:pStyle w:val="7"/>
              <w:tabs>
                <w:tab w:val="left" w:pos="2141"/>
              </w:tabs>
              <w:snapToGrid w:val="0"/>
              <w:spacing w:before="0" w:line="400" w:lineRule="exact"/>
              <w:ind w:firstLine="539"/>
              <w:jc w:val="both"/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履约信誉：5分</w:t>
            </w:r>
          </w:p>
          <w:p>
            <w:pPr>
              <w:pStyle w:val="7"/>
              <w:snapToGrid w:val="0"/>
              <w:spacing w:before="0" w:line="400" w:lineRule="exact"/>
              <w:ind w:firstLine="482" w:firstLineChars="20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  <w:t>第二个信封（报价文件）评分分值构成：</w:t>
            </w:r>
          </w:p>
          <w:p>
            <w:pPr>
              <w:pStyle w:val="7"/>
              <w:tabs>
                <w:tab w:val="left" w:pos="2604"/>
              </w:tabs>
              <w:snapToGrid w:val="0"/>
              <w:spacing w:before="0" w:line="400" w:lineRule="exact"/>
              <w:ind w:firstLine="54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评标价:10分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1" w:hRule="exac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spacing w:before="0" w:line="4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2.2.2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spacing w:before="0" w:line="4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评标基准价计算方法</w:t>
            </w: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snapToGrid w:val="0"/>
              <w:spacing w:before="0" w:line="400" w:lineRule="exact"/>
              <w:ind w:firstLine="480" w:firstLineChars="20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评标基准价的计算：</w:t>
            </w:r>
          </w:p>
          <w:p>
            <w:pPr>
              <w:pStyle w:val="7"/>
              <w:snapToGrid w:val="0"/>
              <w:spacing w:before="0" w:line="400" w:lineRule="exact"/>
              <w:ind w:firstLine="480" w:firstLineChars="20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在开标现场，招标人将当场计算并宣布评标基准价。</w:t>
            </w:r>
          </w:p>
          <w:p>
            <w:pPr>
              <w:pStyle w:val="7"/>
              <w:tabs>
                <w:tab w:val="left" w:pos="1053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（1）评标价的确定：</w:t>
            </w:r>
          </w:p>
          <w:p>
            <w:pPr>
              <w:pStyle w:val="7"/>
              <w:snapToGrid w:val="0"/>
              <w:spacing w:before="0" w:line="400" w:lineRule="exact"/>
              <w:ind w:firstLine="54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评标价=投标函文字报价</w:t>
            </w:r>
          </w:p>
          <w:p>
            <w:pPr>
              <w:pStyle w:val="7"/>
              <w:tabs>
                <w:tab w:val="left" w:pos="1055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（2）评标价平均值的计算：</w:t>
            </w:r>
          </w:p>
          <w:p>
            <w:pPr>
              <w:pStyle w:val="7"/>
              <w:tabs>
                <w:tab w:val="left" w:pos="1055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除按第二章“投标人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须知”第5.2.4项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规定开标现场被宣布为不进入评标基准价计算的投标报价之外，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所有投标人的评标价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去掉一个最高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值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和一个最低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值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后的算术平均值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即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为评标价平均值（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如果参与评标价平均值计算的有效投标人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少于5家时，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则计算评标价平均值时不去掉最高值和最低值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）。</w:t>
            </w:r>
          </w:p>
          <w:p>
            <w:pPr>
              <w:pStyle w:val="7"/>
              <w:tabs>
                <w:tab w:val="left" w:pos="1055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（3）评标基准价的确定：</w:t>
            </w:r>
          </w:p>
          <w:p>
            <w:pPr>
              <w:pStyle w:val="7"/>
              <w:tabs>
                <w:tab w:val="left" w:pos="1055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将评标价平均值直接作为评标基准价。</w:t>
            </w:r>
          </w:p>
          <w:p>
            <w:pPr>
              <w:pStyle w:val="7"/>
              <w:tabs>
                <w:tab w:val="left" w:pos="1055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在评标过程中，评标委员会应对招标人计算的评标基准价进行复核，存在计算错误的应予以修正并在评标报告中作出说明。除此之外，评标基准价在整个评标期间保持不变，不随任何因素发生变化。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055"/>
              </w:tabs>
              <w:snapToGrid w:val="0"/>
              <w:spacing w:before="0" w:line="4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2.2.3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055"/>
              </w:tabs>
              <w:snapToGrid w:val="0"/>
              <w:spacing w:before="0" w:line="4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评标价的偏差率计算公式</w:t>
            </w: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055"/>
                <w:tab w:val="left" w:pos="1913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偏差率=100%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  <w:t>*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(投标人评标价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评标基准价）/评标基准价</w:t>
            </w:r>
          </w:p>
          <w:p>
            <w:pPr>
              <w:pStyle w:val="7"/>
              <w:tabs>
                <w:tab w:val="left" w:pos="1055"/>
                <w:tab w:val="left" w:pos="1913"/>
              </w:tabs>
              <w:snapToGrid w:val="0"/>
              <w:spacing w:before="0" w:line="400" w:lineRule="exact"/>
              <w:ind w:firstLine="480" w:firstLineChars="200"/>
              <w:jc w:val="both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偏差率保留两位小数</w:t>
            </w:r>
          </w:p>
        </w:tc>
      </w:tr>
    </w:tbl>
    <w:p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6"/>
          <w:rFonts w:ascii="Arial" w:hAnsi="Arial" w:cs="Arial"/>
          <w:color w:val="auto"/>
          <w:kern w:val="0"/>
          <w:sz w:val="24"/>
          <w:szCs w:val="24"/>
          <w:highlight w:val="none"/>
        </w:rPr>
      </w:pPr>
      <w:r>
        <w:rPr>
          <w:rFonts w:ascii="Arial" w:hAnsi="Arial" w:cs="Arial"/>
          <w:b/>
          <w:i/>
          <w:caps/>
          <w:color w:val="auto"/>
          <w:sz w:val="24"/>
          <w:szCs w:val="24"/>
          <w:highlight w:val="none"/>
        </w:rPr>
        <w:br w:type="textWrapping"/>
      </w:r>
    </w:p>
    <w:p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6"/>
          <w:rFonts w:ascii="Arial" w:hAnsi="Arial" w:cs="Arial"/>
          <w:color w:val="auto"/>
          <w:kern w:val="0"/>
          <w:sz w:val="24"/>
          <w:szCs w:val="24"/>
          <w:highlight w:val="none"/>
        </w:rPr>
      </w:pPr>
    </w:p>
    <w:p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6"/>
          <w:rFonts w:ascii="Arial" w:hAnsi="Arial" w:cs="Arial"/>
          <w:color w:val="auto"/>
          <w:kern w:val="0"/>
          <w:sz w:val="24"/>
          <w:szCs w:val="24"/>
          <w:highlight w:val="none"/>
        </w:rPr>
      </w:pPr>
    </w:p>
    <w:p>
      <w:pPr>
        <w:tabs>
          <w:tab w:val="left" w:pos="5800"/>
          <w:tab w:val="left" w:pos="6740"/>
          <w:tab w:val="left" w:pos="7680"/>
        </w:tabs>
        <w:snapToGrid w:val="0"/>
        <w:spacing w:line="440" w:lineRule="exact"/>
        <w:ind w:left="4961" w:right="-20"/>
        <w:jc w:val="left"/>
        <w:rPr>
          <w:rStyle w:val="6"/>
          <w:rFonts w:ascii="Arial" w:hAnsi="Arial" w:cs="Arial"/>
          <w:color w:val="auto"/>
          <w:kern w:val="0"/>
          <w:sz w:val="24"/>
          <w:szCs w:val="24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526"/>
        <w:gridCol w:w="1016"/>
        <w:gridCol w:w="540"/>
        <w:gridCol w:w="1016"/>
        <w:gridCol w:w="594"/>
        <w:gridCol w:w="5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  <w:jc w:val="center"/>
        </w:trPr>
        <w:tc>
          <w:tcPr>
            <w:tcW w:w="44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  <w:t>评分因素与权重分值</w:t>
            </w:r>
          </w:p>
        </w:tc>
        <w:tc>
          <w:tcPr>
            <w:tcW w:w="5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297"/>
              <w:jc w:val="center"/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49"/>
              <w:ind w:left="144"/>
              <w:jc w:val="center"/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  <w:t>评分因素权重分值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  <w:t>各评分因素细分项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5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49"/>
              <w:ind w:left="515" w:right="517"/>
              <w:jc w:val="center"/>
              <w:rPr>
                <w:rStyle w:val="6"/>
                <w:rFonts w:ascii="Arial" w:hAnsi="Arial" w:cs="Arial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exac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2.2.4（1）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技术建议书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35分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监理大纲（或监理方案）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要求：结合项目特点，叙述内容全面详实且简明扼要；指导思想和监理机构健全、职责明确。</w:t>
            </w:r>
          </w:p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评分标准：满足基本要求得基本分4.8分；视监理大纲（或监理方案）是否全面、合理，认识是否充分，酌情加分，最多加3.2分。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主要监理措施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质量控制方案与措施。</w:t>
            </w:r>
          </w:p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要求：工程质量控制任务明确，方法得当，措施有效。</w:t>
            </w:r>
          </w:p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评分标准：满足基本要求得基本分3分；视方案与措施是否全面、合理，认识是否充分，酌情加分，最多加2分。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进度、费用控制措施。</w:t>
            </w:r>
          </w:p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要求：进度、费用控制管理及组织协调任务明确，保障措施切实可行。</w:t>
            </w:r>
          </w:p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评分标准：满足基本要求得基本分3分；视方案与措施是否全面、合理，认识是否充分，酌情加分，最多加2分。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安全、环保、水保、防疫及督促施工单位农民工支付措施</w:t>
            </w:r>
          </w:p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要求：安全、环保、水保施工管理，廉政建设，防疫及督促施工单位农民工支付措施考虑全面，措施有效，有针对性。</w:t>
            </w:r>
          </w:p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评分标准：满足基本要求得基本分3分；视方案与措施是否全面、合理，认识是否充分，酌情加分，最多加2分。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对本工程重点、难点分析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要求：对本工程的重点、难点理解分析准确，技术建议全面详细、针对性强。</w:t>
            </w:r>
          </w:p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评分标准：满足基本要求得基本分4.8分；视重点、难点的分析是否全面、合理，认识是否充分，酌情加分，最多加3.2分。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对本工程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建议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要求：文明施工、合同、信息管理及工期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控制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措施等方面建议具体、合理，方法可行。</w:t>
            </w:r>
          </w:p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评分标准：满足基本要求得基本分2.4分；视建议的分析是否全面、合理，认识是否充分，酌情加分，最多加1.6分。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exac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2.2.4</w:t>
            </w:r>
          </w:p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(2)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拟投入本项目的人员资格和能力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30分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总监理工程师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20分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49" w:lineRule="auto"/>
              <w:ind w:right="-15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满足基本要求，得12分；每增加一个</w:t>
            </w:r>
            <w:r>
              <w:rPr>
                <w:rStyle w:val="6"/>
                <w:rFonts w:hint="eastAsia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类似</w:t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工程总监或驻地监理经历得8分，最高得20分。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exac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安全环保监理工程师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满足基本要求，得6分；每增加一个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类似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监理经历加4分，最高得10分。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2.2.4</w:t>
            </w:r>
          </w:p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(3)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评标价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评标价得分计算：</w:t>
            </w:r>
          </w:p>
          <w:p>
            <w:pPr>
              <w:snapToGrid w:val="0"/>
              <w:spacing w:line="300" w:lineRule="exact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(1)如果投标人的评标价&gt;评标基准价，则评标价得分＝10－偏差率×100×1；</w:t>
            </w:r>
          </w:p>
          <w:p>
            <w:pPr>
              <w:snapToGrid w:val="0"/>
              <w:spacing w:line="300" w:lineRule="exact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(2)如果投标人的评标价≤评标基准价，则评标价得分＝10＋偏差率×100×0.5。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exac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2.2.4</w:t>
            </w:r>
          </w:p>
          <w:p>
            <w:pPr>
              <w:snapToGrid w:val="0"/>
              <w:ind w:right="246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(4)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其他因素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监理业绩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20分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满足基本要求得12分，每增加一个符合基本要求的业绩的加4分，本项最高得分20分。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履约信誉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6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满足基本要求得5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分。</w:t>
            </w:r>
          </w:p>
        </w:tc>
      </w:tr>
    </w:tbl>
    <w:p>
      <w:pPr>
        <w:snapToGrid w:val="0"/>
        <w:spacing w:line="360" w:lineRule="auto"/>
        <w:jc w:val="left"/>
        <w:rPr>
          <w:rStyle w:val="6"/>
          <w:rFonts w:ascii="Arial" w:hAnsi="Arial" w:cs="Arial"/>
          <w:b/>
          <w:bCs/>
          <w:color w:val="auto"/>
          <w:sz w:val="24"/>
          <w:szCs w:val="24"/>
          <w:highlight w:val="none"/>
        </w:rPr>
      </w:pPr>
    </w:p>
    <w:p>
      <w:pPr>
        <w:snapToGrid w:val="0"/>
        <w:spacing w:line="360" w:lineRule="auto"/>
        <w:ind w:firstLine="480" w:firstLineChars="200"/>
        <w:jc w:val="left"/>
        <w:rPr>
          <w:rStyle w:val="6"/>
          <w:color w:val="auto"/>
          <w:sz w:val="24"/>
          <w:szCs w:val="24"/>
          <w:highlight w:val="none"/>
        </w:rPr>
      </w:pPr>
    </w:p>
    <w:p>
      <w:pPr>
        <w:snapToGrid w:val="0"/>
        <w:spacing w:line="400" w:lineRule="atLeast"/>
        <w:rPr>
          <w:rStyle w:val="6"/>
          <w:rFonts w:ascii="宋体" w:hAnsi="宋体"/>
          <w:color w:val="auto"/>
          <w:sz w:val="28"/>
          <w:szCs w:val="28"/>
          <w:highlight w:val="none"/>
        </w:rPr>
      </w:pPr>
      <w:r>
        <w:rPr>
          <w:rStyle w:val="6"/>
          <w:rFonts w:ascii="宋体" w:hAnsi="宋体"/>
          <w:b/>
          <w:color w:val="auto"/>
          <w:szCs w:val="21"/>
          <w:highlight w:val="none"/>
        </w:rPr>
        <w:br w:type="page"/>
      </w:r>
    </w:p>
    <w:p>
      <w:pPr>
        <w:snapToGrid w:val="0"/>
        <w:spacing w:line="400" w:lineRule="atLeast"/>
        <w:rPr>
          <w:rStyle w:val="6"/>
          <w:rFonts w:ascii="宋体" w:hAnsi="宋体"/>
          <w:color w:val="auto"/>
          <w:sz w:val="20"/>
          <w:highlight w:val="none"/>
        </w:rPr>
      </w:pPr>
      <w:r>
        <w:rPr>
          <w:rStyle w:val="6"/>
          <w:rFonts w:ascii="宋体" w:hAnsi="宋体"/>
          <w:color w:val="auto"/>
          <w:sz w:val="28"/>
          <w:szCs w:val="28"/>
          <w:highlight w:val="none"/>
        </w:rPr>
        <w:t>“评标办法”正文内容详见中华人民共和国交通运输部《公路工程标准施工监理招标文件》（2018年版）的“评标办法”正文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YjQzYmUxZDcwZDVhZTA4NDBmYzYxODRmMDUzOWEifQ=="/>
  </w:docVars>
  <w:rsids>
    <w:rsidRoot w:val="62E40D3B"/>
    <w:rsid w:val="0034609B"/>
    <w:rsid w:val="008701FB"/>
    <w:rsid w:val="07423CBF"/>
    <w:rsid w:val="0A1C57EB"/>
    <w:rsid w:val="0CE7143F"/>
    <w:rsid w:val="0E0C59EF"/>
    <w:rsid w:val="15746D4F"/>
    <w:rsid w:val="15DC08D7"/>
    <w:rsid w:val="215E2798"/>
    <w:rsid w:val="245157C0"/>
    <w:rsid w:val="271A21AA"/>
    <w:rsid w:val="272F74EF"/>
    <w:rsid w:val="287F3394"/>
    <w:rsid w:val="2F99101D"/>
    <w:rsid w:val="317975E8"/>
    <w:rsid w:val="329F0C06"/>
    <w:rsid w:val="35F87749"/>
    <w:rsid w:val="38513536"/>
    <w:rsid w:val="39DF4A9E"/>
    <w:rsid w:val="3D467B22"/>
    <w:rsid w:val="3E1A2B2F"/>
    <w:rsid w:val="3F473C70"/>
    <w:rsid w:val="45344F6B"/>
    <w:rsid w:val="45D00A7D"/>
    <w:rsid w:val="471E0B0F"/>
    <w:rsid w:val="521E1FC7"/>
    <w:rsid w:val="55CF6E86"/>
    <w:rsid w:val="57834DB1"/>
    <w:rsid w:val="59504DF7"/>
    <w:rsid w:val="5CC3706C"/>
    <w:rsid w:val="5D273E22"/>
    <w:rsid w:val="5E5D2F4F"/>
    <w:rsid w:val="5EB61346"/>
    <w:rsid w:val="602128F0"/>
    <w:rsid w:val="62E40D3B"/>
    <w:rsid w:val="6A217E7F"/>
    <w:rsid w:val="6F1731CC"/>
    <w:rsid w:val="6FB8054B"/>
    <w:rsid w:val="752D77DF"/>
    <w:rsid w:val="75B54566"/>
    <w:rsid w:val="799F4A50"/>
    <w:rsid w:val="7A0363FB"/>
    <w:rsid w:val="7F81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Times New Roman"/>
      <w:b/>
      <w:bCs/>
      <w:kern w:val="2"/>
      <w:szCs w:val="24"/>
    </w:r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character" w:customStyle="1" w:styleId="6">
    <w:name w:val="NormalCharacter"/>
    <w:qFormat/>
    <w:uiPriority w:val="0"/>
  </w:style>
  <w:style w:type="paragraph" w:customStyle="1" w:styleId="7">
    <w:name w:val="UserStyle_85"/>
    <w:basedOn w:val="1"/>
    <w:uiPriority w:val="0"/>
    <w:pPr>
      <w:shd w:val="clear" w:color="auto" w:fill="FFFFFF"/>
      <w:spacing w:before="300" w:line="454" w:lineRule="exact"/>
      <w:jc w:val="distribute"/>
    </w:pPr>
    <w:rPr>
      <w:rFonts w:ascii="宋体" w:hAnsi="宋体"/>
      <w:kern w:val="0"/>
      <w:sz w:val="22"/>
      <w:szCs w:val="22"/>
    </w:rPr>
  </w:style>
  <w:style w:type="character" w:customStyle="1" w:styleId="8">
    <w:name w:val="UserStyle_59"/>
    <w:uiPriority w:val="0"/>
    <w:rPr>
      <w:rFonts w:ascii="宋体" w:hAnsi="宋体"/>
      <w:color w:val="000000"/>
      <w:position w:val="0"/>
      <w:sz w:val="23"/>
      <w:szCs w:val="23"/>
      <w:lang w:val="zh-CN" w:eastAsia="zh-CN" w:bidi="zh-CN"/>
    </w:rPr>
  </w:style>
  <w:style w:type="character" w:customStyle="1" w:styleId="9">
    <w:name w:val="UserStyle_1"/>
    <w:qFormat/>
    <w:uiPriority w:val="0"/>
    <w:rPr>
      <w:rFonts w:ascii="宋体" w:hAnsi="宋体" w:cs="宋体"/>
      <w:b/>
      <w:bCs/>
      <w:color w:val="000000"/>
      <w:position w:val="0"/>
      <w:sz w:val="19"/>
      <w:szCs w:val="19"/>
      <w:lang w:val="en-US" w:eastAsia="en-US" w:bidi="en-US"/>
    </w:rPr>
  </w:style>
  <w:style w:type="paragraph" w:customStyle="1" w:styleId="10">
    <w:name w:val="UserStyle_130"/>
    <w:basedOn w:val="1"/>
    <w:autoRedefine/>
    <w:qFormat/>
    <w:uiPriority w:val="0"/>
    <w:pPr>
      <w:jc w:val="left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2024-04-29T02:17:00Z</dcterms:created>
  <dc:creator>NTKO</dc:creator>
  <cp:lastModifiedBy>NTKO</cp:lastModifiedBy>
  <dcterms:modified xsi:type="dcterms:W3CDTF">2024-04-29T02:17:57Z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EBBE7A88F0F04AD198F28E91BDE4A213_11</vt:lpwstr>
  </property>
</Properties>
</file>