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59" w:rsidRDefault="00A41E59" w:rsidP="00A41E59">
      <w:pPr>
        <w:widowControl/>
        <w:spacing w:line="420" w:lineRule="exact"/>
        <w:jc w:val="left"/>
        <w:rPr>
          <w:rFonts w:ascii="仿宋" w:eastAsia="仿宋" w:hAnsi="仿宋" w:cs="仿宋"/>
          <w:sz w:val="24"/>
        </w:rPr>
      </w:pPr>
      <w:r>
        <w:rPr>
          <w:rFonts w:ascii="仿宋" w:eastAsia="仿宋" w:hAnsi="仿宋" w:cs="仿宋" w:hint="eastAsia"/>
          <w:sz w:val="24"/>
        </w:rPr>
        <w:t>附件：项目采购需求文件</w:t>
      </w:r>
    </w:p>
    <w:p w:rsidR="00A41E59" w:rsidRDefault="00A41E59" w:rsidP="00A41E59">
      <w:pPr>
        <w:widowControl/>
        <w:spacing w:line="500" w:lineRule="exact"/>
        <w:ind w:firstLine="430"/>
        <w:jc w:val="center"/>
        <w:rPr>
          <w:rFonts w:ascii="仿宋" w:eastAsia="仿宋" w:hAnsi="仿宋" w:cs="仿宋"/>
          <w:b/>
          <w:kern w:val="0"/>
          <w:sz w:val="28"/>
          <w:szCs w:val="28"/>
        </w:rPr>
      </w:pPr>
      <w:r>
        <w:rPr>
          <w:rFonts w:ascii="仿宋" w:eastAsia="仿宋" w:hAnsi="仿宋" w:cs="仿宋" w:hint="eastAsia"/>
          <w:b/>
          <w:kern w:val="0"/>
          <w:sz w:val="28"/>
          <w:szCs w:val="28"/>
        </w:rPr>
        <w:t>技术要求和规格</w:t>
      </w:r>
    </w:p>
    <w:p w:rsidR="00A41E59" w:rsidRDefault="00A41E59" w:rsidP="00A41E59">
      <w:pPr>
        <w:widowControl/>
        <w:spacing w:line="500" w:lineRule="exact"/>
        <w:ind w:firstLine="430"/>
        <w:jc w:val="left"/>
        <w:rPr>
          <w:rFonts w:ascii="仿宋" w:eastAsia="仿宋" w:hAnsi="仿宋" w:cs="仿宋"/>
          <w:b/>
          <w:bCs/>
          <w:szCs w:val="21"/>
        </w:rPr>
      </w:pPr>
      <w:r>
        <w:rPr>
          <w:rFonts w:ascii="仿宋" w:eastAsia="仿宋" w:hAnsi="仿宋" w:cs="仿宋" w:hint="eastAsia"/>
          <w:b/>
          <w:bCs/>
          <w:szCs w:val="21"/>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rsidR="00A41E59" w:rsidRDefault="00A41E59" w:rsidP="00A41E59">
      <w:pPr>
        <w:widowControl/>
        <w:spacing w:line="360" w:lineRule="auto"/>
        <w:ind w:firstLine="405"/>
        <w:jc w:val="left"/>
        <w:rPr>
          <w:rFonts w:ascii="仿宋" w:eastAsia="仿宋" w:hAnsi="仿宋" w:cs="仿宋"/>
          <w:b/>
          <w:bCs/>
          <w:szCs w:val="21"/>
        </w:rPr>
      </w:pPr>
      <w:r>
        <w:rPr>
          <w:rFonts w:ascii="仿宋" w:eastAsia="仿宋" w:hAnsi="仿宋" w:cs="仿宋" w:hint="eastAsia"/>
          <w:b/>
          <w:bCs/>
          <w:szCs w:val="21"/>
        </w:rPr>
        <w:t>单一产品采购时，提供相同品牌产品且通过资格审查、符合性审查的不同投标人参加同一合同项下投标的，按一家投标人计算，评审后得分最高的同品牌投标人获得中标人推荐资格；评审得分相同的，由采购人代表或采购人代表委托评标委员会采取随机抽取方式确定，其他投标无效。</w:t>
      </w:r>
    </w:p>
    <w:p w:rsidR="00A41E59" w:rsidRDefault="00A41E59" w:rsidP="00A41E59">
      <w:pPr>
        <w:widowControl/>
        <w:spacing w:line="500" w:lineRule="exact"/>
        <w:ind w:firstLine="405"/>
        <w:jc w:val="left"/>
        <w:rPr>
          <w:rFonts w:ascii="仿宋" w:eastAsia="仿宋" w:hAnsi="仿宋" w:cs="仿宋"/>
          <w:b/>
          <w:bCs/>
          <w:szCs w:val="21"/>
        </w:rPr>
      </w:pPr>
      <w:r>
        <w:rPr>
          <w:rFonts w:ascii="仿宋" w:eastAsia="仿宋" w:hAnsi="仿宋" w:cs="仿宋" w:hint="eastAsia"/>
          <w:b/>
          <w:bCs/>
          <w:szCs w:val="21"/>
        </w:rPr>
        <w:t>非单一产品采购项目，提供的核心产品品牌相同的，按前款处理。核心产品由采购人根据采购项目技术构成、产品价格比重等合理确定，并载明在招标文件的货物需求及技术要求中，本次招标中所有产品品牌均对应相同的就视为核心产品品牌相同。</w:t>
      </w:r>
    </w:p>
    <w:p w:rsidR="00A41E59" w:rsidRDefault="00A41E59" w:rsidP="00A41E59">
      <w:pPr>
        <w:ind w:firstLineChars="200" w:firstLine="422"/>
        <w:rPr>
          <w:rFonts w:ascii="仿宋" w:eastAsia="仿宋" w:hAnsi="仿宋" w:cs="仿宋"/>
          <w:b/>
          <w:bCs/>
          <w:szCs w:val="21"/>
        </w:rPr>
      </w:pPr>
    </w:p>
    <w:p w:rsidR="00A41E59" w:rsidRDefault="00A41E59" w:rsidP="00A41E59">
      <w:pPr>
        <w:ind w:firstLineChars="200" w:firstLine="482"/>
        <w:rPr>
          <w:rFonts w:ascii="仿宋" w:eastAsia="仿宋" w:hAnsi="仿宋" w:cs="仿宋"/>
          <w:b/>
          <w:bCs/>
          <w:sz w:val="24"/>
        </w:rPr>
      </w:pPr>
      <w:r>
        <w:rPr>
          <w:rFonts w:ascii="仿宋" w:eastAsia="仿宋" w:hAnsi="仿宋" w:cs="仿宋" w:hint="eastAsia"/>
          <w:b/>
          <w:bCs/>
          <w:sz w:val="24"/>
        </w:rPr>
        <w:t>一、商务要求</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6"/>
        <w:gridCol w:w="2081"/>
        <w:gridCol w:w="4688"/>
      </w:tblGrid>
      <w:tr w:rsidR="00A41E59" w:rsidTr="00A527DB">
        <w:trPr>
          <w:cantSplit/>
          <w:trHeight w:val="509"/>
          <w:jc w:val="center"/>
        </w:trPr>
        <w:tc>
          <w:tcPr>
            <w:tcW w:w="788" w:type="pct"/>
            <w:vAlign w:val="center"/>
          </w:tcPr>
          <w:p w:rsidR="00A41E59" w:rsidRDefault="00A41E59" w:rsidP="00A527DB">
            <w:pPr>
              <w:jc w:val="center"/>
              <w:rPr>
                <w:rFonts w:ascii="仿宋" w:eastAsia="仿宋" w:hAnsi="仿宋" w:cs="仿宋"/>
                <w:b/>
                <w:kern w:val="0"/>
                <w:sz w:val="24"/>
              </w:rPr>
            </w:pPr>
            <w:r>
              <w:rPr>
                <w:rFonts w:ascii="仿宋" w:eastAsia="仿宋" w:hAnsi="仿宋" w:cs="仿宋" w:hint="eastAsia"/>
                <w:b/>
                <w:kern w:val="0"/>
                <w:sz w:val="24"/>
              </w:rPr>
              <w:t>序号</w:t>
            </w:r>
          </w:p>
        </w:tc>
        <w:tc>
          <w:tcPr>
            <w:tcW w:w="1294" w:type="pct"/>
            <w:vAlign w:val="center"/>
          </w:tcPr>
          <w:p w:rsidR="00A41E59" w:rsidRDefault="00A41E59" w:rsidP="00A527DB">
            <w:pPr>
              <w:jc w:val="center"/>
              <w:rPr>
                <w:rFonts w:ascii="仿宋" w:eastAsia="仿宋" w:hAnsi="仿宋" w:cs="仿宋"/>
                <w:b/>
                <w:kern w:val="0"/>
                <w:sz w:val="24"/>
              </w:rPr>
            </w:pPr>
            <w:r>
              <w:rPr>
                <w:rFonts w:ascii="仿宋" w:eastAsia="仿宋" w:hAnsi="仿宋" w:cs="仿宋" w:hint="eastAsia"/>
                <w:b/>
                <w:bCs/>
                <w:kern w:val="0"/>
                <w:sz w:val="24"/>
              </w:rPr>
              <w:t>商务条款名称</w:t>
            </w:r>
          </w:p>
        </w:tc>
        <w:tc>
          <w:tcPr>
            <w:tcW w:w="2916" w:type="pct"/>
            <w:vAlign w:val="center"/>
          </w:tcPr>
          <w:p w:rsidR="00A41E59" w:rsidRDefault="00A41E59" w:rsidP="00A527DB">
            <w:pPr>
              <w:jc w:val="center"/>
              <w:rPr>
                <w:rFonts w:ascii="仿宋" w:eastAsia="仿宋" w:hAnsi="仿宋" w:cs="仿宋"/>
                <w:b/>
                <w:kern w:val="0"/>
                <w:sz w:val="24"/>
              </w:rPr>
            </w:pPr>
            <w:r>
              <w:rPr>
                <w:rFonts w:ascii="仿宋" w:eastAsia="仿宋" w:hAnsi="仿宋" w:cs="仿宋" w:hint="eastAsia"/>
                <w:b/>
                <w:kern w:val="0"/>
                <w:sz w:val="24"/>
              </w:rPr>
              <w:t>具体要求内容</w:t>
            </w:r>
          </w:p>
        </w:tc>
      </w:tr>
      <w:tr w:rsidR="00A41E59" w:rsidTr="00A527DB">
        <w:trPr>
          <w:cantSplit/>
          <w:trHeight w:val="454"/>
          <w:jc w:val="center"/>
        </w:trPr>
        <w:tc>
          <w:tcPr>
            <w:tcW w:w="788" w:type="pct"/>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1</w:t>
            </w:r>
          </w:p>
        </w:tc>
        <w:tc>
          <w:tcPr>
            <w:tcW w:w="1294"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付款方式</w:t>
            </w:r>
          </w:p>
        </w:tc>
        <w:tc>
          <w:tcPr>
            <w:tcW w:w="2916"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安装验收合格后7个工作日内付合同价款的97％，余款质保期满后（自验收合格起计）15日内无任何质量问题一次付清。</w:t>
            </w:r>
          </w:p>
        </w:tc>
      </w:tr>
      <w:tr w:rsidR="00A41E59" w:rsidTr="00A527DB">
        <w:trPr>
          <w:cantSplit/>
          <w:trHeight w:val="454"/>
          <w:jc w:val="center"/>
        </w:trPr>
        <w:tc>
          <w:tcPr>
            <w:tcW w:w="788" w:type="pct"/>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2</w:t>
            </w:r>
          </w:p>
        </w:tc>
        <w:tc>
          <w:tcPr>
            <w:tcW w:w="1294"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供货及安装地点</w:t>
            </w:r>
          </w:p>
        </w:tc>
        <w:tc>
          <w:tcPr>
            <w:tcW w:w="2916"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岳西县医院（招标人指定地点）</w:t>
            </w:r>
          </w:p>
        </w:tc>
      </w:tr>
      <w:tr w:rsidR="00A41E59" w:rsidTr="00A527DB">
        <w:trPr>
          <w:cantSplit/>
          <w:trHeight w:val="454"/>
          <w:jc w:val="center"/>
        </w:trPr>
        <w:tc>
          <w:tcPr>
            <w:tcW w:w="788" w:type="pct"/>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3</w:t>
            </w:r>
          </w:p>
        </w:tc>
        <w:tc>
          <w:tcPr>
            <w:tcW w:w="1294"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供货及安装期限</w:t>
            </w:r>
          </w:p>
        </w:tc>
        <w:tc>
          <w:tcPr>
            <w:tcW w:w="2916"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20日历天内安装完成并验收合格</w:t>
            </w:r>
          </w:p>
        </w:tc>
      </w:tr>
      <w:tr w:rsidR="00A41E59" w:rsidTr="00A527DB">
        <w:trPr>
          <w:cantSplit/>
          <w:trHeight w:val="454"/>
          <w:jc w:val="center"/>
        </w:trPr>
        <w:tc>
          <w:tcPr>
            <w:tcW w:w="788" w:type="pct"/>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4</w:t>
            </w:r>
          </w:p>
        </w:tc>
        <w:tc>
          <w:tcPr>
            <w:tcW w:w="1294"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安装辅助材料、场地改造等</w:t>
            </w:r>
          </w:p>
        </w:tc>
        <w:tc>
          <w:tcPr>
            <w:tcW w:w="2916" w:type="pct"/>
            <w:vAlign w:val="center"/>
          </w:tcPr>
          <w:p w:rsidR="00A41E59" w:rsidRDefault="00A41E59" w:rsidP="00A527DB">
            <w:pPr>
              <w:jc w:val="left"/>
              <w:rPr>
                <w:rFonts w:ascii="仿宋" w:eastAsia="仿宋" w:hAnsi="仿宋" w:cs="仿宋"/>
                <w:color w:val="000000"/>
                <w:szCs w:val="21"/>
              </w:rPr>
            </w:pPr>
            <w:r>
              <w:rPr>
                <w:rFonts w:ascii="仿宋" w:eastAsia="仿宋" w:hAnsi="仿宋" w:cs="仿宋" w:hint="eastAsia"/>
                <w:color w:val="000000"/>
                <w:szCs w:val="21"/>
              </w:rPr>
              <w:t>安装辅助材料、场地改造等费用均由中标人承担，招标人不在增加费用，请投标人在投标前充分考量。</w:t>
            </w:r>
          </w:p>
        </w:tc>
      </w:tr>
    </w:tbl>
    <w:p w:rsidR="00A41E59" w:rsidRDefault="00A41E59" w:rsidP="00A41E59">
      <w:pPr>
        <w:keepNext/>
        <w:keepLines/>
        <w:numPr>
          <w:ilvl w:val="0"/>
          <w:numId w:val="1"/>
        </w:numPr>
        <w:autoSpaceDE w:val="0"/>
        <w:autoSpaceDN w:val="0"/>
        <w:adjustRightInd w:val="0"/>
        <w:spacing w:line="400" w:lineRule="exact"/>
        <w:ind w:firstLineChars="196" w:firstLine="472"/>
        <w:jc w:val="left"/>
        <w:outlineLvl w:val="2"/>
        <w:rPr>
          <w:rFonts w:ascii="仿宋" w:eastAsia="仿宋" w:hAnsi="仿宋" w:cs="仿宋"/>
          <w:b/>
          <w:bCs/>
          <w:kern w:val="0"/>
          <w:sz w:val="24"/>
        </w:rPr>
      </w:pPr>
      <w:bookmarkStart w:id="0" w:name="_Toc24745"/>
      <w:r>
        <w:rPr>
          <w:rFonts w:ascii="仿宋" w:eastAsia="仿宋" w:hAnsi="仿宋" w:cs="仿宋" w:hint="eastAsia"/>
          <w:b/>
          <w:bCs/>
          <w:kern w:val="0"/>
          <w:sz w:val="24"/>
        </w:rPr>
        <w:t>技术要求一览表</w:t>
      </w:r>
      <w:bookmarkEnd w:id="0"/>
    </w:p>
    <w:tbl>
      <w:tblPr>
        <w:tblW w:w="8612" w:type="dxa"/>
        <w:jc w:val="center"/>
        <w:tblCellMar>
          <w:top w:w="15" w:type="dxa"/>
          <w:left w:w="15" w:type="dxa"/>
          <w:bottom w:w="15" w:type="dxa"/>
          <w:right w:w="15" w:type="dxa"/>
        </w:tblCellMar>
        <w:tblLook w:val="04A0"/>
      </w:tblPr>
      <w:tblGrid>
        <w:gridCol w:w="1076"/>
        <w:gridCol w:w="2395"/>
        <w:gridCol w:w="962"/>
        <w:gridCol w:w="822"/>
        <w:gridCol w:w="2098"/>
        <w:gridCol w:w="1259"/>
      </w:tblGrid>
      <w:tr w:rsidR="00A41E59" w:rsidTr="00A527DB">
        <w:trPr>
          <w:trHeight w:val="508"/>
          <w:jc w:val="center"/>
        </w:trPr>
        <w:tc>
          <w:tcPr>
            <w:tcW w:w="1076"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序号</w:t>
            </w:r>
          </w:p>
        </w:tc>
        <w:tc>
          <w:tcPr>
            <w:tcW w:w="2395"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货物名称</w:t>
            </w:r>
          </w:p>
        </w:tc>
        <w:tc>
          <w:tcPr>
            <w:tcW w:w="962"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数量</w:t>
            </w:r>
          </w:p>
        </w:tc>
        <w:tc>
          <w:tcPr>
            <w:tcW w:w="822"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单位</w:t>
            </w:r>
          </w:p>
        </w:tc>
        <w:tc>
          <w:tcPr>
            <w:tcW w:w="2098"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最高单价（万元/单位）</w:t>
            </w:r>
          </w:p>
        </w:tc>
        <w:tc>
          <w:tcPr>
            <w:tcW w:w="1259" w:type="dxa"/>
            <w:tcBorders>
              <w:top w:val="single" w:sz="4" w:space="0" w:color="000000"/>
              <w:left w:val="single" w:sz="4" w:space="0" w:color="000000"/>
              <w:bottom w:val="single" w:sz="4" w:space="0" w:color="auto"/>
              <w:right w:val="single" w:sz="4" w:space="0" w:color="000000"/>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备注</w:t>
            </w:r>
          </w:p>
        </w:tc>
      </w:tr>
      <w:tr w:rsidR="00A41E59" w:rsidTr="00A527DB">
        <w:trPr>
          <w:trHeight w:val="438"/>
          <w:jc w:val="center"/>
        </w:trPr>
        <w:tc>
          <w:tcPr>
            <w:tcW w:w="1076"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1</w:t>
            </w:r>
          </w:p>
        </w:tc>
        <w:tc>
          <w:tcPr>
            <w:tcW w:w="2395"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除颤仪</w:t>
            </w:r>
          </w:p>
        </w:tc>
        <w:tc>
          <w:tcPr>
            <w:tcW w:w="96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82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2098"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4</w:t>
            </w:r>
          </w:p>
        </w:tc>
        <w:tc>
          <w:tcPr>
            <w:tcW w:w="1259"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p>
        </w:tc>
      </w:tr>
      <w:tr w:rsidR="00A41E59" w:rsidTr="00A527DB">
        <w:trPr>
          <w:trHeight w:val="438"/>
          <w:jc w:val="center"/>
        </w:trPr>
        <w:tc>
          <w:tcPr>
            <w:tcW w:w="1076"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2</w:t>
            </w:r>
          </w:p>
        </w:tc>
        <w:tc>
          <w:tcPr>
            <w:tcW w:w="2395"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激光框架立体定位系统</w:t>
            </w:r>
          </w:p>
        </w:tc>
        <w:tc>
          <w:tcPr>
            <w:tcW w:w="96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82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2098"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10</w:t>
            </w:r>
          </w:p>
        </w:tc>
        <w:tc>
          <w:tcPr>
            <w:tcW w:w="1259"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p>
        </w:tc>
      </w:tr>
      <w:tr w:rsidR="00A41E59" w:rsidTr="00A527DB">
        <w:trPr>
          <w:trHeight w:val="438"/>
          <w:jc w:val="center"/>
        </w:trPr>
        <w:tc>
          <w:tcPr>
            <w:tcW w:w="1076"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3</w:t>
            </w:r>
          </w:p>
        </w:tc>
        <w:tc>
          <w:tcPr>
            <w:tcW w:w="2395"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蒸汽清洗机</w:t>
            </w:r>
          </w:p>
        </w:tc>
        <w:tc>
          <w:tcPr>
            <w:tcW w:w="96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82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2098"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4</w:t>
            </w:r>
          </w:p>
        </w:tc>
        <w:tc>
          <w:tcPr>
            <w:tcW w:w="1259"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p>
        </w:tc>
      </w:tr>
      <w:tr w:rsidR="00A41E59" w:rsidTr="00A527DB">
        <w:trPr>
          <w:trHeight w:val="462"/>
          <w:jc w:val="center"/>
        </w:trPr>
        <w:tc>
          <w:tcPr>
            <w:tcW w:w="1076"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r>
              <w:rPr>
                <w:rFonts w:ascii="仿宋" w:eastAsia="仿宋" w:hAnsi="仿宋" w:cs="仿宋" w:hint="eastAsia"/>
                <w:color w:val="000000"/>
                <w:szCs w:val="21"/>
              </w:rPr>
              <w:t>4</w:t>
            </w:r>
          </w:p>
        </w:tc>
        <w:tc>
          <w:tcPr>
            <w:tcW w:w="2395"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烟雾净化器</w:t>
            </w:r>
          </w:p>
        </w:tc>
        <w:tc>
          <w:tcPr>
            <w:tcW w:w="96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822"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2098"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0.7</w:t>
            </w:r>
          </w:p>
        </w:tc>
        <w:tc>
          <w:tcPr>
            <w:tcW w:w="1259" w:type="dxa"/>
            <w:tcBorders>
              <w:top w:val="single" w:sz="4" w:space="0" w:color="auto"/>
              <w:left w:val="single" w:sz="4" w:space="0" w:color="auto"/>
              <w:bottom w:val="single" w:sz="4" w:space="0" w:color="auto"/>
              <w:right w:val="single" w:sz="4" w:space="0" w:color="auto"/>
            </w:tcBorders>
            <w:vAlign w:val="center"/>
          </w:tcPr>
          <w:p w:rsidR="00A41E59" w:rsidRDefault="00A41E59" w:rsidP="00A527DB">
            <w:pPr>
              <w:jc w:val="center"/>
              <w:rPr>
                <w:rFonts w:ascii="仿宋" w:eastAsia="仿宋" w:hAnsi="仿宋" w:cs="仿宋"/>
                <w:color w:val="000000"/>
                <w:szCs w:val="21"/>
              </w:rPr>
            </w:pPr>
          </w:p>
        </w:tc>
      </w:tr>
    </w:tbl>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（一）、除颤监护仪</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1、国产知名品牌多功能除颤监护仪，具备手动除颤、心电监护、呼吸监护功能，支持中文操作界面。</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2、重量：≤6.1kg，含电池、体外板和心电导联线。</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lastRenderedPageBreak/>
        <w:t>3、彩色TFT显示屏≥7英寸, 分辨率800×480像素，可显示≥3通道监护参数波形，有高对比度显示界面。</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4、屏幕显示心电波形扫描时间≥16s。</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★5、除颤采用双相波技术，具备自动阻抗补偿功能，最大能量可达360J。</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6、手动除颤分为同步和非同步两种方式，能量分20档以上，可通过体外电极板进行能量选择。</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7、体外除颤电极板同时支持成人和小儿，一体化设计，支持快速切换。</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8、电极板支持能量选择，充电和放电三步操作，满足单人除颤操作。</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★9、支持快速除颤，可达到开机≤2s，充电至200J≤3s，心电波形基线恢复≤2.5s。</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10、支持病人接触状态和阻抗值实时显示。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11、心电波形速度支持50 mm/s、25 mm/s、12.5 mm/s、6.25 mm/s。</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★12、通过心电电极片可监测的心律失常分析种类≥24种。</w:t>
      </w:r>
    </w:p>
    <w:p w:rsidR="00A41E59" w:rsidRDefault="00A41E59" w:rsidP="00A41E59">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提供的监护参数适用于成人，小儿和新生儿，并通过国家三类注册认证。</w:t>
      </w:r>
      <w:bookmarkStart w:id="1" w:name="OLE_LINK26"/>
      <w:bookmarkStart w:id="2" w:name="OLE_LINK27"/>
    </w:p>
    <w:p w:rsidR="00A41E59" w:rsidRDefault="00A41E59" w:rsidP="00A41E59">
      <w:pPr>
        <w:widowControl/>
        <w:numPr>
          <w:ilvl w:val="0"/>
          <w:numId w:val="2"/>
        </w:numPr>
        <w:jc w:val="left"/>
        <w:textAlignment w:val="center"/>
        <w:rPr>
          <w:rFonts w:ascii="仿宋" w:eastAsia="仿宋" w:hAnsi="仿宋" w:cs="仿宋"/>
          <w:color w:val="000000"/>
          <w:szCs w:val="21"/>
        </w:rPr>
      </w:pPr>
      <w:r>
        <w:rPr>
          <w:rFonts w:ascii="仿宋" w:eastAsia="仿宋" w:hAnsi="仿宋" w:cs="仿宋" w:hint="eastAsia"/>
          <w:color w:val="000000"/>
          <w:szCs w:val="21"/>
        </w:rPr>
        <w:t>标配外置锂电池，可支持200J除颤≥300次。</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★15、无创血压收缩压测量范围：25-290mmHg（成人）、25-240mmHg（小儿）、25-140mmHg（新生儿），舒张压测量范围：10-250mmHg（成人）、10-200mmHg（小儿），10-115mmHg（新生儿）。</w:t>
      </w:r>
      <w:bookmarkEnd w:id="1"/>
      <w:bookmarkEnd w:id="2"/>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16、具备生理报警和技术报警功能，通过声音、文字和灯光3种方式进行报警。</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17、配置50mm记录纸记录仪，自动打印除颤记录，单次波形记录时间最大不小于30s；支持连续波形记录。</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18、关机状态下设备支持每天定时自动运行自检，支持定期自动大能量自检（最大放电能量）。</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19、具备良好的防尘防水性能，防尘防水级别IP44。</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（二）、激光框架立体定位系统</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1、产品用途：适用于实施颅脑手术前，根据CT影像学数据，定位出颅内靶点在体表的投影位置，手术包括颅内血肿穿刺，脑脓肿穿刺，颅内组织活检等；</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2、标记范围：≥200mm*250mm*90mm的立方体空间范围；</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★3、标尺刻度最小量程：≤1mm；</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4、激光器数量：≥6个；</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★5、激光器类型：130度 一字线激光 线宽≤1nm；</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★6、激光器波长：红色激光：635nm±5nm；绿色激光：520nm±5nm；</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7、电源：锂离子充电电池（3.7v，70mAh，充放电1c，带保护板）；</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8、是否有专用耗材：可适配市面上大部分穿刺引流套装或提供同品牌穿刺引流套装；</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★9、运行模式：连续工作；</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10、其他安全要求：</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1）按防电击程度分类：B型应用部分；</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2）按对进液的防护程度分类：不适用；</w:t>
      </w:r>
    </w:p>
    <w:p w:rsidR="00A41E59" w:rsidRDefault="00A41E59" w:rsidP="00A41E59">
      <w:pPr>
        <w:widowControl/>
        <w:textAlignment w:val="center"/>
        <w:rPr>
          <w:rFonts w:ascii="仿宋" w:eastAsia="仿宋" w:hAnsi="仿宋" w:cs="仿宋"/>
          <w:color w:val="000000"/>
          <w:szCs w:val="21"/>
        </w:rPr>
      </w:pPr>
      <w:r>
        <w:rPr>
          <w:rFonts w:ascii="仿宋" w:eastAsia="仿宋" w:hAnsi="仿宋" w:cs="仿宋" w:hint="eastAsia"/>
          <w:color w:val="000000"/>
          <w:szCs w:val="21"/>
        </w:rPr>
        <w:t>3）按在与空气混合的易燃麻醉气或与氧或氧化亚氮混合的易燃麻醉气情况下使用时的安全程度分类：非AP/APG型；</w:t>
      </w:r>
    </w:p>
    <w:p w:rsidR="00A41E59" w:rsidRDefault="00A41E59" w:rsidP="00A41E59">
      <w:pPr>
        <w:widowControl/>
        <w:textAlignment w:val="center"/>
        <w:rPr>
          <w:rFonts w:ascii="仿宋" w:eastAsia="仿宋" w:hAnsi="仿宋" w:cs="仿宋"/>
          <w:color w:val="000000"/>
          <w:szCs w:val="21"/>
        </w:rPr>
      </w:pPr>
      <w:r>
        <w:rPr>
          <w:rFonts w:ascii="仿宋" w:eastAsia="仿宋" w:hAnsi="仿宋" w:cs="仿宋" w:hint="eastAsia"/>
          <w:color w:val="000000"/>
          <w:szCs w:val="21"/>
        </w:rPr>
        <w:t>4）设备是否具有信号输入、信号输出部分：否；</w:t>
      </w:r>
    </w:p>
    <w:p w:rsidR="00A41E59" w:rsidRDefault="00A41E59" w:rsidP="00A41E59">
      <w:pPr>
        <w:widowControl/>
        <w:textAlignment w:val="center"/>
        <w:rPr>
          <w:rFonts w:ascii="仿宋" w:eastAsia="仿宋" w:hAnsi="仿宋" w:cs="仿宋"/>
          <w:color w:val="000000"/>
          <w:szCs w:val="21"/>
        </w:rPr>
      </w:pPr>
      <w:r>
        <w:rPr>
          <w:rFonts w:ascii="仿宋" w:eastAsia="仿宋" w:hAnsi="仿宋" w:cs="仿宋" w:hint="eastAsia"/>
          <w:color w:val="000000"/>
          <w:szCs w:val="21"/>
        </w:rPr>
        <w:t>5）永久性安装设备或非永久性安装设备：非永久性安装设备；</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6）电磁兼容按GB 4824分类：1组B类。</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配置清单</w:t>
      </w:r>
    </w:p>
    <w:tbl>
      <w:tblPr>
        <w:tblStyle w:val="1"/>
        <w:tblW w:w="0" w:type="auto"/>
        <w:tblLook w:val="04A0"/>
      </w:tblPr>
      <w:tblGrid>
        <w:gridCol w:w="701"/>
        <w:gridCol w:w="4149"/>
        <w:gridCol w:w="1369"/>
        <w:gridCol w:w="1303"/>
      </w:tblGrid>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序号</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配件</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数量</w:t>
            </w:r>
          </w:p>
        </w:tc>
        <w:tc>
          <w:tcPr>
            <w:tcW w:w="1303"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备注</w:t>
            </w:r>
          </w:p>
        </w:tc>
      </w:tr>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底板</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1套</w:t>
            </w:r>
          </w:p>
        </w:tc>
        <w:tc>
          <w:tcPr>
            <w:tcW w:w="1303" w:type="dxa"/>
          </w:tcPr>
          <w:p w:rsidR="00A41E59" w:rsidRDefault="00A41E59" w:rsidP="00A527DB">
            <w:pPr>
              <w:widowControl/>
              <w:jc w:val="center"/>
              <w:textAlignment w:val="center"/>
              <w:rPr>
                <w:rFonts w:ascii="仿宋" w:eastAsia="仿宋" w:hAnsi="仿宋" w:cs="仿宋"/>
                <w:color w:val="000000"/>
                <w:szCs w:val="21"/>
              </w:rPr>
            </w:pPr>
          </w:p>
        </w:tc>
      </w:tr>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lastRenderedPageBreak/>
              <w:t>2</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龙门架及配件</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1套</w:t>
            </w:r>
          </w:p>
        </w:tc>
        <w:tc>
          <w:tcPr>
            <w:tcW w:w="1303" w:type="dxa"/>
          </w:tcPr>
          <w:p w:rsidR="00A41E59" w:rsidRDefault="00A41E59" w:rsidP="00A527DB">
            <w:pPr>
              <w:widowControl/>
              <w:jc w:val="center"/>
              <w:textAlignment w:val="center"/>
              <w:rPr>
                <w:rFonts w:ascii="仿宋" w:eastAsia="仿宋" w:hAnsi="仿宋" w:cs="仿宋"/>
                <w:color w:val="000000"/>
                <w:szCs w:val="21"/>
              </w:rPr>
            </w:pPr>
          </w:p>
        </w:tc>
      </w:tr>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3</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横杆及配件</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2套</w:t>
            </w:r>
          </w:p>
        </w:tc>
        <w:tc>
          <w:tcPr>
            <w:tcW w:w="1303" w:type="dxa"/>
          </w:tcPr>
          <w:p w:rsidR="00A41E59" w:rsidRDefault="00A41E59" w:rsidP="00A527DB">
            <w:pPr>
              <w:widowControl/>
              <w:jc w:val="center"/>
              <w:textAlignment w:val="center"/>
              <w:rPr>
                <w:rFonts w:ascii="仿宋" w:eastAsia="仿宋" w:hAnsi="仿宋" w:cs="仿宋"/>
                <w:color w:val="000000"/>
                <w:szCs w:val="21"/>
              </w:rPr>
            </w:pPr>
          </w:p>
        </w:tc>
      </w:tr>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4</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锂电池</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8个</w:t>
            </w:r>
          </w:p>
        </w:tc>
        <w:tc>
          <w:tcPr>
            <w:tcW w:w="1303"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含2个备用</w:t>
            </w:r>
          </w:p>
        </w:tc>
      </w:tr>
      <w:tr w:rsidR="00A41E59" w:rsidTr="00A527DB">
        <w:tc>
          <w:tcPr>
            <w:tcW w:w="701"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5</w:t>
            </w:r>
          </w:p>
        </w:tc>
        <w:tc>
          <w:tcPr>
            <w:tcW w:w="4149" w:type="dxa"/>
          </w:tcPr>
          <w:p w:rsidR="00A41E59" w:rsidRDefault="00A41E59" w:rsidP="00A527DB">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充电器</w:t>
            </w:r>
          </w:p>
        </w:tc>
        <w:tc>
          <w:tcPr>
            <w:tcW w:w="1369" w:type="dxa"/>
          </w:tcPr>
          <w:p w:rsidR="00A41E59" w:rsidRDefault="00A41E59" w:rsidP="00A527DB">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1个</w:t>
            </w:r>
          </w:p>
        </w:tc>
        <w:tc>
          <w:tcPr>
            <w:tcW w:w="1303" w:type="dxa"/>
          </w:tcPr>
          <w:p w:rsidR="00A41E59" w:rsidRDefault="00A41E59" w:rsidP="00A527DB">
            <w:pPr>
              <w:widowControl/>
              <w:jc w:val="center"/>
              <w:textAlignment w:val="center"/>
              <w:rPr>
                <w:rFonts w:ascii="仿宋" w:eastAsia="仿宋" w:hAnsi="仿宋" w:cs="仿宋"/>
                <w:color w:val="000000"/>
                <w:szCs w:val="21"/>
              </w:rPr>
            </w:pPr>
          </w:p>
        </w:tc>
      </w:tr>
    </w:tbl>
    <w:p w:rsidR="00A41E59" w:rsidRDefault="00A41E59" w:rsidP="00A41E59">
      <w:pPr>
        <w:widowControl/>
        <w:jc w:val="left"/>
        <w:textAlignment w:val="center"/>
        <w:rPr>
          <w:rFonts w:ascii="仿宋" w:eastAsia="仿宋" w:hAnsi="仿宋" w:cs="仿宋"/>
          <w:color w:val="000000"/>
          <w:szCs w:val="21"/>
        </w:rPr>
      </w:pP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（三）、蒸汽清洗机</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1、材质要求：外罩采用SUS304不锈钢拉丝板，板材厚度≥1mm；罐体材料为优质不锈钢筒体，壁厚≥3mm。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2、容积要求：5L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喷蒸汽系统要求：手柄按键式操作，简单便捷，且只有在“喷蒸汽”状态下，按键才起到喷蒸汽作用，防止了操作人员的误操作，更安全可靠；蒸汽产生量与蒸汽压力值呈正相关；连续喷气40min内，无任何异常；连续喷气时最后压力稳定值应≥0.28Mpa。</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4、蒸汽压力要求：蒸汽压力值可设定，设定范围为0-0.55Mpa，用户可根据实际所清洗物品的情况，合理设置压力值，更加人性化。</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加热系统要求：加热管功率为2.5kVA,第一锅从常温水加热到0.55Mpa用时应≤16min；根据设定的压力值自动控制加热系统的启动与切断：压力低于设定值时，加热管启动工作，达到设定值，立即切断加热系统，安全可靠。</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（四）、烟雾净化器</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1、调节功能：电压控制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2、范围风量：260～360m3/h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3、额定功率：120～200W </w:t>
      </w:r>
    </w:p>
    <w:p w:rsidR="00A41E59" w:rsidRDefault="00A41E59" w:rsidP="00A41E59">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4、除烟效果；无烟雾</w:t>
      </w:r>
    </w:p>
    <w:p w:rsidR="00A41E59" w:rsidRDefault="00A41E59" w:rsidP="00A41E59">
      <w:pPr>
        <w:pStyle w:val="New"/>
        <w:spacing w:before="156" w:line="400" w:lineRule="exact"/>
        <w:ind w:left="0" w:firstLine="0"/>
        <w:rPr>
          <w:rFonts w:ascii="仿宋" w:eastAsia="仿宋" w:hAnsi="仿宋" w:cs="仿宋"/>
          <w:b/>
          <w:sz w:val="18"/>
          <w:szCs w:val="18"/>
        </w:rPr>
      </w:pPr>
      <w:r>
        <w:rPr>
          <w:rFonts w:ascii="仿宋" w:eastAsia="仿宋" w:hAnsi="仿宋" w:cs="仿宋" w:hint="eastAsia"/>
          <w:b/>
        </w:rPr>
        <w:t>注：带</w:t>
      </w:r>
      <w:r>
        <w:rPr>
          <w:rFonts w:asciiTheme="minorEastAsia" w:eastAsiaTheme="minorEastAsia" w:hAnsiTheme="minorEastAsia" w:hint="eastAsia"/>
          <w:bCs/>
          <w:color w:val="000000"/>
          <w:sz w:val="24"/>
          <w:szCs w:val="24"/>
        </w:rPr>
        <w:t>★</w:t>
      </w:r>
      <w:r>
        <w:rPr>
          <w:rFonts w:ascii="仿宋" w:eastAsia="仿宋" w:hAnsi="仿宋" w:cs="仿宋" w:hint="eastAsia"/>
          <w:b/>
        </w:rPr>
        <w:t>号项为关键参数要求（如有）。</w:t>
      </w:r>
    </w:p>
    <w:p w:rsidR="00A41E59" w:rsidRDefault="00A41E59" w:rsidP="00A41E59">
      <w:pPr>
        <w:keepNext/>
        <w:keepLines/>
        <w:numPr>
          <w:ilvl w:val="0"/>
          <w:numId w:val="3"/>
        </w:numPr>
        <w:autoSpaceDE w:val="0"/>
        <w:autoSpaceDN w:val="0"/>
        <w:adjustRightInd w:val="0"/>
        <w:spacing w:line="400" w:lineRule="exact"/>
        <w:ind w:left="-472" w:firstLine="472"/>
        <w:jc w:val="left"/>
        <w:outlineLvl w:val="2"/>
        <w:rPr>
          <w:rFonts w:ascii="仿宋" w:eastAsia="仿宋" w:hAnsi="仿宋" w:cs="仿宋"/>
          <w:b/>
          <w:kern w:val="0"/>
          <w:sz w:val="24"/>
        </w:rPr>
      </w:pPr>
      <w:bookmarkStart w:id="3" w:name="_Toc15427"/>
      <w:bookmarkStart w:id="4" w:name="_Toc4579"/>
      <w:r>
        <w:rPr>
          <w:rFonts w:ascii="仿宋" w:eastAsia="仿宋" w:hAnsi="仿宋" w:cs="仿宋" w:hint="eastAsia"/>
          <w:b/>
          <w:kern w:val="0"/>
          <w:sz w:val="24"/>
        </w:rPr>
        <w:t>人员培训要求</w:t>
      </w:r>
      <w:bookmarkEnd w:id="3"/>
      <w:bookmarkEnd w:id="4"/>
    </w:p>
    <w:p w:rsidR="00A41E59" w:rsidRDefault="00A41E59" w:rsidP="00A41E59">
      <w:pPr>
        <w:widowControl/>
        <w:spacing w:line="400" w:lineRule="exact"/>
        <w:ind w:firstLine="480"/>
        <w:jc w:val="left"/>
        <w:rPr>
          <w:rFonts w:ascii="仿宋" w:eastAsia="仿宋" w:hAnsi="仿宋" w:cs="仿宋"/>
          <w:szCs w:val="21"/>
        </w:rPr>
      </w:pPr>
      <w:r>
        <w:rPr>
          <w:rFonts w:ascii="仿宋" w:eastAsia="仿宋" w:hAnsi="仿宋" w:cs="仿宋" w:hint="eastAsia"/>
          <w:szCs w:val="21"/>
        </w:rPr>
        <w:t>货物安装、调试、验收合格后，中标人应对采购人的相关人员进行免费现场培训。培训内容包括基本操作、保养维修、常见故障及解决办法等。</w:t>
      </w:r>
    </w:p>
    <w:p w:rsidR="00A41E59" w:rsidRDefault="00A41E59" w:rsidP="00A41E59">
      <w:pPr>
        <w:shd w:val="clear" w:color="auto" w:fill="FFFFFF" w:themeFill="background1"/>
        <w:spacing w:line="400" w:lineRule="exact"/>
        <w:outlineLvl w:val="1"/>
        <w:rPr>
          <w:rFonts w:ascii="仿宋" w:eastAsia="仿宋" w:hAnsi="仿宋" w:cs="仿宋"/>
          <w:b/>
          <w:bCs/>
          <w:sz w:val="24"/>
        </w:rPr>
      </w:pPr>
      <w:r>
        <w:rPr>
          <w:rFonts w:ascii="仿宋" w:eastAsia="仿宋" w:hAnsi="仿宋" w:cs="仿宋" w:hint="eastAsia"/>
          <w:b/>
          <w:sz w:val="24"/>
        </w:rPr>
        <w:t>四、</w:t>
      </w:r>
      <w:r>
        <w:rPr>
          <w:rFonts w:ascii="仿宋" w:eastAsia="仿宋" w:hAnsi="仿宋" w:cs="仿宋" w:hint="eastAsia"/>
          <w:b/>
          <w:bCs/>
          <w:sz w:val="24"/>
        </w:rPr>
        <w:t>报价要求</w:t>
      </w:r>
    </w:p>
    <w:p w:rsidR="00A41E59" w:rsidRDefault="00A41E59" w:rsidP="00A41E59">
      <w:pPr>
        <w:shd w:val="clear" w:color="auto" w:fill="FFFFFF" w:themeFill="background1"/>
        <w:spacing w:line="400" w:lineRule="exact"/>
        <w:ind w:firstLineChars="200" w:firstLine="420"/>
        <w:rPr>
          <w:rFonts w:ascii="仿宋" w:eastAsia="仿宋" w:hAnsi="仿宋" w:cs="仿宋"/>
          <w:szCs w:val="21"/>
        </w:rPr>
      </w:pPr>
      <w:r>
        <w:rPr>
          <w:rFonts w:ascii="仿宋" w:eastAsia="仿宋" w:hAnsi="仿宋" w:cs="仿宋" w:hint="eastAsia"/>
          <w:color w:val="000000"/>
          <w:szCs w:val="21"/>
        </w:rPr>
        <w:t>本项目报总价及分项报价。报价包含本项目需求的全部货物及所需附件购置费、配套设备、包装费、运输费、人工费、保险费、安装调试费（中标人应服从院方统一管理，规范施工，确保安全生产。如涉及墙面，电路，装修等改动产生的相关费用请综合考虑，包含在总报价中）、各种税费、资料费、售后服务费及完成项目应有的全部费用（</w:t>
      </w:r>
      <w:r>
        <w:rPr>
          <w:rFonts w:ascii="仿宋" w:eastAsia="仿宋" w:hAnsi="仿宋" w:cs="仿宋" w:hint="eastAsia"/>
          <w:bCs/>
          <w:szCs w:val="21"/>
        </w:rPr>
        <w:t>除上述采购需求列明的货物需求外，如投标人所投产品须配套其他必要的货物方可正常使用的，投标人须为本项目配备，如与医院系统端口连接等，涉及开放接口的,采购人负责协调接口开放,费用包含在报价中），采购人后期不再追加任何费用，请投标人谨慎报价。</w:t>
      </w:r>
    </w:p>
    <w:p w:rsidR="00A41E59" w:rsidRDefault="00A41E59" w:rsidP="00A41E59">
      <w:pPr>
        <w:keepNext/>
        <w:keepLines/>
        <w:autoSpaceDE w:val="0"/>
        <w:autoSpaceDN w:val="0"/>
        <w:adjustRightInd w:val="0"/>
        <w:spacing w:line="400" w:lineRule="exact"/>
        <w:ind w:firstLineChars="196" w:firstLine="472"/>
        <w:jc w:val="left"/>
        <w:outlineLvl w:val="2"/>
        <w:rPr>
          <w:rFonts w:ascii="仿宋" w:eastAsia="仿宋" w:hAnsi="仿宋" w:cs="仿宋"/>
          <w:b/>
          <w:kern w:val="0"/>
          <w:sz w:val="24"/>
        </w:rPr>
      </w:pPr>
      <w:bookmarkStart w:id="5" w:name="_Toc21193"/>
      <w:bookmarkStart w:id="6" w:name="_Toc23557"/>
      <w:r>
        <w:rPr>
          <w:rFonts w:ascii="仿宋" w:eastAsia="仿宋" w:hAnsi="仿宋" w:cs="仿宋" w:hint="eastAsia"/>
          <w:b/>
          <w:kern w:val="0"/>
          <w:sz w:val="24"/>
        </w:rPr>
        <w:t>五、货物质量及售后服务要求</w:t>
      </w:r>
      <w:bookmarkEnd w:id="5"/>
      <w:bookmarkEnd w:id="6"/>
    </w:p>
    <w:p w:rsidR="00A41E59" w:rsidRDefault="00A41E59" w:rsidP="00A41E59">
      <w:pPr>
        <w:widowControl/>
        <w:spacing w:line="400" w:lineRule="exact"/>
        <w:jc w:val="left"/>
        <w:rPr>
          <w:rFonts w:ascii="仿宋" w:eastAsia="仿宋" w:hAnsi="仿宋" w:cs="仿宋"/>
          <w:szCs w:val="21"/>
        </w:rPr>
      </w:pPr>
      <w:r>
        <w:rPr>
          <w:rFonts w:ascii="仿宋" w:eastAsia="仿宋" w:hAnsi="仿宋" w:cs="仿宋" w:hint="eastAsia"/>
          <w:szCs w:val="21"/>
        </w:rPr>
        <w:t xml:space="preserve">  1、货物质量：中标人提供的货物必须是全新、原装、合格正品，完全符合国家规定的质量标准和厂方的标准。货物完好，配件齐全。</w:t>
      </w:r>
    </w:p>
    <w:p w:rsidR="00A41E59" w:rsidRDefault="00A41E59" w:rsidP="00A41E59">
      <w:pPr>
        <w:widowControl/>
        <w:spacing w:line="400" w:lineRule="exact"/>
        <w:ind w:firstLine="420"/>
        <w:jc w:val="left"/>
        <w:rPr>
          <w:rFonts w:ascii="仿宋" w:eastAsia="仿宋" w:hAnsi="仿宋" w:cs="仿宋"/>
          <w:szCs w:val="21"/>
        </w:rPr>
      </w:pPr>
      <w:r>
        <w:rPr>
          <w:rFonts w:ascii="仿宋" w:eastAsia="仿宋" w:hAnsi="仿宋" w:cs="仿宋" w:hint="eastAsia"/>
          <w:szCs w:val="21"/>
        </w:rPr>
        <w:lastRenderedPageBreak/>
        <w:t>2、保修及售后服务：依据商品的保修条款及售后服务条款，提供原厂质保，质保期按照国家规定，且不低于1年。质保期从货物验收合格后算起。</w:t>
      </w:r>
    </w:p>
    <w:p w:rsidR="00A41E59" w:rsidRDefault="00A41E59" w:rsidP="00A41E59">
      <w:pPr>
        <w:keepNext/>
        <w:keepLines/>
        <w:autoSpaceDE w:val="0"/>
        <w:autoSpaceDN w:val="0"/>
        <w:adjustRightInd w:val="0"/>
        <w:spacing w:line="400" w:lineRule="exact"/>
        <w:ind w:firstLineChars="196" w:firstLine="472"/>
        <w:jc w:val="left"/>
        <w:outlineLvl w:val="2"/>
        <w:rPr>
          <w:rFonts w:ascii="仿宋" w:eastAsia="仿宋" w:hAnsi="仿宋" w:cs="仿宋"/>
          <w:b/>
          <w:kern w:val="0"/>
          <w:sz w:val="24"/>
        </w:rPr>
      </w:pPr>
      <w:bookmarkStart w:id="7" w:name="_Toc7485"/>
      <w:bookmarkStart w:id="8" w:name="_Toc23093"/>
      <w:r>
        <w:rPr>
          <w:rFonts w:ascii="仿宋" w:eastAsia="仿宋" w:hAnsi="仿宋" w:cs="仿宋" w:hint="eastAsia"/>
          <w:b/>
          <w:kern w:val="0"/>
          <w:sz w:val="24"/>
        </w:rPr>
        <w:t>六、验收</w:t>
      </w:r>
      <w:bookmarkEnd w:id="7"/>
      <w:bookmarkEnd w:id="8"/>
    </w:p>
    <w:p w:rsidR="00A41E59" w:rsidRDefault="00A41E59" w:rsidP="00A41E59">
      <w:pPr>
        <w:widowControl/>
        <w:spacing w:line="400" w:lineRule="exact"/>
        <w:ind w:firstLine="480"/>
        <w:jc w:val="left"/>
      </w:pPr>
      <w:r>
        <w:rPr>
          <w:rFonts w:ascii="仿宋" w:eastAsia="仿宋" w:hAnsi="仿宋" w:cs="仿宋" w:hint="eastAsia"/>
          <w:szCs w:val="21"/>
        </w:rPr>
        <w:t>中标人和采购人双方共同实施验收工作，结果和验收报告经双方确认后生效。</w:t>
      </w:r>
      <w:bookmarkStart w:id="9" w:name="_GoBack"/>
      <w:bookmarkEnd w:id="9"/>
    </w:p>
    <w:p w:rsidR="000D0C86" w:rsidRPr="00A41E59" w:rsidRDefault="000D0C86"/>
    <w:sectPr w:rsidR="000D0C86" w:rsidRPr="00A41E59" w:rsidSect="000D0C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BC8377"/>
    <w:multiLevelType w:val="singleLevel"/>
    <w:tmpl w:val="A9BC8377"/>
    <w:lvl w:ilvl="0">
      <w:start w:val="3"/>
      <w:numFmt w:val="chineseCounting"/>
      <w:suff w:val="nothing"/>
      <w:lvlText w:val="%1、"/>
      <w:lvlJc w:val="left"/>
      <w:rPr>
        <w:rFonts w:hint="eastAsia"/>
      </w:rPr>
    </w:lvl>
  </w:abstractNum>
  <w:abstractNum w:abstractNumId="1">
    <w:nsid w:val="D99CA2BD"/>
    <w:multiLevelType w:val="singleLevel"/>
    <w:tmpl w:val="D99CA2BD"/>
    <w:lvl w:ilvl="0">
      <w:start w:val="2"/>
      <w:numFmt w:val="chineseCounting"/>
      <w:suff w:val="nothing"/>
      <w:lvlText w:val="%1、"/>
      <w:lvlJc w:val="left"/>
      <w:rPr>
        <w:rFonts w:hint="eastAsia"/>
      </w:rPr>
    </w:lvl>
  </w:abstractNum>
  <w:abstractNum w:abstractNumId="2">
    <w:nsid w:val="32A15DD1"/>
    <w:multiLevelType w:val="singleLevel"/>
    <w:tmpl w:val="32A15DD1"/>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E59"/>
    <w:rsid w:val="00000875"/>
    <w:rsid w:val="000106C4"/>
    <w:rsid w:val="00010DEE"/>
    <w:rsid w:val="00022D3D"/>
    <w:rsid w:val="00023CFB"/>
    <w:rsid w:val="00026D98"/>
    <w:rsid w:val="00032203"/>
    <w:rsid w:val="00070225"/>
    <w:rsid w:val="00073120"/>
    <w:rsid w:val="00077009"/>
    <w:rsid w:val="0008464B"/>
    <w:rsid w:val="00095662"/>
    <w:rsid w:val="00097179"/>
    <w:rsid w:val="000A23B8"/>
    <w:rsid w:val="000A2597"/>
    <w:rsid w:val="000A389C"/>
    <w:rsid w:val="000A5DB2"/>
    <w:rsid w:val="000B046F"/>
    <w:rsid w:val="000B54AE"/>
    <w:rsid w:val="000B7526"/>
    <w:rsid w:val="000C09C6"/>
    <w:rsid w:val="000D0075"/>
    <w:rsid w:val="000D0C86"/>
    <w:rsid w:val="000D17A2"/>
    <w:rsid w:val="000D1E2F"/>
    <w:rsid w:val="000D506B"/>
    <w:rsid w:val="000D53F1"/>
    <w:rsid w:val="000E2CDD"/>
    <w:rsid w:val="000E44EE"/>
    <w:rsid w:val="000E5755"/>
    <w:rsid w:val="000F1125"/>
    <w:rsid w:val="000F6987"/>
    <w:rsid w:val="000F6EA6"/>
    <w:rsid w:val="000F7B7A"/>
    <w:rsid w:val="00106E04"/>
    <w:rsid w:val="0011375C"/>
    <w:rsid w:val="001158BE"/>
    <w:rsid w:val="00116DB7"/>
    <w:rsid w:val="001327BB"/>
    <w:rsid w:val="001327EB"/>
    <w:rsid w:val="00132DEE"/>
    <w:rsid w:val="001501A4"/>
    <w:rsid w:val="001516EF"/>
    <w:rsid w:val="00161EE3"/>
    <w:rsid w:val="001661DB"/>
    <w:rsid w:val="00173402"/>
    <w:rsid w:val="00175EEA"/>
    <w:rsid w:val="0018507F"/>
    <w:rsid w:val="00190BB3"/>
    <w:rsid w:val="001910E0"/>
    <w:rsid w:val="0019460E"/>
    <w:rsid w:val="001976C2"/>
    <w:rsid w:val="001A6BE7"/>
    <w:rsid w:val="001B110B"/>
    <w:rsid w:val="001B77E6"/>
    <w:rsid w:val="001C48D1"/>
    <w:rsid w:val="001C59AA"/>
    <w:rsid w:val="001D00B4"/>
    <w:rsid w:val="001D79E7"/>
    <w:rsid w:val="001E2937"/>
    <w:rsid w:val="001F0ED7"/>
    <w:rsid w:val="001F19FB"/>
    <w:rsid w:val="002009D9"/>
    <w:rsid w:val="0020483B"/>
    <w:rsid w:val="002048B7"/>
    <w:rsid w:val="00204D2D"/>
    <w:rsid w:val="00205603"/>
    <w:rsid w:val="00205F8E"/>
    <w:rsid w:val="00211E7E"/>
    <w:rsid w:val="002143C0"/>
    <w:rsid w:val="00215796"/>
    <w:rsid w:val="0022378C"/>
    <w:rsid w:val="0022463A"/>
    <w:rsid w:val="00224E2E"/>
    <w:rsid w:val="00230EF0"/>
    <w:rsid w:val="00231B5C"/>
    <w:rsid w:val="002456AA"/>
    <w:rsid w:val="00246AD6"/>
    <w:rsid w:val="00254350"/>
    <w:rsid w:val="0025492B"/>
    <w:rsid w:val="002669E3"/>
    <w:rsid w:val="0028198C"/>
    <w:rsid w:val="00282F82"/>
    <w:rsid w:val="00284EE0"/>
    <w:rsid w:val="00285DCA"/>
    <w:rsid w:val="002909EA"/>
    <w:rsid w:val="002A253B"/>
    <w:rsid w:val="002A33DA"/>
    <w:rsid w:val="002B0AD1"/>
    <w:rsid w:val="002B309A"/>
    <w:rsid w:val="002B3925"/>
    <w:rsid w:val="002B40A9"/>
    <w:rsid w:val="002D2996"/>
    <w:rsid w:val="002D33AE"/>
    <w:rsid w:val="002D5279"/>
    <w:rsid w:val="002D59BA"/>
    <w:rsid w:val="002D720E"/>
    <w:rsid w:val="002E03ED"/>
    <w:rsid w:val="002E44F8"/>
    <w:rsid w:val="002E709F"/>
    <w:rsid w:val="002F0B55"/>
    <w:rsid w:val="002F4B2E"/>
    <w:rsid w:val="002F7BD0"/>
    <w:rsid w:val="00300BEC"/>
    <w:rsid w:val="00300CA6"/>
    <w:rsid w:val="003034A5"/>
    <w:rsid w:val="0030513B"/>
    <w:rsid w:val="00305B4B"/>
    <w:rsid w:val="00311B4E"/>
    <w:rsid w:val="003120D8"/>
    <w:rsid w:val="003125AE"/>
    <w:rsid w:val="00316812"/>
    <w:rsid w:val="00317602"/>
    <w:rsid w:val="00317A80"/>
    <w:rsid w:val="00323505"/>
    <w:rsid w:val="00323A6C"/>
    <w:rsid w:val="00324D01"/>
    <w:rsid w:val="00325BB2"/>
    <w:rsid w:val="00332F37"/>
    <w:rsid w:val="00337A2B"/>
    <w:rsid w:val="00340BB0"/>
    <w:rsid w:val="00342620"/>
    <w:rsid w:val="003530A8"/>
    <w:rsid w:val="00360EAD"/>
    <w:rsid w:val="0036260F"/>
    <w:rsid w:val="0036674C"/>
    <w:rsid w:val="0037021E"/>
    <w:rsid w:val="00372002"/>
    <w:rsid w:val="00373871"/>
    <w:rsid w:val="00373BB1"/>
    <w:rsid w:val="00375E3C"/>
    <w:rsid w:val="00377D83"/>
    <w:rsid w:val="00390354"/>
    <w:rsid w:val="00394EE9"/>
    <w:rsid w:val="00395BFD"/>
    <w:rsid w:val="003A7D71"/>
    <w:rsid w:val="003A7E6B"/>
    <w:rsid w:val="003B1150"/>
    <w:rsid w:val="003C09D7"/>
    <w:rsid w:val="003C7661"/>
    <w:rsid w:val="003D10E8"/>
    <w:rsid w:val="003D3539"/>
    <w:rsid w:val="003D6BA0"/>
    <w:rsid w:val="003D7EBE"/>
    <w:rsid w:val="003E5FFD"/>
    <w:rsid w:val="003E6C71"/>
    <w:rsid w:val="003F29CB"/>
    <w:rsid w:val="003F3F39"/>
    <w:rsid w:val="003F5A4B"/>
    <w:rsid w:val="00400BA4"/>
    <w:rsid w:val="0041149C"/>
    <w:rsid w:val="004208E0"/>
    <w:rsid w:val="0042202A"/>
    <w:rsid w:val="004265A0"/>
    <w:rsid w:val="00426648"/>
    <w:rsid w:val="00430071"/>
    <w:rsid w:val="00433702"/>
    <w:rsid w:val="004371BA"/>
    <w:rsid w:val="00440EA2"/>
    <w:rsid w:val="00446F02"/>
    <w:rsid w:val="0045142F"/>
    <w:rsid w:val="004551C3"/>
    <w:rsid w:val="004614A1"/>
    <w:rsid w:val="00461C92"/>
    <w:rsid w:val="00462D65"/>
    <w:rsid w:val="00465142"/>
    <w:rsid w:val="00466869"/>
    <w:rsid w:val="00477C88"/>
    <w:rsid w:val="004851D3"/>
    <w:rsid w:val="004A1206"/>
    <w:rsid w:val="004A5062"/>
    <w:rsid w:val="004A53F3"/>
    <w:rsid w:val="004A578A"/>
    <w:rsid w:val="004B7EB6"/>
    <w:rsid w:val="004C0C16"/>
    <w:rsid w:val="004C2A9B"/>
    <w:rsid w:val="004C3888"/>
    <w:rsid w:val="004C4BA3"/>
    <w:rsid w:val="004C71B1"/>
    <w:rsid w:val="004D1435"/>
    <w:rsid w:val="004D6CF6"/>
    <w:rsid w:val="004E2B55"/>
    <w:rsid w:val="004F1E16"/>
    <w:rsid w:val="0050494D"/>
    <w:rsid w:val="00505548"/>
    <w:rsid w:val="0051377A"/>
    <w:rsid w:val="00522567"/>
    <w:rsid w:val="005301B5"/>
    <w:rsid w:val="00534B04"/>
    <w:rsid w:val="00540C85"/>
    <w:rsid w:val="00554875"/>
    <w:rsid w:val="005776FB"/>
    <w:rsid w:val="0058322B"/>
    <w:rsid w:val="0059177A"/>
    <w:rsid w:val="00591A4C"/>
    <w:rsid w:val="00591BCB"/>
    <w:rsid w:val="00595641"/>
    <w:rsid w:val="005A25EE"/>
    <w:rsid w:val="005A32B8"/>
    <w:rsid w:val="005A38CA"/>
    <w:rsid w:val="005A726D"/>
    <w:rsid w:val="005A75F5"/>
    <w:rsid w:val="005B2607"/>
    <w:rsid w:val="005B2ADD"/>
    <w:rsid w:val="005C0978"/>
    <w:rsid w:val="005C2736"/>
    <w:rsid w:val="005C289D"/>
    <w:rsid w:val="005C5B0C"/>
    <w:rsid w:val="005D14F6"/>
    <w:rsid w:val="005D5CA4"/>
    <w:rsid w:val="005D6416"/>
    <w:rsid w:val="005D6A21"/>
    <w:rsid w:val="005E3806"/>
    <w:rsid w:val="005E613D"/>
    <w:rsid w:val="005E7F0E"/>
    <w:rsid w:val="005F4F75"/>
    <w:rsid w:val="005F6111"/>
    <w:rsid w:val="006012B6"/>
    <w:rsid w:val="0061074C"/>
    <w:rsid w:val="00611015"/>
    <w:rsid w:val="00616327"/>
    <w:rsid w:val="00616A75"/>
    <w:rsid w:val="00624393"/>
    <w:rsid w:val="006429D7"/>
    <w:rsid w:val="00646438"/>
    <w:rsid w:val="00652615"/>
    <w:rsid w:val="00653AD7"/>
    <w:rsid w:val="00654490"/>
    <w:rsid w:val="00655644"/>
    <w:rsid w:val="00670DD8"/>
    <w:rsid w:val="00684B06"/>
    <w:rsid w:val="00686048"/>
    <w:rsid w:val="00687D47"/>
    <w:rsid w:val="006909D6"/>
    <w:rsid w:val="0069255E"/>
    <w:rsid w:val="0069503F"/>
    <w:rsid w:val="00696E40"/>
    <w:rsid w:val="006A0B27"/>
    <w:rsid w:val="006A1795"/>
    <w:rsid w:val="006A18A0"/>
    <w:rsid w:val="006A43B1"/>
    <w:rsid w:val="006A5D33"/>
    <w:rsid w:val="006B7733"/>
    <w:rsid w:val="006C3341"/>
    <w:rsid w:val="006C4E4D"/>
    <w:rsid w:val="006D1FF5"/>
    <w:rsid w:val="006E5CE6"/>
    <w:rsid w:val="006E670A"/>
    <w:rsid w:val="006F7ED3"/>
    <w:rsid w:val="007000BE"/>
    <w:rsid w:val="0070117B"/>
    <w:rsid w:val="00702C4D"/>
    <w:rsid w:val="00704A3B"/>
    <w:rsid w:val="00706ED0"/>
    <w:rsid w:val="0071088C"/>
    <w:rsid w:val="0071104C"/>
    <w:rsid w:val="00711723"/>
    <w:rsid w:val="0072195E"/>
    <w:rsid w:val="00733C96"/>
    <w:rsid w:val="007350EF"/>
    <w:rsid w:val="007401AA"/>
    <w:rsid w:val="00751921"/>
    <w:rsid w:val="007527C7"/>
    <w:rsid w:val="00753D76"/>
    <w:rsid w:val="00753EE0"/>
    <w:rsid w:val="00754EFC"/>
    <w:rsid w:val="00755E9C"/>
    <w:rsid w:val="0075607A"/>
    <w:rsid w:val="0076257B"/>
    <w:rsid w:val="00763D3F"/>
    <w:rsid w:val="0076724A"/>
    <w:rsid w:val="0077533C"/>
    <w:rsid w:val="00781F24"/>
    <w:rsid w:val="00792270"/>
    <w:rsid w:val="007A052F"/>
    <w:rsid w:val="007A142E"/>
    <w:rsid w:val="007A303C"/>
    <w:rsid w:val="007A3078"/>
    <w:rsid w:val="007A32EA"/>
    <w:rsid w:val="007B2514"/>
    <w:rsid w:val="007B2E8F"/>
    <w:rsid w:val="007B410F"/>
    <w:rsid w:val="007B574E"/>
    <w:rsid w:val="007B6368"/>
    <w:rsid w:val="007B65D3"/>
    <w:rsid w:val="007C2E3D"/>
    <w:rsid w:val="007C4F22"/>
    <w:rsid w:val="007C5A2C"/>
    <w:rsid w:val="007C6C96"/>
    <w:rsid w:val="007D1ED8"/>
    <w:rsid w:val="007D1F0E"/>
    <w:rsid w:val="007D646B"/>
    <w:rsid w:val="007D742E"/>
    <w:rsid w:val="007D77B4"/>
    <w:rsid w:val="007F4B94"/>
    <w:rsid w:val="007F755A"/>
    <w:rsid w:val="007F7CF8"/>
    <w:rsid w:val="0080177D"/>
    <w:rsid w:val="0080603C"/>
    <w:rsid w:val="00806FD9"/>
    <w:rsid w:val="00827363"/>
    <w:rsid w:val="00830488"/>
    <w:rsid w:val="00835CA1"/>
    <w:rsid w:val="00836826"/>
    <w:rsid w:val="00836FEE"/>
    <w:rsid w:val="00840F25"/>
    <w:rsid w:val="0084374D"/>
    <w:rsid w:val="008441A3"/>
    <w:rsid w:val="00847EB3"/>
    <w:rsid w:val="0085170D"/>
    <w:rsid w:val="00862DF5"/>
    <w:rsid w:val="00863D43"/>
    <w:rsid w:val="00864F8F"/>
    <w:rsid w:val="0086704B"/>
    <w:rsid w:val="0086744B"/>
    <w:rsid w:val="0087149A"/>
    <w:rsid w:val="00871783"/>
    <w:rsid w:val="00874676"/>
    <w:rsid w:val="00880455"/>
    <w:rsid w:val="0089483D"/>
    <w:rsid w:val="008A1BFD"/>
    <w:rsid w:val="008A3FB7"/>
    <w:rsid w:val="008B0CEC"/>
    <w:rsid w:val="008B34CE"/>
    <w:rsid w:val="008B7502"/>
    <w:rsid w:val="008E2161"/>
    <w:rsid w:val="008E5F2F"/>
    <w:rsid w:val="008E607E"/>
    <w:rsid w:val="008F2D08"/>
    <w:rsid w:val="00901AA3"/>
    <w:rsid w:val="0090592E"/>
    <w:rsid w:val="00905C70"/>
    <w:rsid w:val="00907177"/>
    <w:rsid w:val="00911292"/>
    <w:rsid w:val="00922A46"/>
    <w:rsid w:val="009436F3"/>
    <w:rsid w:val="00943A9E"/>
    <w:rsid w:val="00946DA1"/>
    <w:rsid w:val="0094764A"/>
    <w:rsid w:val="009537A2"/>
    <w:rsid w:val="0095680B"/>
    <w:rsid w:val="00957313"/>
    <w:rsid w:val="009666FD"/>
    <w:rsid w:val="00967A01"/>
    <w:rsid w:val="0097160A"/>
    <w:rsid w:val="0097200A"/>
    <w:rsid w:val="00983D8F"/>
    <w:rsid w:val="00983E7D"/>
    <w:rsid w:val="009855B9"/>
    <w:rsid w:val="0098717A"/>
    <w:rsid w:val="00990F41"/>
    <w:rsid w:val="009947C7"/>
    <w:rsid w:val="009A044F"/>
    <w:rsid w:val="009A720A"/>
    <w:rsid w:val="009B1402"/>
    <w:rsid w:val="009B3B9F"/>
    <w:rsid w:val="009B5D8C"/>
    <w:rsid w:val="009B7EF3"/>
    <w:rsid w:val="009C07D3"/>
    <w:rsid w:val="009C72A4"/>
    <w:rsid w:val="009D4F02"/>
    <w:rsid w:val="009D554A"/>
    <w:rsid w:val="009E0576"/>
    <w:rsid w:val="009F4712"/>
    <w:rsid w:val="00A005CC"/>
    <w:rsid w:val="00A03630"/>
    <w:rsid w:val="00A112D3"/>
    <w:rsid w:val="00A221E4"/>
    <w:rsid w:val="00A242BC"/>
    <w:rsid w:val="00A24BE9"/>
    <w:rsid w:val="00A327F7"/>
    <w:rsid w:val="00A35FA6"/>
    <w:rsid w:val="00A37198"/>
    <w:rsid w:val="00A37246"/>
    <w:rsid w:val="00A40590"/>
    <w:rsid w:val="00A41E59"/>
    <w:rsid w:val="00A4283D"/>
    <w:rsid w:val="00A50980"/>
    <w:rsid w:val="00A52EE5"/>
    <w:rsid w:val="00A54867"/>
    <w:rsid w:val="00A622E8"/>
    <w:rsid w:val="00A71BED"/>
    <w:rsid w:val="00A723A6"/>
    <w:rsid w:val="00A7620F"/>
    <w:rsid w:val="00A77A3B"/>
    <w:rsid w:val="00A8219C"/>
    <w:rsid w:val="00A83778"/>
    <w:rsid w:val="00A849A0"/>
    <w:rsid w:val="00A85E9C"/>
    <w:rsid w:val="00A90E3B"/>
    <w:rsid w:val="00A917FD"/>
    <w:rsid w:val="00A93F64"/>
    <w:rsid w:val="00A950F1"/>
    <w:rsid w:val="00A9514A"/>
    <w:rsid w:val="00AA127C"/>
    <w:rsid w:val="00AA5FDC"/>
    <w:rsid w:val="00AA7C56"/>
    <w:rsid w:val="00AB161E"/>
    <w:rsid w:val="00AB76E1"/>
    <w:rsid w:val="00AC54C0"/>
    <w:rsid w:val="00AD1EB7"/>
    <w:rsid w:val="00AD4954"/>
    <w:rsid w:val="00AD5D08"/>
    <w:rsid w:val="00AD6B76"/>
    <w:rsid w:val="00AD7BBF"/>
    <w:rsid w:val="00AE0C38"/>
    <w:rsid w:val="00AE3E40"/>
    <w:rsid w:val="00AE4C3E"/>
    <w:rsid w:val="00AE6BF5"/>
    <w:rsid w:val="00AE6C3F"/>
    <w:rsid w:val="00AF04F0"/>
    <w:rsid w:val="00AF49F8"/>
    <w:rsid w:val="00AF52A3"/>
    <w:rsid w:val="00AF6C06"/>
    <w:rsid w:val="00B0246F"/>
    <w:rsid w:val="00B038EB"/>
    <w:rsid w:val="00B14243"/>
    <w:rsid w:val="00B20397"/>
    <w:rsid w:val="00B21B60"/>
    <w:rsid w:val="00B2409F"/>
    <w:rsid w:val="00B26281"/>
    <w:rsid w:val="00B357F6"/>
    <w:rsid w:val="00B364DC"/>
    <w:rsid w:val="00B41418"/>
    <w:rsid w:val="00B45EBF"/>
    <w:rsid w:val="00B47AB1"/>
    <w:rsid w:val="00B5557F"/>
    <w:rsid w:val="00B725D5"/>
    <w:rsid w:val="00B72BF6"/>
    <w:rsid w:val="00B7774B"/>
    <w:rsid w:val="00B81C79"/>
    <w:rsid w:val="00B82936"/>
    <w:rsid w:val="00B862D9"/>
    <w:rsid w:val="00B87F36"/>
    <w:rsid w:val="00B9054B"/>
    <w:rsid w:val="00B9066B"/>
    <w:rsid w:val="00B921B3"/>
    <w:rsid w:val="00B92384"/>
    <w:rsid w:val="00BA3EE6"/>
    <w:rsid w:val="00BA546F"/>
    <w:rsid w:val="00BA590B"/>
    <w:rsid w:val="00BB0FE6"/>
    <w:rsid w:val="00BB2699"/>
    <w:rsid w:val="00BB33BA"/>
    <w:rsid w:val="00BB4DAA"/>
    <w:rsid w:val="00BC17BC"/>
    <w:rsid w:val="00BC5E4C"/>
    <w:rsid w:val="00BC6B99"/>
    <w:rsid w:val="00BD5597"/>
    <w:rsid w:val="00BD7602"/>
    <w:rsid w:val="00BE115A"/>
    <w:rsid w:val="00BE40E1"/>
    <w:rsid w:val="00BF1CE3"/>
    <w:rsid w:val="00BF20D1"/>
    <w:rsid w:val="00C017E0"/>
    <w:rsid w:val="00C05A6F"/>
    <w:rsid w:val="00C05D6C"/>
    <w:rsid w:val="00C17816"/>
    <w:rsid w:val="00C20ADC"/>
    <w:rsid w:val="00C31276"/>
    <w:rsid w:val="00C46AC1"/>
    <w:rsid w:val="00C51500"/>
    <w:rsid w:val="00C551AC"/>
    <w:rsid w:val="00C571C2"/>
    <w:rsid w:val="00C6254E"/>
    <w:rsid w:val="00C62AFC"/>
    <w:rsid w:val="00C65EA8"/>
    <w:rsid w:val="00C7767D"/>
    <w:rsid w:val="00C80248"/>
    <w:rsid w:val="00C8283A"/>
    <w:rsid w:val="00CA234A"/>
    <w:rsid w:val="00CA3F8A"/>
    <w:rsid w:val="00CB4029"/>
    <w:rsid w:val="00CB4A0E"/>
    <w:rsid w:val="00CB7972"/>
    <w:rsid w:val="00CC0544"/>
    <w:rsid w:val="00CC26E9"/>
    <w:rsid w:val="00CC7F71"/>
    <w:rsid w:val="00CD1D3A"/>
    <w:rsid w:val="00CD208F"/>
    <w:rsid w:val="00CD760B"/>
    <w:rsid w:val="00CF0183"/>
    <w:rsid w:val="00CF2B61"/>
    <w:rsid w:val="00CF3EC4"/>
    <w:rsid w:val="00CF4EF3"/>
    <w:rsid w:val="00D01902"/>
    <w:rsid w:val="00D0630D"/>
    <w:rsid w:val="00D117A3"/>
    <w:rsid w:val="00D16F9E"/>
    <w:rsid w:val="00D176F7"/>
    <w:rsid w:val="00D24653"/>
    <w:rsid w:val="00D35162"/>
    <w:rsid w:val="00D36882"/>
    <w:rsid w:val="00D4205D"/>
    <w:rsid w:val="00D52A24"/>
    <w:rsid w:val="00D6213A"/>
    <w:rsid w:val="00D665EB"/>
    <w:rsid w:val="00D8259F"/>
    <w:rsid w:val="00D84E9C"/>
    <w:rsid w:val="00D90DA9"/>
    <w:rsid w:val="00D94997"/>
    <w:rsid w:val="00D97D7F"/>
    <w:rsid w:val="00DA2F8F"/>
    <w:rsid w:val="00DB09DE"/>
    <w:rsid w:val="00DB1FA5"/>
    <w:rsid w:val="00DB291B"/>
    <w:rsid w:val="00DB4420"/>
    <w:rsid w:val="00DC4A50"/>
    <w:rsid w:val="00DD6485"/>
    <w:rsid w:val="00DE0491"/>
    <w:rsid w:val="00DE33F2"/>
    <w:rsid w:val="00DF1351"/>
    <w:rsid w:val="00DF1769"/>
    <w:rsid w:val="00DF51C7"/>
    <w:rsid w:val="00DF7D50"/>
    <w:rsid w:val="00E00A7A"/>
    <w:rsid w:val="00E0249F"/>
    <w:rsid w:val="00E14DB5"/>
    <w:rsid w:val="00E14DF0"/>
    <w:rsid w:val="00E24F7D"/>
    <w:rsid w:val="00E251A3"/>
    <w:rsid w:val="00E35D1C"/>
    <w:rsid w:val="00E403C8"/>
    <w:rsid w:val="00E40CEB"/>
    <w:rsid w:val="00E47E63"/>
    <w:rsid w:val="00E502E4"/>
    <w:rsid w:val="00E55717"/>
    <w:rsid w:val="00E6107A"/>
    <w:rsid w:val="00E61167"/>
    <w:rsid w:val="00E64093"/>
    <w:rsid w:val="00E64AF6"/>
    <w:rsid w:val="00E65CF1"/>
    <w:rsid w:val="00E71A42"/>
    <w:rsid w:val="00E771DD"/>
    <w:rsid w:val="00E86B4E"/>
    <w:rsid w:val="00E86C4D"/>
    <w:rsid w:val="00E93FB3"/>
    <w:rsid w:val="00E96AB6"/>
    <w:rsid w:val="00EA5954"/>
    <w:rsid w:val="00EA601C"/>
    <w:rsid w:val="00EB5055"/>
    <w:rsid w:val="00EC28EE"/>
    <w:rsid w:val="00EC63ED"/>
    <w:rsid w:val="00ED5AE0"/>
    <w:rsid w:val="00ED7AED"/>
    <w:rsid w:val="00EF33DD"/>
    <w:rsid w:val="00EF3E03"/>
    <w:rsid w:val="00EF3FF4"/>
    <w:rsid w:val="00EF5F3D"/>
    <w:rsid w:val="00EF6C35"/>
    <w:rsid w:val="00F014E6"/>
    <w:rsid w:val="00F13F05"/>
    <w:rsid w:val="00F22DA1"/>
    <w:rsid w:val="00F25FDE"/>
    <w:rsid w:val="00F303D7"/>
    <w:rsid w:val="00F32E74"/>
    <w:rsid w:val="00F375A8"/>
    <w:rsid w:val="00F44354"/>
    <w:rsid w:val="00F45831"/>
    <w:rsid w:val="00F5185A"/>
    <w:rsid w:val="00F54449"/>
    <w:rsid w:val="00F54BB2"/>
    <w:rsid w:val="00F61DE9"/>
    <w:rsid w:val="00F63555"/>
    <w:rsid w:val="00F65A98"/>
    <w:rsid w:val="00F76954"/>
    <w:rsid w:val="00F821E9"/>
    <w:rsid w:val="00F85C77"/>
    <w:rsid w:val="00F8698C"/>
    <w:rsid w:val="00F91308"/>
    <w:rsid w:val="00F950CE"/>
    <w:rsid w:val="00FB401F"/>
    <w:rsid w:val="00FB5B9B"/>
    <w:rsid w:val="00FC5B9F"/>
    <w:rsid w:val="00FD1D16"/>
    <w:rsid w:val="00FD2F43"/>
    <w:rsid w:val="00FE164C"/>
    <w:rsid w:val="00FF0243"/>
    <w:rsid w:val="00FF0459"/>
    <w:rsid w:val="00FF1420"/>
    <w:rsid w:val="00FF436D"/>
    <w:rsid w:val="00FF7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autoRedefine/>
    <w:qFormat/>
    <w:rsid w:val="00A41E59"/>
    <w:pPr>
      <w:spacing w:before="100" w:beforeAutospacing="1" w:after="100" w:afterAutospacing="1" w:line="440" w:lineRule="exact"/>
      <w:ind w:left="357" w:hanging="357"/>
    </w:pPr>
    <w:rPr>
      <w:szCs w:val="21"/>
    </w:rPr>
  </w:style>
  <w:style w:type="table" w:customStyle="1" w:styleId="1">
    <w:name w:val="网格型1"/>
    <w:basedOn w:val="a1"/>
    <w:autoRedefine/>
    <w:qFormat/>
    <w:rsid w:val="00A41E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2807</Characters>
  <Application>Microsoft Office Word</Application>
  <DocSecurity>0</DocSecurity>
  <Lines>23</Lines>
  <Paragraphs>6</Paragraphs>
  <ScaleCrop>false</ScaleCrop>
  <Company>微软中国</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收发员</dc:creator>
  <cp:lastModifiedBy>收发员</cp:lastModifiedBy>
  <cp:revision>1</cp:revision>
  <dcterms:created xsi:type="dcterms:W3CDTF">2024-04-26T07:40:00Z</dcterms:created>
  <dcterms:modified xsi:type="dcterms:W3CDTF">2024-04-26T07:40:00Z</dcterms:modified>
</cp:coreProperties>
</file>