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rPr>
      </w:pPr>
      <w:r>
        <w:rPr>
          <w:rFonts w:hint="eastAsia" w:ascii="宋体" w:hAnsi="宋体"/>
        </w:rPr>
        <w:t xml:space="preserve"> </w:t>
      </w:r>
    </w:p>
    <w:p>
      <w:pPr>
        <w:jc w:val="center"/>
        <w:outlineLvl w:val="0"/>
        <w:rPr>
          <w:rFonts w:ascii="黑体" w:hAnsi="黑体" w:eastAsia="黑体"/>
          <w:spacing w:val="80"/>
          <w:sz w:val="112"/>
          <w:szCs w:val="112"/>
        </w:rPr>
      </w:pPr>
      <w:r>
        <w:rPr>
          <w:rFonts w:hint="eastAsia" w:ascii="黑体" w:hAnsi="黑体" w:eastAsia="黑体"/>
          <w:spacing w:val="80"/>
          <w:sz w:val="112"/>
          <w:szCs w:val="112"/>
          <w:lang w:val="en-US" w:eastAsia="zh-CN"/>
        </w:rPr>
        <w:t>询比</w:t>
      </w:r>
      <w:r>
        <w:rPr>
          <w:rFonts w:hint="eastAsia" w:ascii="黑体" w:hAnsi="黑体" w:eastAsia="黑体"/>
          <w:spacing w:val="80"/>
          <w:sz w:val="112"/>
          <w:szCs w:val="112"/>
        </w:rPr>
        <w:t>采购文件</w:t>
      </w:r>
    </w:p>
    <w:p>
      <w:pPr>
        <w:jc w:val="center"/>
        <w:outlineLvl w:val="0"/>
        <w:rPr>
          <w:rFonts w:ascii="黑体" w:hAnsi="黑体" w:eastAsia="黑体"/>
          <w:color w:val="FF0000"/>
          <w:spacing w:val="80"/>
          <w:szCs w:val="112"/>
        </w:rPr>
      </w:pPr>
    </w:p>
    <w:p>
      <w:pPr>
        <w:jc w:val="center"/>
        <w:outlineLvl w:val="0"/>
        <w:rPr>
          <w:rFonts w:ascii="黑体" w:hAnsi="黑体" w:eastAsia="黑体"/>
          <w:color w:val="FF0000"/>
          <w:spacing w:val="80"/>
          <w:szCs w:val="112"/>
        </w:rPr>
      </w:pPr>
    </w:p>
    <w:p>
      <w:pPr>
        <w:jc w:val="center"/>
        <w:outlineLvl w:val="0"/>
        <w:rPr>
          <w:rFonts w:ascii="黑体" w:hAnsi="黑体" w:eastAsia="黑体"/>
          <w:color w:val="FF0000"/>
          <w:spacing w:val="80"/>
          <w:szCs w:val="112"/>
        </w:rPr>
      </w:pPr>
    </w:p>
    <w:p>
      <w:pPr>
        <w:jc w:val="center"/>
        <w:outlineLvl w:val="0"/>
        <w:rPr>
          <w:rFonts w:ascii="黑体" w:hAnsi="黑体" w:eastAsia="黑体"/>
          <w:color w:val="FF0000"/>
          <w:spacing w:val="80"/>
          <w:szCs w:val="112"/>
        </w:rPr>
      </w:pPr>
    </w:p>
    <w:p>
      <w:pPr>
        <w:jc w:val="center"/>
        <w:outlineLvl w:val="0"/>
        <w:rPr>
          <w:rFonts w:ascii="黑体" w:hAnsi="黑体" w:eastAsia="黑体"/>
          <w:color w:val="FF0000"/>
          <w:spacing w:val="80"/>
          <w:szCs w:val="112"/>
        </w:rPr>
      </w:pPr>
    </w:p>
    <w:p>
      <w:pPr>
        <w:jc w:val="center"/>
        <w:outlineLvl w:val="0"/>
        <w:rPr>
          <w:rFonts w:ascii="黑体" w:hAnsi="黑体" w:eastAsia="黑体"/>
          <w:color w:val="FF0000"/>
          <w:spacing w:val="80"/>
          <w:szCs w:val="11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pStyle w:val="26"/>
        <w:rPr>
          <w:rFonts w:ascii="黑体" w:hAnsi="黑体" w:eastAsia="黑体"/>
          <w:sz w:val="32"/>
        </w:rPr>
      </w:pPr>
    </w:p>
    <w:p>
      <w:pPr>
        <w:rPr>
          <w:rFonts w:ascii="黑体" w:hAnsi="黑体" w:eastAsia="黑体"/>
          <w:sz w:val="32"/>
        </w:rPr>
      </w:pPr>
    </w:p>
    <w:p>
      <w:pPr>
        <w:pStyle w:val="26"/>
        <w:rPr>
          <w:rFonts w:ascii="黑体" w:hAnsi="黑体" w:eastAsia="黑体"/>
          <w:sz w:val="32"/>
        </w:rPr>
      </w:pPr>
    </w:p>
    <w:p/>
    <w:p>
      <w:pPr>
        <w:spacing w:line="360" w:lineRule="auto"/>
        <w:jc w:val="both"/>
        <w:rPr>
          <w:rFonts w:hint="default" w:ascii="黑体" w:hAnsi="黑体" w:eastAsia="黑体"/>
          <w:sz w:val="32"/>
          <w:szCs w:val="28"/>
          <w:lang w:val="en-US" w:eastAsia="zh-CN"/>
        </w:rPr>
      </w:pPr>
      <w:r>
        <w:rPr>
          <w:rFonts w:hint="eastAsia" w:ascii="黑体" w:hAnsi="黑体" w:eastAsia="黑体"/>
          <w:sz w:val="32"/>
          <w:szCs w:val="28"/>
        </w:rPr>
        <w:t>项 目 号：XZCD</w:t>
      </w:r>
      <w:r>
        <w:rPr>
          <w:rFonts w:hint="eastAsia" w:ascii="黑体" w:hAnsi="黑体" w:eastAsia="黑体"/>
          <w:sz w:val="32"/>
          <w:szCs w:val="28"/>
          <w:lang w:val="en-US" w:eastAsia="zh-CN"/>
        </w:rPr>
        <w:t>SGJXSLJ20240418</w:t>
      </w:r>
    </w:p>
    <w:p>
      <w:pPr>
        <w:spacing w:line="360" w:lineRule="auto"/>
        <w:jc w:val="left"/>
        <w:rPr>
          <w:rFonts w:hint="default" w:ascii="黑体" w:hAnsi="黑体" w:eastAsia="黑体"/>
          <w:sz w:val="32"/>
          <w:szCs w:val="28"/>
          <w:lang w:val="en-US" w:eastAsia="zh-CN"/>
        </w:rPr>
      </w:pPr>
      <w:r>
        <w:rPr>
          <w:rFonts w:hint="eastAsia" w:ascii="黑体" w:hAnsi="黑体" w:eastAsia="黑体"/>
          <w:sz w:val="32"/>
          <w:szCs w:val="28"/>
        </w:rPr>
        <w:t>项目名称：</w:t>
      </w:r>
      <w:r>
        <w:rPr>
          <w:rFonts w:hint="eastAsia" w:ascii="黑体" w:hAnsi="黑体" w:eastAsia="黑体"/>
          <w:sz w:val="32"/>
          <w:szCs w:val="28"/>
          <w:lang w:val="en-US" w:eastAsia="zh-CN"/>
        </w:rPr>
        <w:t>贡觉县水利局关于</w:t>
      </w:r>
      <w:r>
        <w:rPr>
          <w:rFonts w:hint="eastAsia" w:ascii="黑体" w:hAnsi="黑体" w:eastAsia="黑体"/>
          <w:sz w:val="32"/>
          <w:szCs w:val="28"/>
          <w:lang w:val="zh-CN"/>
        </w:rPr>
        <w:t>金沙江上游叶巴滩水电站（</w:t>
      </w:r>
      <w:r>
        <w:rPr>
          <w:rFonts w:hint="eastAsia" w:ascii="黑体" w:hAnsi="黑体" w:eastAsia="黑体"/>
          <w:sz w:val="32"/>
          <w:szCs w:val="28"/>
          <w:lang w:val="en-US" w:eastAsia="zh-CN"/>
        </w:rPr>
        <w:t>贡觉县</w:t>
      </w:r>
      <w:r>
        <w:rPr>
          <w:rFonts w:hint="eastAsia" w:ascii="黑体" w:hAnsi="黑体" w:eastAsia="黑体"/>
          <w:sz w:val="32"/>
          <w:szCs w:val="28"/>
          <w:lang w:val="zh-CN"/>
        </w:rPr>
        <w:t>）建设征地迁移人口安置补偿资金清理</w:t>
      </w:r>
      <w:r>
        <w:rPr>
          <w:rFonts w:hint="eastAsia" w:ascii="黑体" w:hAnsi="黑体" w:eastAsia="黑体"/>
          <w:sz w:val="32"/>
          <w:szCs w:val="28"/>
          <w:lang w:val="en-US" w:eastAsia="zh-CN"/>
        </w:rPr>
        <w:t>服务项目</w:t>
      </w:r>
    </w:p>
    <w:p>
      <w:pPr>
        <w:spacing w:line="700" w:lineRule="exact"/>
        <w:jc w:val="both"/>
        <w:rPr>
          <w:rFonts w:hint="default" w:ascii="黑体" w:hAnsi="黑体" w:eastAsia="黑体"/>
          <w:sz w:val="32"/>
          <w:szCs w:val="28"/>
          <w:lang w:val="en-US" w:eastAsia="zh-CN"/>
        </w:rPr>
      </w:pPr>
      <w:r>
        <w:rPr>
          <w:rFonts w:hint="eastAsia" w:ascii="黑体" w:hAnsi="黑体" w:eastAsia="黑体"/>
          <w:sz w:val="32"/>
          <w:szCs w:val="28"/>
        </w:rPr>
        <w:t>采</w:t>
      </w:r>
      <w:r>
        <w:rPr>
          <w:rFonts w:hint="eastAsia" w:ascii="黑体" w:hAnsi="黑体" w:eastAsia="黑体"/>
          <w:sz w:val="32"/>
          <w:szCs w:val="28"/>
          <w:lang w:val="en-US" w:eastAsia="zh-CN"/>
        </w:rPr>
        <w:t xml:space="preserve"> </w:t>
      </w:r>
      <w:r>
        <w:rPr>
          <w:rFonts w:hint="eastAsia" w:ascii="黑体" w:hAnsi="黑体" w:eastAsia="黑体"/>
          <w:sz w:val="32"/>
          <w:szCs w:val="28"/>
        </w:rPr>
        <w:t>购</w:t>
      </w:r>
      <w:r>
        <w:rPr>
          <w:rFonts w:hint="eastAsia" w:ascii="黑体" w:hAnsi="黑体" w:eastAsia="黑体"/>
          <w:sz w:val="32"/>
          <w:szCs w:val="28"/>
          <w:lang w:val="en-US" w:eastAsia="zh-CN"/>
        </w:rPr>
        <w:t xml:space="preserve"> </w:t>
      </w:r>
      <w:r>
        <w:rPr>
          <w:rFonts w:hint="eastAsia" w:ascii="黑体" w:hAnsi="黑体" w:eastAsia="黑体"/>
          <w:sz w:val="32"/>
          <w:szCs w:val="28"/>
        </w:rPr>
        <w:t>人：</w:t>
      </w:r>
      <w:r>
        <w:rPr>
          <w:rFonts w:hint="eastAsia" w:ascii="黑体" w:hAnsi="黑体" w:eastAsia="黑体"/>
          <w:sz w:val="32"/>
          <w:szCs w:val="28"/>
          <w:lang w:val="en-US" w:eastAsia="zh-CN"/>
        </w:rPr>
        <w:t>贡觉县水利局</w:t>
      </w:r>
    </w:p>
    <w:p>
      <w:pPr>
        <w:spacing w:line="700" w:lineRule="exact"/>
        <w:ind w:firstLine="2520" w:firstLineChars="700"/>
        <w:jc w:val="both"/>
        <w:rPr>
          <w:rFonts w:hint="eastAsia" w:ascii="黑体" w:hAnsi="黑体" w:eastAsia="黑体"/>
          <w:sz w:val="36"/>
          <w:szCs w:val="30"/>
        </w:rPr>
      </w:pPr>
      <w:r>
        <w:rPr>
          <w:rFonts w:hint="eastAsia" w:ascii="黑体" w:hAnsi="黑体" w:eastAsia="黑体"/>
          <w:sz w:val="36"/>
          <w:szCs w:val="30"/>
        </w:rPr>
        <w:t>二〇</w:t>
      </w:r>
      <w:r>
        <w:rPr>
          <w:rFonts w:hint="eastAsia" w:ascii="黑体" w:hAnsi="黑体" w:eastAsia="黑体"/>
          <w:sz w:val="36"/>
          <w:szCs w:val="30"/>
          <w:lang w:val="en-US" w:eastAsia="zh-CN"/>
        </w:rPr>
        <w:t>二四</w:t>
      </w:r>
      <w:r>
        <w:rPr>
          <w:rFonts w:hint="eastAsia" w:ascii="黑体" w:hAnsi="黑体" w:eastAsia="黑体"/>
          <w:sz w:val="36"/>
          <w:szCs w:val="30"/>
        </w:rPr>
        <w:t>年</w:t>
      </w:r>
      <w:r>
        <w:rPr>
          <w:rFonts w:hint="eastAsia" w:ascii="黑体" w:hAnsi="黑体" w:eastAsia="黑体"/>
          <w:sz w:val="36"/>
          <w:szCs w:val="30"/>
          <w:lang w:val="en-US" w:eastAsia="zh-CN"/>
        </w:rPr>
        <w:t>四</w:t>
      </w:r>
      <w:r>
        <w:rPr>
          <w:rFonts w:hint="eastAsia" w:ascii="黑体" w:hAnsi="黑体" w:eastAsia="黑体"/>
          <w:sz w:val="36"/>
          <w:szCs w:val="30"/>
        </w:rPr>
        <w:t>月</w:t>
      </w:r>
    </w:p>
    <w:p>
      <w:pPr>
        <w:spacing w:line="700" w:lineRule="exact"/>
        <w:jc w:val="left"/>
        <w:rPr>
          <w:rFonts w:hint="eastAsia" w:ascii="黑体" w:hAnsi="黑体" w:eastAsia="黑体"/>
          <w:sz w:val="36"/>
          <w:szCs w:val="30"/>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pPr>
        <w:jc w:val="center"/>
        <w:outlineLvl w:val="0"/>
        <w:rPr>
          <w:rFonts w:ascii="黑体" w:hAnsi="黑体" w:eastAsia="黑体"/>
          <w:b/>
          <w:bCs/>
          <w:color w:val="auto"/>
          <w:spacing w:val="80"/>
          <w:sz w:val="44"/>
          <w:szCs w:val="44"/>
        </w:rPr>
      </w:pPr>
      <w:r>
        <w:rPr>
          <w:rFonts w:hint="eastAsia" w:ascii="黑体" w:hAnsi="黑体" w:eastAsia="黑体"/>
          <w:b/>
          <w:bCs/>
          <w:color w:val="auto"/>
          <w:spacing w:val="80"/>
          <w:sz w:val="44"/>
          <w:szCs w:val="44"/>
        </w:rPr>
        <w:t>（综合评分法）</w:t>
      </w:r>
    </w:p>
    <w:p>
      <w:pPr>
        <w:pStyle w:val="8"/>
        <w:spacing w:before="0" w:after="0" w:line="312" w:lineRule="auto"/>
        <w:rPr>
          <w:rFonts w:ascii="宋体" w:hAnsi="宋体" w:cs="宋体"/>
          <w:color w:val="auto"/>
          <w:sz w:val="24"/>
          <w:szCs w:val="24"/>
        </w:rPr>
      </w:pPr>
      <w:bookmarkStart w:id="0" w:name="_Toc3463"/>
      <w:bookmarkStart w:id="1" w:name="_Toc18881"/>
      <w:bookmarkStart w:id="2" w:name="_Toc313893526"/>
      <w:bookmarkStart w:id="3" w:name="_Toc7625"/>
      <w:bookmarkStart w:id="4" w:name="_Toc26820"/>
      <w:bookmarkStart w:id="5" w:name="_Toc25458"/>
      <w:bookmarkStart w:id="6" w:name="_Toc12808"/>
      <w:bookmarkStart w:id="7" w:name="_Toc18159"/>
      <w:bookmarkStart w:id="8" w:name="_Toc317775175"/>
      <w:r>
        <w:rPr>
          <w:rFonts w:hint="eastAsia" w:ascii="宋体" w:hAnsi="宋体" w:cs="宋体"/>
          <w:color w:val="auto"/>
          <w:sz w:val="24"/>
          <w:szCs w:val="24"/>
        </w:rPr>
        <w:t>一、询比采购内容</w:t>
      </w:r>
      <w:bookmarkEnd w:id="0"/>
      <w:bookmarkEnd w:id="1"/>
      <w:bookmarkEnd w:id="2"/>
      <w:bookmarkEnd w:id="3"/>
      <w:bookmarkEnd w:id="4"/>
      <w:bookmarkEnd w:id="5"/>
      <w:bookmarkEnd w:id="6"/>
      <w:bookmarkEnd w:id="7"/>
      <w:bookmarkEnd w:id="8"/>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7"/>
        <w:gridCol w:w="1725"/>
        <w:gridCol w:w="1475"/>
        <w:gridCol w:w="1602"/>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867"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kern w:val="0"/>
                <w:sz w:val="21"/>
                <w:szCs w:val="24"/>
              </w:rPr>
            </w:pPr>
            <w:bookmarkStart w:id="9" w:name="_Toc22399"/>
            <w:bookmarkStart w:id="10" w:name="_Toc19437"/>
            <w:bookmarkStart w:id="11" w:name="_Toc1790"/>
            <w:bookmarkStart w:id="12" w:name="_Toc15727"/>
            <w:bookmarkStart w:id="13" w:name="_Toc6462"/>
            <w:bookmarkStart w:id="14" w:name="_Toc25190"/>
            <w:bookmarkStart w:id="15" w:name="_Toc15576"/>
            <w:bookmarkStart w:id="16" w:name="_Toc317775178"/>
            <w:bookmarkStart w:id="17" w:name="_Toc373860293"/>
            <w:r>
              <w:rPr>
                <w:rFonts w:hint="eastAsia" w:ascii="宋体" w:hAnsi="宋体" w:cs="宋体"/>
                <w:b/>
                <w:bCs/>
                <w:kern w:val="0"/>
                <w:sz w:val="21"/>
                <w:szCs w:val="24"/>
              </w:rPr>
              <w:t>项目名称</w:t>
            </w:r>
          </w:p>
        </w:tc>
        <w:tc>
          <w:tcPr>
            <w:tcW w:w="1725"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采购预算</w:t>
            </w:r>
          </w:p>
          <w:p>
            <w:pPr>
              <w:jc w:val="center"/>
              <w:rPr>
                <w:rFonts w:ascii="宋体" w:hAnsi="宋体" w:cs="宋体"/>
                <w:b/>
                <w:bCs/>
                <w:kern w:val="0"/>
                <w:sz w:val="21"/>
                <w:szCs w:val="24"/>
              </w:rPr>
            </w:pPr>
            <w:r>
              <w:rPr>
                <w:rFonts w:hint="eastAsia" w:ascii="宋体" w:hAnsi="宋体" w:cs="宋体"/>
                <w:b/>
                <w:bCs/>
                <w:kern w:val="0"/>
                <w:sz w:val="21"/>
                <w:szCs w:val="24"/>
              </w:rPr>
              <w:t>（元）</w:t>
            </w:r>
          </w:p>
        </w:tc>
        <w:tc>
          <w:tcPr>
            <w:tcW w:w="1475" w:type="dxa"/>
            <w:tcBorders>
              <w:top w:val="single" w:color="auto" w:sz="4" w:space="0"/>
              <w:left w:val="single" w:color="auto" w:sz="4" w:space="0"/>
              <w:right w:val="single" w:color="auto" w:sz="4" w:space="0"/>
            </w:tcBorders>
            <w:noWrap w:val="0"/>
            <w:vAlign w:val="center"/>
          </w:tcPr>
          <w:p>
            <w:pPr>
              <w:jc w:val="center"/>
              <w:rPr>
                <w:rFonts w:ascii="宋体" w:hAnsi="宋体" w:cs="宋体"/>
                <w:b/>
                <w:bCs/>
                <w:kern w:val="0"/>
                <w:sz w:val="21"/>
                <w:szCs w:val="24"/>
              </w:rPr>
            </w:pPr>
            <w:r>
              <w:rPr>
                <w:rFonts w:hint="eastAsia" w:ascii="宋体" w:hAnsi="宋体" w:cs="宋体"/>
                <w:b/>
                <w:bCs/>
                <w:kern w:val="0"/>
                <w:sz w:val="21"/>
                <w:szCs w:val="24"/>
              </w:rPr>
              <w:t>成交供应商数量（名）</w:t>
            </w:r>
          </w:p>
        </w:tc>
        <w:tc>
          <w:tcPr>
            <w:tcW w:w="1602" w:type="dxa"/>
            <w:tcBorders>
              <w:top w:val="single" w:color="auto" w:sz="4" w:space="0"/>
              <w:left w:val="single" w:color="auto" w:sz="4" w:space="0"/>
              <w:right w:val="single" w:color="auto" w:sz="4" w:space="0"/>
            </w:tcBorders>
            <w:noWrap w:val="0"/>
            <w:vAlign w:val="center"/>
          </w:tcPr>
          <w:p>
            <w:pPr>
              <w:rPr>
                <w:rFonts w:ascii="宋体" w:hAnsi="宋体" w:cs="宋体"/>
                <w:b/>
                <w:bCs/>
                <w:kern w:val="0"/>
                <w:sz w:val="21"/>
                <w:szCs w:val="24"/>
              </w:rPr>
            </w:pPr>
            <w:r>
              <w:rPr>
                <w:rFonts w:hint="eastAsia" w:ascii="宋体" w:hAnsi="宋体" w:eastAsia="宋体" w:cs="宋体"/>
                <w:b/>
                <w:bCs/>
                <w:kern w:val="0"/>
                <w:sz w:val="21"/>
                <w:szCs w:val="24"/>
              </w:rPr>
              <w:t>资金来源</w:t>
            </w:r>
          </w:p>
        </w:tc>
        <w:tc>
          <w:tcPr>
            <w:tcW w:w="1414" w:type="dxa"/>
            <w:tcBorders>
              <w:top w:val="single" w:color="auto" w:sz="4" w:space="0"/>
              <w:left w:val="single" w:color="auto" w:sz="4" w:space="0"/>
              <w:right w:val="single" w:color="auto" w:sz="4" w:space="0"/>
            </w:tcBorders>
            <w:noWrap w:val="0"/>
            <w:vAlign w:val="center"/>
          </w:tcPr>
          <w:p>
            <w:pPr>
              <w:rPr>
                <w:rFonts w:hint="eastAsia" w:ascii="宋体" w:hAnsi="宋体" w:cs="宋体"/>
                <w:b/>
                <w:bCs/>
                <w:kern w:val="0"/>
                <w:sz w:val="21"/>
                <w:szCs w:val="24"/>
              </w:rPr>
            </w:pPr>
            <w:r>
              <w:rPr>
                <w:rFonts w:hint="eastAsia" w:ascii="宋体" w:hAnsi="宋体"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2867" w:type="dxa"/>
            <w:tcBorders>
              <w:top w:val="single" w:color="auto" w:sz="4" w:space="0"/>
              <w:left w:val="single" w:color="auto" w:sz="4" w:space="0"/>
              <w:right w:val="single" w:color="auto" w:sz="4" w:space="0"/>
            </w:tcBorders>
            <w:noWrap w:val="0"/>
            <w:vAlign w:val="center"/>
          </w:tcPr>
          <w:p>
            <w:pPr>
              <w:widowControl/>
              <w:jc w:val="left"/>
              <w:rPr>
                <w:rFonts w:hint="default" w:ascii="宋体" w:hAnsi="宋体" w:cs="宋体"/>
                <w:color w:val="FF0000"/>
                <w:kern w:val="0"/>
                <w:sz w:val="21"/>
                <w:szCs w:val="24"/>
                <w:lang w:val="en-US"/>
              </w:rPr>
            </w:pPr>
            <w:bookmarkStart w:id="18" w:name="_Hlk344477914"/>
            <w:r>
              <w:rPr>
                <w:rFonts w:hint="eastAsia" w:ascii="宋体" w:hAnsi="宋体" w:eastAsia="宋体" w:cs="宋体"/>
                <w:color w:val="auto"/>
                <w:kern w:val="0"/>
                <w:sz w:val="21"/>
                <w:szCs w:val="24"/>
                <w:lang w:val="en-US" w:eastAsia="zh-CN"/>
              </w:rPr>
              <w:t>贡觉县水利局关于</w:t>
            </w:r>
            <w:r>
              <w:rPr>
                <w:rFonts w:hint="eastAsia" w:ascii="宋体" w:hAnsi="宋体" w:eastAsia="宋体" w:cs="宋体"/>
                <w:color w:val="auto"/>
                <w:kern w:val="0"/>
                <w:sz w:val="21"/>
                <w:szCs w:val="24"/>
                <w:lang w:val="zh-CN" w:eastAsia="zh-CN"/>
              </w:rPr>
              <w:t>金沙江上游叶巴滩水电站（</w:t>
            </w:r>
            <w:r>
              <w:rPr>
                <w:rFonts w:hint="eastAsia" w:ascii="宋体" w:hAnsi="宋体" w:eastAsia="宋体" w:cs="宋体"/>
                <w:color w:val="auto"/>
                <w:kern w:val="0"/>
                <w:sz w:val="21"/>
                <w:szCs w:val="24"/>
                <w:lang w:val="en-US" w:eastAsia="zh-CN"/>
              </w:rPr>
              <w:t>贡觉县</w:t>
            </w:r>
            <w:r>
              <w:rPr>
                <w:rFonts w:hint="eastAsia" w:ascii="宋体" w:hAnsi="宋体" w:eastAsia="宋体" w:cs="宋体"/>
                <w:color w:val="auto"/>
                <w:kern w:val="0"/>
                <w:sz w:val="21"/>
                <w:szCs w:val="24"/>
                <w:lang w:val="zh-CN" w:eastAsia="zh-CN"/>
              </w:rPr>
              <w:t>）建设征地迁移人口安置补偿资金清理</w:t>
            </w:r>
            <w:r>
              <w:rPr>
                <w:rFonts w:hint="eastAsia" w:ascii="宋体" w:hAnsi="宋体" w:eastAsia="宋体" w:cs="宋体"/>
                <w:color w:val="auto"/>
                <w:kern w:val="0"/>
                <w:sz w:val="21"/>
                <w:szCs w:val="24"/>
                <w:lang w:val="en-US" w:eastAsia="zh-CN"/>
              </w:rPr>
              <w:t>服务</w:t>
            </w:r>
            <w:r>
              <w:rPr>
                <w:rFonts w:hint="eastAsia" w:ascii="宋体" w:hAnsi="宋体" w:cs="宋体"/>
                <w:color w:val="auto"/>
                <w:kern w:val="0"/>
                <w:sz w:val="21"/>
                <w:szCs w:val="24"/>
                <w:lang w:val="en-US" w:eastAsia="zh-CN"/>
              </w:rPr>
              <w:t>项目</w:t>
            </w:r>
          </w:p>
        </w:tc>
        <w:tc>
          <w:tcPr>
            <w:tcW w:w="1725"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color w:val="FF0000"/>
                <w:kern w:val="0"/>
                <w:sz w:val="21"/>
                <w:szCs w:val="24"/>
              </w:rPr>
            </w:pPr>
            <w:r>
              <w:rPr>
                <w:rFonts w:hint="eastAsia" w:ascii="宋体" w:hAnsi="宋体" w:eastAsia="宋体" w:cs="宋体"/>
                <w:color w:val="auto"/>
                <w:kern w:val="0"/>
                <w:sz w:val="21"/>
                <w:szCs w:val="24"/>
                <w:lang w:val="en-US" w:eastAsia="zh-CN"/>
              </w:rPr>
              <w:t>480000.00</w:t>
            </w:r>
            <w:r>
              <w:rPr>
                <w:rFonts w:hint="eastAsia" w:ascii="宋体" w:hAnsi="宋体" w:eastAsia="宋体" w:cs="宋体"/>
                <w:color w:val="auto"/>
                <w:kern w:val="0"/>
                <w:sz w:val="21"/>
                <w:szCs w:val="24"/>
                <w:lang w:val="zh-CN" w:eastAsia="zh-CN"/>
              </w:rPr>
              <w:t xml:space="preserve"> </w:t>
            </w:r>
          </w:p>
        </w:tc>
        <w:tc>
          <w:tcPr>
            <w:tcW w:w="1475"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color w:val="000000"/>
                <w:kern w:val="0"/>
                <w:sz w:val="21"/>
                <w:szCs w:val="24"/>
              </w:rPr>
            </w:pPr>
            <w:r>
              <w:rPr>
                <w:rFonts w:hint="eastAsia" w:ascii="宋体" w:hAnsi="宋体" w:cs="宋体"/>
                <w:color w:val="000000"/>
                <w:kern w:val="0"/>
                <w:sz w:val="21"/>
                <w:szCs w:val="24"/>
              </w:rPr>
              <w:t>1</w:t>
            </w:r>
          </w:p>
        </w:tc>
        <w:tc>
          <w:tcPr>
            <w:tcW w:w="1602" w:type="dxa"/>
            <w:tcBorders>
              <w:top w:val="single" w:color="auto" w:sz="4" w:space="0"/>
              <w:left w:val="single" w:color="auto" w:sz="4" w:space="0"/>
              <w:right w:val="single" w:color="auto" w:sz="4" w:space="0"/>
            </w:tcBorders>
            <w:noWrap w:val="0"/>
            <w:vAlign w:val="center"/>
          </w:tcPr>
          <w:p>
            <w:pPr>
              <w:rPr>
                <w:rFonts w:hint="default" w:ascii="宋体" w:hAnsi="宋体" w:eastAsia="宋体"/>
                <w:b/>
                <w:color w:val="auto"/>
                <w:sz w:val="21"/>
                <w:szCs w:val="21"/>
                <w:lang w:val="en-US" w:eastAsia="zh-CN"/>
              </w:rPr>
            </w:pPr>
            <w:r>
              <w:rPr>
                <w:rFonts w:hint="eastAsia" w:ascii="宋体" w:hAnsi="宋体" w:eastAsia="宋体" w:cs="宋体"/>
                <w:color w:val="auto"/>
                <w:kern w:val="0"/>
                <w:sz w:val="21"/>
                <w:szCs w:val="24"/>
                <w:lang w:val="en-US" w:eastAsia="zh-CN"/>
              </w:rPr>
              <w:t>已落实</w:t>
            </w:r>
          </w:p>
        </w:tc>
        <w:tc>
          <w:tcPr>
            <w:tcW w:w="1414" w:type="dxa"/>
            <w:tcBorders>
              <w:top w:val="single" w:color="auto" w:sz="4" w:space="0"/>
              <w:left w:val="single" w:color="auto" w:sz="4" w:space="0"/>
              <w:right w:val="single" w:color="auto" w:sz="4" w:space="0"/>
            </w:tcBorders>
            <w:noWrap w:val="0"/>
            <w:vAlign w:val="center"/>
          </w:tcPr>
          <w:p>
            <w:pPr>
              <w:rPr>
                <w:rFonts w:hint="default" w:ascii="宋体" w:hAnsi="宋体" w:eastAsia="宋体"/>
                <w:b/>
                <w:sz w:val="21"/>
                <w:szCs w:val="21"/>
                <w:lang w:val="en-US" w:eastAsia="zh-CN"/>
              </w:rPr>
            </w:pPr>
          </w:p>
        </w:tc>
      </w:tr>
      <w:bookmarkEnd w:id="18"/>
    </w:tbl>
    <w:p>
      <w:pPr>
        <w:pStyle w:val="8"/>
        <w:spacing w:before="0" w:after="0" w:line="312" w:lineRule="auto"/>
        <w:rPr>
          <w:rFonts w:hint="eastAsia" w:ascii="宋体" w:hAnsi="宋体" w:cs="宋体"/>
          <w:sz w:val="24"/>
          <w:szCs w:val="24"/>
        </w:rPr>
      </w:pPr>
    </w:p>
    <w:p>
      <w:pPr>
        <w:pStyle w:val="8"/>
        <w:spacing w:before="0" w:after="0" w:line="312" w:lineRule="auto"/>
        <w:rPr>
          <w:rFonts w:ascii="宋体" w:hAnsi="宋体" w:cs="宋体"/>
          <w:sz w:val="24"/>
          <w:szCs w:val="24"/>
        </w:rPr>
      </w:pPr>
      <w:r>
        <w:rPr>
          <w:rFonts w:hint="eastAsia" w:ascii="宋体" w:hAnsi="宋体" w:cs="宋体"/>
          <w:sz w:val="24"/>
          <w:szCs w:val="24"/>
        </w:rPr>
        <w:t>二、询比</w:t>
      </w:r>
      <w:bookmarkEnd w:id="9"/>
      <w:bookmarkEnd w:id="10"/>
      <w:bookmarkEnd w:id="11"/>
      <w:bookmarkEnd w:id="12"/>
      <w:bookmarkEnd w:id="13"/>
      <w:bookmarkEnd w:id="14"/>
      <w:bookmarkEnd w:id="15"/>
      <w:r>
        <w:rPr>
          <w:rFonts w:hint="eastAsia" w:ascii="宋体" w:hAnsi="宋体" w:cs="宋体"/>
          <w:sz w:val="24"/>
          <w:szCs w:val="24"/>
        </w:rPr>
        <w:t>资格条件</w:t>
      </w:r>
    </w:p>
    <w:p>
      <w:pPr>
        <w:spacing w:line="312" w:lineRule="auto"/>
        <w:ind w:firstLine="482" w:firstLineChars="200"/>
        <w:rPr>
          <w:rFonts w:ascii="宋体" w:hAnsi="宋体" w:cs="宋体"/>
          <w:b/>
          <w:bCs/>
          <w:sz w:val="24"/>
          <w:szCs w:val="24"/>
        </w:rPr>
      </w:pPr>
      <w:r>
        <w:rPr>
          <w:rFonts w:hint="eastAsia" w:ascii="宋体" w:hAnsi="宋体" w:cs="宋体"/>
          <w:b/>
          <w:bCs/>
          <w:sz w:val="24"/>
          <w:szCs w:val="24"/>
        </w:rPr>
        <w:t>（一）一般资格条件</w:t>
      </w:r>
    </w:p>
    <w:p>
      <w:pPr>
        <w:spacing w:line="312" w:lineRule="auto"/>
        <w:ind w:leftChars="300"/>
        <w:rPr>
          <w:rFonts w:hint="eastAsia" w:ascii="宋体" w:hAnsi="宋体" w:eastAsia="宋体" w:cs="宋体"/>
          <w:sz w:val="24"/>
          <w:szCs w:val="24"/>
          <w:highlight w:val="none"/>
          <w:lang w:eastAsia="zh-CN"/>
        </w:rPr>
      </w:pPr>
      <w:r>
        <w:rPr>
          <w:rFonts w:hint="eastAsia" w:ascii="宋体" w:hAnsi="宋体" w:cs="宋体"/>
          <w:sz w:val="24"/>
          <w:szCs w:val="24"/>
          <w:highlight w:val="none"/>
        </w:rPr>
        <w:t>1、具有独立承担民事责任的能力（提供法人或者其他组织的营业执照等证明文件，扫描件加盖公章）；</w:t>
      </w:r>
    </w:p>
    <w:p>
      <w:pPr>
        <w:spacing w:line="312"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ab/>
      </w:r>
      <w:r>
        <w:rPr>
          <w:rFonts w:hint="eastAsia" w:ascii="宋体" w:hAnsi="宋体" w:cs="宋体"/>
          <w:sz w:val="24"/>
          <w:szCs w:val="24"/>
          <w:highlight w:val="none"/>
        </w:rPr>
        <w:t>2、具有良好的商业信誉和健全的财务会计制度；</w:t>
      </w:r>
    </w:p>
    <w:p>
      <w:pPr>
        <w:spacing w:line="312"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ab/>
      </w:r>
      <w:r>
        <w:rPr>
          <w:rFonts w:hint="eastAsia" w:ascii="宋体" w:hAnsi="宋体" w:cs="宋体"/>
          <w:sz w:val="24"/>
          <w:szCs w:val="24"/>
          <w:highlight w:val="none"/>
        </w:rPr>
        <w:t>3、具有履行合同所必需的设备和专业技术能力；</w:t>
      </w:r>
    </w:p>
    <w:p>
      <w:pPr>
        <w:spacing w:line="312"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ab/>
      </w:r>
      <w:r>
        <w:rPr>
          <w:rFonts w:hint="eastAsia" w:ascii="宋体" w:hAnsi="宋体" w:cs="宋体"/>
          <w:sz w:val="24"/>
          <w:szCs w:val="24"/>
          <w:highlight w:val="none"/>
        </w:rPr>
        <w:t>4、有依法缴纳税收和社会保障资金的良好记录；</w:t>
      </w:r>
    </w:p>
    <w:p>
      <w:pPr>
        <w:spacing w:line="312"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ab/>
      </w:r>
      <w:r>
        <w:rPr>
          <w:rFonts w:hint="eastAsia" w:ascii="宋体" w:hAnsi="宋体" w:cs="宋体"/>
          <w:sz w:val="24"/>
          <w:szCs w:val="24"/>
          <w:highlight w:val="none"/>
        </w:rPr>
        <w:t>5、参加政府采购活动前三年内，在经营活动中没有重大违法记录</w:t>
      </w:r>
      <w:r>
        <w:rPr>
          <w:rFonts w:hint="eastAsia" w:ascii="宋体" w:hAnsi="宋体" w:cs="宋体"/>
          <w:sz w:val="24"/>
          <w:szCs w:val="24"/>
          <w:highlight w:val="none"/>
          <w:lang w:val="en-US" w:eastAsia="zh-CN"/>
        </w:rPr>
        <w:t>；</w:t>
      </w:r>
    </w:p>
    <w:p>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ab/>
      </w:r>
      <w:r>
        <w:rPr>
          <w:rFonts w:hint="eastAsia" w:ascii="宋体" w:hAnsi="宋体" w:cs="宋体"/>
          <w:sz w:val="24"/>
          <w:szCs w:val="24"/>
          <w:highlight w:val="none"/>
        </w:rPr>
        <w:t>6、法律、行政法规规定的其他条件。</w:t>
      </w:r>
    </w:p>
    <w:p>
      <w:pPr>
        <w:spacing w:line="312"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（2-6由供应商自行提供承诺说明，加盖公章）</w:t>
      </w:r>
    </w:p>
    <w:p>
      <w:pPr>
        <w:spacing w:line="312" w:lineRule="auto"/>
        <w:ind w:leftChars="100" w:firstLine="720" w:firstLineChars="3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r>
        <w:rPr>
          <w:rFonts w:hint="eastAsia" w:ascii="宋体" w:hAnsi="宋体"/>
          <w:kern w:val="0"/>
          <w:sz w:val="24"/>
          <w:szCs w:val="24"/>
          <w:highlight w:val="none"/>
          <w:lang w:val="en-US" w:eastAsia="zh-CN" w:bidi="ar-SA"/>
        </w:rPr>
        <w:t>本项目不接受联合体投标；</w:t>
      </w:r>
    </w:p>
    <w:p>
      <w:pPr>
        <w:spacing w:line="312" w:lineRule="auto"/>
        <w:ind w:firstLine="482" w:firstLineChars="200"/>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rPr>
        <w:t>（二）特定资格条件</w:t>
      </w:r>
    </w:p>
    <w:p>
      <w:pPr>
        <w:spacing w:line="312" w:lineRule="auto"/>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投标供应商必须是符合国家规定的审计资格的会计师事务所，具备合格有效的国家行政主管部门颁发的《会计师事务所执业证书》。</w:t>
      </w:r>
    </w:p>
    <w:bookmarkEnd w:id="16"/>
    <w:bookmarkEnd w:id="17"/>
    <w:p>
      <w:pPr>
        <w:numPr>
          <w:ilvl w:val="0"/>
          <w:numId w:val="2"/>
        </w:numPr>
        <w:snapToGrid w:val="0"/>
        <w:spacing w:line="360" w:lineRule="auto"/>
        <w:rPr>
          <w:rFonts w:hint="eastAsia" w:ascii="宋体" w:hAnsi="宋体" w:cs="宋体"/>
          <w:b/>
          <w:bCs/>
          <w:sz w:val="24"/>
          <w:szCs w:val="24"/>
        </w:rPr>
      </w:pPr>
      <w:r>
        <w:rPr>
          <w:rFonts w:hint="eastAsia" w:ascii="宋体" w:hAnsi="宋体" w:cs="宋体"/>
          <w:b/>
          <w:bCs/>
          <w:sz w:val="24"/>
          <w:szCs w:val="24"/>
        </w:rPr>
        <w:t>采购服务内容</w:t>
      </w:r>
    </w:p>
    <w:p>
      <w:pPr>
        <w:snapToGrid w:val="0"/>
        <w:spacing w:line="360" w:lineRule="auto"/>
        <w:rPr>
          <w:rFonts w:hint="eastAsia" w:ascii="宋体" w:hAnsi="宋体" w:eastAsia="宋体" w:cs="宋体"/>
          <w:color w:val="auto"/>
          <w:kern w:val="0"/>
          <w:sz w:val="21"/>
          <w:szCs w:val="24"/>
          <w:lang w:val="en-US" w:eastAsia="zh-CN"/>
        </w:rPr>
      </w:pPr>
      <w:r>
        <w:rPr>
          <w:rFonts w:hint="eastAsia" w:ascii="宋体" w:hAnsi="宋体" w:eastAsia="宋体" w:cs="宋体"/>
          <w:sz w:val="24"/>
          <w:szCs w:val="24"/>
          <w:lang w:val="en-US" w:eastAsia="zh-CN"/>
        </w:rPr>
        <w:t>关于</w:t>
      </w:r>
      <w:r>
        <w:rPr>
          <w:rFonts w:hint="eastAsia" w:ascii="宋体" w:hAnsi="宋体" w:eastAsia="宋体" w:cs="宋体"/>
          <w:sz w:val="24"/>
          <w:szCs w:val="24"/>
          <w:lang w:val="zh-CN" w:eastAsia="zh-CN"/>
        </w:rPr>
        <w:t>金沙江上游叶巴滩水电站（</w:t>
      </w:r>
      <w:r>
        <w:rPr>
          <w:rFonts w:hint="eastAsia" w:ascii="宋体" w:hAnsi="宋体" w:eastAsia="宋体" w:cs="宋体"/>
          <w:sz w:val="24"/>
          <w:szCs w:val="24"/>
          <w:lang w:val="en-US" w:eastAsia="zh-CN"/>
        </w:rPr>
        <w:t>贡觉县</w:t>
      </w:r>
      <w:r>
        <w:rPr>
          <w:rFonts w:hint="eastAsia" w:ascii="宋体" w:hAnsi="宋体" w:eastAsia="宋体" w:cs="宋体"/>
          <w:sz w:val="24"/>
          <w:szCs w:val="24"/>
          <w:lang w:val="zh-CN" w:eastAsia="zh-CN"/>
        </w:rPr>
        <w:t>）建设征地迁移人口安置补偿资金清理</w:t>
      </w:r>
      <w:r>
        <w:rPr>
          <w:rFonts w:hint="eastAsia" w:ascii="宋体" w:hAnsi="宋体" w:eastAsia="宋体" w:cs="宋体"/>
          <w:sz w:val="24"/>
          <w:szCs w:val="24"/>
          <w:lang w:val="en-US" w:eastAsia="zh-CN"/>
        </w:rPr>
        <w:t>服务（详见询比文件服务内容）</w:t>
      </w:r>
    </w:p>
    <w:p>
      <w:pPr>
        <w:snapToGrid w:val="0"/>
        <w:spacing w:line="360" w:lineRule="auto"/>
        <w:rPr>
          <w:rFonts w:hint="eastAsia" w:ascii="宋体" w:hAnsi="宋体" w:eastAsia="宋体" w:cs="宋体"/>
          <w:b/>
          <w:bCs/>
          <w:sz w:val="24"/>
          <w:szCs w:val="24"/>
          <w:lang w:val="en-US" w:eastAsia="zh-CN"/>
        </w:rPr>
      </w:pPr>
      <w:r>
        <w:rPr>
          <w:rFonts w:hint="eastAsia" w:ascii="宋体" w:hAnsi="宋体" w:cs="宋体"/>
          <w:b/>
          <w:bCs/>
          <w:sz w:val="24"/>
          <w:szCs w:val="24"/>
        </w:rPr>
        <w:t>四、服务期</w:t>
      </w:r>
    </w:p>
    <w:p>
      <w:pPr>
        <w:numPr>
          <w:ilvl w:val="0"/>
          <w:numId w:val="0"/>
        </w:numPr>
        <w:ind w:leftChars="0"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自合同签订之日起</w:t>
      </w:r>
      <w:r>
        <w:rPr>
          <w:rFonts w:hint="eastAsia" w:ascii="宋体" w:hAnsi="宋体" w:cs="宋体"/>
          <w:kern w:val="2"/>
          <w:sz w:val="24"/>
          <w:szCs w:val="24"/>
          <w:u w:val="single"/>
          <w:lang w:val="en-US" w:eastAsia="zh-CN" w:bidi="ar-SA"/>
        </w:rPr>
        <w:t>30</w:t>
      </w:r>
      <w:r>
        <w:rPr>
          <w:rFonts w:hint="eastAsia" w:ascii="宋体" w:hAnsi="宋体" w:cs="宋体"/>
          <w:kern w:val="2"/>
          <w:sz w:val="24"/>
          <w:szCs w:val="24"/>
          <w:lang w:val="en-US" w:eastAsia="zh-CN" w:bidi="ar-SA"/>
        </w:rPr>
        <w:t>天</w:t>
      </w:r>
    </w:p>
    <w:p>
      <w:pPr>
        <w:snapToGrid w:val="0"/>
        <w:spacing w:line="360" w:lineRule="auto"/>
        <w:rPr>
          <w:rFonts w:hint="eastAsia" w:ascii="宋体" w:hAnsi="宋体" w:cs="宋体"/>
          <w:color w:val="auto"/>
          <w:sz w:val="24"/>
          <w:szCs w:val="24"/>
          <w:highlight w:val="none"/>
        </w:rPr>
      </w:pPr>
      <w:r>
        <w:rPr>
          <w:rFonts w:hint="eastAsia" w:ascii="宋体" w:hAnsi="宋体" w:cs="宋体"/>
          <w:b/>
          <w:bCs/>
          <w:sz w:val="24"/>
          <w:szCs w:val="24"/>
        </w:rPr>
        <w:t>五、付款方式</w:t>
      </w:r>
    </w:p>
    <w:p>
      <w:pPr>
        <w:snapToGrid w:val="0"/>
        <w:spacing w:line="360" w:lineRule="auto"/>
        <w:ind w:firstLine="420"/>
        <w:rPr>
          <w:rFonts w:hint="default" w:ascii="宋体" w:hAnsi="宋体" w:eastAsia="宋体" w:cs="宋体"/>
          <w:color w:val="auto"/>
          <w:sz w:val="24"/>
          <w:szCs w:val="24"/>
          <w:highlight w:val="yellow"/>
          <w:lang w:val="en-US" w:eastAsia="zh-CN"/>
        </w:rPr>
      </w:pPr>
      <w:r>
        <w:rPr>
          <w:rFonts w:hint="eastAsia" w:ascii="宋体" w:hAnsi="宋体" w:cs="宋体"/>
          <w:color w:val="auto"/>
          <w:sz w:val="24"/>
          <w:szCs w:val="24"/>
          <w:highlight w:val="none"/>
          <w:lang w:val="en-US" w:eastAsia="zh-CN"/>
        </w:rPr>
        <w:t>最终付款已实际合同签订为准。</w:t>
      </w:r>
    </w:p>
    <w:p>
      <w:pPr>
        <w:pStyle w:val="8"/>
        <w:spacing w:before="0" w:after="0" w:line="312" w:lineRule="auto"/>
        <w:rPr>
          <w:rFonts w:ascii="宋体" w:hAnsi="宋体" w:cs="宋体"/>
          <w:sz w:val="24"/>
          <w:szCs w:val="24"/>
        </w:rPr>
      </w:pPr>
      <w:bookmarkStart w:id="19" w:name="_Toc11828"/>
      <w:bookmarkStart w:id="20" w:name="_Toc27955"/>
      <w:bookmarkStart w:id="21" w:name="_Toc20778"/>
      <w:bookmarkStart w:id="22" w:name="_Toc5085"/>
      <w:bookmarkStart w:id="23" w:name="_Toc9654"/>
      <w:bookmarkStart w:id="24" w:name="_Toc3475"/>
      <w:bookmarkStart w:id="25" w:name="_Toc25886"/>
      <w:bookmarkStart w:id="26" w:name="_Toc15478"/>
      <w:bookmarkStart w:id="27" w:name="_Toc25516"/>
      <w:bookmarkStart w:id="28" w:name="_Toc14778"/>
      <w:bookmarkStart w:id="29" w:name="_Toc31315"/>
      <w:bookmarkStart w:id="30" w:name="_Toc9027"/>
      <w:bookmarkStart w:id="31" w:name="_Toc19730"/>
      <w:bookmarkStart w:id="32" w:name="_Toc13969"/>
      <w:r>
        <w:rPr>
          <w:rFonts w:hint="eastAsia" w:ascii="宋体" w:hAnsi="宋体" w:cs="宋体"/>
          <w:sz w:val="24"/>
          <w:szCs w:val="24"/>
        </w:rPr>
        <w:t>六、联系方式</w:t>
      </w:r>
      <w:bookmarkEnd w:id="19"/>
      <w:bookmarkEnd w:id="20"/>
      <w:bookmarkEnd w:id="21"/>
      <w:bookmarkEnd w:id="22"/>
      <w:bookmarkEnd w:id="23"/>
      <w:bookmarkEnd w:id="24"/>
      <w:bookmarkEnd w:id="25"/>
    </w:p>
    <w:p>
      <w:pPr>
        <w:snapToGrid w:val="0"/>
        <w:spacing w:line="360" w:lineRule="auto"/>
        <w:ind w:firstLine="42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采购人：贡觉县水利局</w:t>
      </w:r>
    </w:p>
    <w:p>
      <w:pPr>
        <w:snapToGrid w:val="0"/>
        <w:spacing w:line="360" w:lineRule="auto"/>
        <w:ind w:firstLine="42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cs="宋体"/>
          <w:color w:val="auto"/>
          <w:sz w:val="24"/>
          <w:szCs w:val="24"/>
          <w:highlight w:val="none"/>
          <w:lang w:val="en-US" w:eastAsia="zh-CN"/>
        </w:rPr>
        <w:t>李先生</w:t>
      </w:r>
    </w:p>
    <w:p>
      <w:pPr>
        <w:snapToGrid w:val="0"/>
        <w:spacing w:line="360" w:lineRule="auto"/>
        <w:ind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  话：17789051518</w:t>
      </w:r>
    </w:p>
    <w:p>
      <w:pPr>
        <w:snapToGrid w:val="0"/>
        <w:spacing w:line="360" w:lineRule="auto"/>
        <w:ind w:firstLine="42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地  址：昌都市贡觉县</w:t>
      </w:r>
    </w:p>
    <w:p>
      <w:pPr>
        <w:pStyle w:val="8"/>
        <w:keepNext w:val="0"/>
        <w:spacing w:before="0" w:after="0" w:line="312" w:lineRule="auto"/>
        <w:rPr>
          <w:rFonts w:ascii="宋体" w:hAnsi="宋体" w:cs="宋体"/>
          <w:sz w:val="24"/>
          <w:szCs w:val="24"/>
        </w:rPr>
      </w:pPr>
      <w:r>
        <w:rPr>
          <w:rFonts w:hint="eastAsia" w:ascii="宋体" w:hAnsi="宋体" w:cs="宋体"/>
          <w:sz w:val="24"/>
          <w:szCs w:val="24"/>
        </w:rPr>
        <w:t>七、</w:t>
      </w:r>
      <w:bookmarkEnd w:id="26"/>
      <w:bookmarkEnd w:id="27"/>
      <w:bookmarkEnd w:id="28"/>
      <w:bookmarkEnd w:id="29"/>
      <w:bookmarkEnd w:id="30"/>
      <w:bookmarkEnd w:id="31"/>
      <w:bookmarkEnd w:id="32"/>
      <w:r>
        <w:rPr>
          <w:rFonts w:hint="eastAsia" w:ascii="宋体" w:hAnsi="宋体" w:cs="宋体"/>
          <w:sz w:val="24"/>
          <w:szCs w:val="24"/>
        </w:rPr>
        <w:t>其它有关规定</w:t>
      </w:r>
    </w:p>
    <w:p>
      <w:pPr>
        <w:keepLines/>
        <w:spacing w:line="312" w:lineRule="auto"/>
        <w:rPr>
          <w:rFonts w:ascii="宋体" w:hAnsi="宋体" w:cs="宋体"/>
          <w:color w:val="auto"/>
          <w:sz w:val="24"/>
          <w:szCs w:val="24"/>
        </w:rPr>
      </w:pPr>
      <w:r>
        <w:rPr>
          <w:rFonts w:hint="eastAsia" w:ascii="宋体" w:hAnsi="宋体" w:cs="宋体"/>
          <w:sz w:val="24"/>
          <w:szCs w:val="24"/>
        </w:rPr>
        <w:t>1、凡有意参加询比的供应商，请于公告发布之日起至报名截止时间之前，</w:t>
      </w:r>
      <w:r>
        <w:rPr>
          <w:rFonts w:hint="eastAsia" w:ascii="宋体" w:hAnsi="宋体" w:cs="宋体"/>
          <w:color w:val="auto"/>
          <w:sz w:val="24"/>
          <w:szCs w:val="24"/>
        </w:rPr>
        <w:t>在</w:t>
      </w:r>
      <w:r>
        <w:rPr>
          <w:rFonts w:hint="eastAsia" w:ascii="宋体" w:hAnsi="宋体" w:cs="宋体"/>
          <w:color w:val="auto"/>
          <w:sz w:val="24"/>
          <w:szCs w:val="24"/>
          <w:lang w:eastAsia="zh-CN"/>
        </w:rPr>
        <w:t>西藏自治区昌都市电子卖场·服务超市</w:t>
      </w:r>
      <w:r>
        <w:rPr>
          <w:rFonts w:hint="eastAsia" w:ascii="宋体" w:hAnsi="宋体" w:cs="宋体"/>
          <w:color w:val="auto"/>
          <w:sz w:val="24"/>
          <w:szCs w:val="24"/>
        </w:rPr>
        <w:t>网上下载查看本项目需求文件以及变更公告等询比前公布的所有项目资料，无论供应商下载查看与否，均视为已知晓所有询比实质性要求内容。</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2、供应商须在平台上报名并按要求上传响应文件，未按要求提供的为无效供应商。</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3、无论询比结果如何，供应商参与本项目的所有费用均由自行承担。</w:t>
      </w:r>
    </w:p>
    <w:p>
      <w:pPr>
        <w:snapToGrid w:val="0"/>
        <w:spacing w:line="360" w:lineRule="auto"/>
        <w:rPr>
          <w:rFonts w:ascii="宋体" w:hAnsi="宋体" w:cs="宋体"/>
          <w:b/>
          <w:bCs/>
          <w:color w:val="auto"/>
          <w:sz w:val="24"/>
          <w:szCs w:val="24"/>
        </w:rPr>
      </w:pPr>
      <w:r>
        <w:rPr>
          <w:rFonts w:hint="eastAsia" w:ascii="宋体" w:hAnsi="宋体" w:cs="宋体"/>
          <w:b/>
          <w:bCs/>
          <w:color w:val="auto"/>
          <w:sz w:val="24"/>
          <w:szCs w:val="24"/>
        </w:rPr>
        <w:t>八、评选方法</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1、本项目不组织现场开标，由采购人采取网上开标评标的方式采购。在规定的截止时间前，供应商应按要求上传响应文件。</w:t>
      </w:r>
    </w:p>
    <w:p>
      <w:pPr>
        <w:spacing w:line="312" w:lineRule="auto"/>
        <w:ind w:firstLine="480" w:firstLineChars="200"/>
        <w:rPr>
          <w:rFonts w:ascii="宋体" w:hAnsi="宋体" w:cs="宋体"/>
          <w:sz w:val="24"/>
          <w:szCs w:val="24"/>
        </w:rPr>
      </w:pPr>
      <w:r>
        <w:rPr>
          <w:rFonts w:hint="eastAsia" w:ascii="宋体" w:hAnsi="宋体" w:cs="宋体"/>
          <w:color w:val="auto"/>
          <w:sz w:val="24"/>
          <w:szCs w:val="24"/>
        </w:rPr>
        <w:t>2、定标原则：综合评分法。满分100分，采购人对已入围评审的报名供应商</w:t>
      </w:r>
      <w:r>
        <w:rPr>
          <w:rFonts w:hint="eastAsia" w:ascii="宋体" w:hAnsi="宋体" w:cs="宋体"/>
          <w:sz w:val="24"/>
          <w:szCs w:val="24"/>
        </w:rPr>
        <w:t>的响应文件和报价进行评分，得分最高的供应商为成交供应商；未入围的报名供应商不参与评审。入围：是指采购人使用筛选工具后未筛除的供应商。</w:t>
      </w:r>
    </w:p>
    <w:p>
      <w:pPr>
        <w:snapToGrid w:val="0"/>
        <w:spacing w:line="360" w:lineRule="auto"/>
        <w:ind w:firstLine="420"/>
        <w:rPr>
          <w:rFonts w:hint="default" w:ascii="宋体" w:hAnsi="宋体" w:eastAsia="宋体" w:cs="宋体"/>
          <w:color w:val="auto"/>
          <w:sz w:val="24"/>
          <w:szCs w:val="24"/>
          <w:highlight w:val="none"/>
          <w:lang w:val="en-US" w:eastAsia="zh-CN"/>
        </w:rPr>
      </w:pPr>
      <w:r>
        <w:rPr>
          <w:rFonts w:hint="eastAsia" w:ascii="宋体" w:hAnsi="宋体" w:cs="宋体"/>
          <w:sz w:val="24"/>
          <w:szCs w:val="24"/>
        </w:rPr>
        <w:t>如供应商得分相同，</w:t>
      </w:r>
      <w:r>
        <w:rPr>
          <w:rFonts w:hint="eastAsia" w:ascii="宋体" w:hAnsi="宋体" w:cs="宋体"/>
          <w:sz w:val="24"/>
          <w:szCs w:val="24"/>
          <w:lang w:val="en-US" w:eastAsia="zh-CN"/>
        </w:rPr>
        <w:t>采取随机抽取的方式确定。</w:t>
      </w:r>
    </w:p>
    <w:p>
      <w:pPr>
        <w:snapToGrid w:val="0"/>
        <w:spacing w:line="360" w:lineRule="auto"/>
        <w:rPr>
          <w:rFonts w:ascii="宋体" w:hAnsi="宋体" w:cs="宋体"/>
          <w:sz w:val="24"/>
        </w:rPr>
      </w:pPr>
      <w:r>
        <w:rPr>
          <w:rFonts w:hint="eastAsia" w:ascii="宋体" w:hAnsi="宋体"/>
          <w:b/>
          <w:sz w:val="24"/>
        </w:rPr>
        <w:t>九、无效响应</w:t>
      </w:r>
    </w:p>
    <w:p>
      <w:pPr>
        <w:spacing w:line="312" w:lineRule="auto"/>
        <w:ind w:firstLine="480" w:firstLineChars="200"/>
        <w:rPr>
          <w:rFonts w:ascii="宋体" w:hAnsi="宋体" w:cs="宋体"/>
          <w:sz w:val="24"/>
          <w:szCs w:val="24"/>
        </w:rPr>
      </w:pPr>
      <w:r>
        <w:rPr>
          <w:rFonts w:hint="eastAsia" w:ascii="宋体" w:hAnsi="宋体" w:cs="宋体"/>
          <w:sz w:val="24"/>
          <w:szCs w:val="24"/>
        </w:rPr>
        <w:t>投标供应商出现以下情形，进行废标处理：</w:t>
      </w:r>
    </w:p>
    <w:p>
      <w:pPr>
        <w:spacing w:line="312" w:lineRule="auto"/>
        <w:ind w:firstLine="480" w:firstLineChars="200"/>
        <w:rPr>
          <w:rFonts w:ascii="宋体" w:hAnsi="宋体" w:cs="宋体"/>
          <w:sz w:val="24"/>
          <w:szCs w:val="24"/>
        </w:rPr>
      </w:pPr>
      <w:r>
        <w:rPr>
          <w:rFonts w:hint="eastAsia" w:ascii="宋体" w:hAnsi="宋体" w:cs="宋体"/>
          <w:sz w:val="24"/>
          <w:szCs w:val="24"/>
        </w:rPr>
        <w:t>1、供应商不具备采购文件规定的基本资格条件或特定资格条件；</w:t>
      </w:r>
    </w:p>
    <w:p>
      <w:pPr>
        <w:spacing w:line="312" w:lineRule="auto"/>
        <w:ind w:firstLine="480" w:firstLineChars="200"/>
        <w:rPr>
          <w:rFonts w:ascii="宋体" w:hAnsi="宋体" w:cs="宋体"/>
          <w:sz w:val="24"/>
          <w:szCs w:val="24"/>
        </w:rPr>
      </w:pPr>
      <w:r>
        <w:rPr>
          <w:rFonts w:hint="eastAsia" w:ascii="宋体" w:hAnsi="宋体" w:cs="宋体"/>
          <w:sz w:val="24"/>
          <w:szCs w:val="24"/>
        </w:rPr>
        <w:t>2、响应文件不按规定的格式、内容填写或未按规定上传的；</w:t>
      </w:r>
    </w:p>
    <w:p>
      <w:pPr>
        <w:spacing w:line="312" w:lineRule="auto"/>
        <w:ind w:firstLine="480" w:firstLineChars="200"/>
        <w:rPr>
          <w:rFonts w:ascii="宋体" w:hAnsi="宋体" w:cs="宋体"/>
          <w:sz w:val="24"/>
          <w:szCs w:val="24"/>
        </w:rPr>
      </w:pPr>
      <w:r>
        <w:rPr>
          <w:rFonts w:hint="eastAsia" w:ascii="宋体" w:hAnsi="宋体" w:cs="宋体"/>
          <w:sz w:val="24"/>
          <w:szCs w:val="24"/>
        </w:rPr>
        <w:t>3、供应商超出营业范围响应的；</w:t>
      </w:r>
    </w:p>
    <w:p>
      <w:pPr>
        <w:spacing w:line="312" w:lineRule="auto"/>
        <w:ind w:firstLine="480" w:firstLineChars="200"/>
        <w:rPr>
          <w:rFonts w:ascii="宋体" w:hAnsi="宋体" w:cs="宋体"/>
          <w:sz w:val="24"/>
          <w:szCs w:val="24"/>
        </w:rPr>
      </w:pPr>
      <w:r>
        <w:rPr>
          <w:rFonts w:hint="eastAsia" w:ascii="宋体" w:hAnsi="宋体" w:cs="宋体"/>
          <w:sz w:val="24"/>
          <w:szCs w:val="24"/>
        </w:rPr>
        <w:t>4、响应文件出现多个响应方案或响应报价的；</w:t>
      </w:r>
    </w:p>
    <w:p>
      <w:pPr>
        <w:spacing w:line="312" w:lineRule="auto"/>
        <w:ind w:firstLine="480" w:firstLineChars="200"/>
        <w:rPr>
          <w:rFonts w:ascii="宋体" w:hAnsi="宋体" w:cs="宋体"/>
          <w:sz w:val="24"/>
          <w:szCs w:val="24"/>
        </w:rPr>
      </w:pPr>
      <w:r>
        <w:rPr>
          <w:rFonts w:hint="eastAsia" w:ascii="宋体" w:hAnsi="宋体" w:cs="宋体"/>
          <w:sz w:val="24"/>
          <w:szCs w:val="24"/>
        </w:rPr>
        <w:t>5、供应商的响应文件内容与采购项目要求有严重背离；</w:t>
      </w:r>
    </w:p>
    <w:p>
      <w:pPr>
        <w:spacing w:line="312" w:lineRule="auto"/>
        <w:ind w:firstLine="480" w:firstLineChars="200"/>
        <w:rPr>
          <w:rFonts w:ascii="宋体" w:hAnsi="宋体" w:cs="宋体"/>
          <w:sz w:val="24"/>
          <w:szCs w:val="24"/>
        </w:rPr>
      </w:pPr>
      <w:r>
        <w:rPr>
          <w:rFonts w:hint="eastAsia" w:ascii="宋体" w:hAnsi="宋体" w:cs="宋体"/>
          <w:sz w:val="24"/>
          <w:szCs w:val="24"/>
        </w:rPr>
        <w:t>6、出现影响采购公正的违法、违规行为的；</w:t>
      </w:r>
    </w:p>
    <w:p>
      <w:pPr>
        <w:spacing w:line="312" w:lineRule="auto"/>
        <w:ind w:firstLine="480" w:firstLineChars="200"/>
        <w:rPr>
          <w:rFonts w:ascii="宋体" w:hAnsi="宋体" w:cs="宋体"/>
          <w:sz w:val="24"/>
          <w:szCs w:val="24"/>
        </w:rPr>
      </w:pPr>
      <w:r>
        <w:rPr>
          <w:rFonts w:hint="eastAsia" w:ascii="宋体" w:hAnsi="宋体" w:cs="宋体"/>
          <w:sz w:val="24"/>
          <w:szCs w:val="24"/>
        </w:rPr>
        <w:t>7、响应报价超出采购最高限价的；</w:t>
      </w:r>
    </w:p>
    <w:p>
      <w:pPr>
        <w:spacing w:line="312" w:lineRule="auto"/>
        <w:ind w:firstLine="480" w:firstLineChars="200"/>
        <w:rPr>
          <w:rFonts w:ascii="宋体" w:hAnsi="宋体" w:cs="宋体"/>
          <w:sz w:val="24"/>
          <w:szCs w:val="24"/>
        </w:rPr>
      </w:pPr>
      <w:r>
        <w:rPr>
          <w:rFonts w:hint="eastAsia" w:ascii="宋体" w:hAnsi="宋体" w:cs="宋体"/>
          <w:sz w:val="24"/>
          <w:szCs w:val="24"/>
        </w:rPr>
        <w:t>8、出现不符合必须强制执行的国家标准的；</w:t>
      </w:r>
    </w:p>
    <w:p>
      <w:pPr>
        <w:spacing w:line="312" w:lineRule="auto"/>
        <w:ind w:firstLine="480" w:firstLineChars="200"/>
        <w:rPr>
          <w:rFonts w:ascii="宋体" w:hAnsi="宋体" w:cs="宋体"/>
          <w:sz w:val="24"/>
          <w:szCs w:val="24"/>
        </w:rPr>
      </w:pPr>
      <w:r>
        <w:rPr>
          <w:rFonts w:hint="eastAsia" w:ascii="宋体" w:hAnsi="宋体" w:cs="宋体"/>
          <w:sz w:val="24"/>
          <w:szCs w:val="24"/>
        </w:rPr>
        <w:t>9、响应文件含有违反国家法律、法规的内容，或附有采购人不能接受条件的；</w:t>
      </w:r>
    </w:p>
    <w:p>
      <w:pPr>
        <w:ind w:firstLine="240" w:firstLineChars="100"/>
        <w:rPr>
          <w:rFonts w:hint="eastAsia"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资质文件内容复印不清楚，评审小组无法确认其内容。</w:t>
      </w:r>
      <w:bookmarkStart w:id="33" w:name="_Toc18176"/>
    </w:p>
    <w:bookmarkEnd w:id="33"/>
    <w:p>
      <w:pPr>
        <w:spacing w:line="500" w:lineRule="exact"/>
        <w:rPr>
          <w:rFonts w:ascii="宋体" w:hAnsi="宋体"/>
          <w:b/>
          <w:sz w:val="24"/>
        </w:rPr>
      </w:pPr>
      <w:r>
        <w:rPr>
          <w:rFonts w:hint="eastAsia" w:ascii="宋体" w:hAnsi="宋体"/>
          <w:b/>
          <w:sz w:val="24"/>
        </w:rPr>
        <w:t>十、其他</w:t>
      </w:r>
    </w:p>
    <w:p>
      <w:pPr>
        <w:spacing w:line="312" w:lineRule="auto"/>
        <w:ind w:firstLine="480" w:firstLineChars="200"/>
        <w:rPr>
          <w:rFonts w:ascii="宋体" w:hAnsi="宋体" w:cs="宋体"/>
          <w:sz w:val="24"/>
          <w:szCs w:val="24"/>
        </w:rPr>
      </w:pPr>
      <w:r>
        <w:rPr>
          <w:rFonts w:hint="eastAsia" w:ascii="宋体" w:hAnsi="宋体" w:cs="宋体"/>
          <w:sz w:val="24"/>
          <w:szCs w:val="24"/>
        </w:rPr>
        <w:t>1、供应商必须对以上条款和服务承诺明确列出，承诺内容必须达到要求。</w:t>
      </w:r>
    </w:p>
    <w:p>
      <w:pPr>
        <w:spacing w:line="312" w:lineRule="auto"/>
        <w:ind w:firstLine="480" w:firstLineChars="200"/>
        <w:rPr>
          <w:rFonts w:ascii="宋体" w:hAnsi="宋体" w:cs="宋体"/>
          <w:sz w:val="24"/>
          <w:szCs w:val="24"/>
        </w:rPr>
      </w:pPr>
      <w:r>
        <w:rPr>
          <w:rFonts w:hint="eastAsia" w:ascii="宋体" w:hAnsi="宋体" w:cs="宋体"/>
          <w:sz w:val="24"/>
          <w:szCs w:val="24"/>
        </w:rPr>
        <w:t>2、其他未尽事宜由供需双方在采购合同中详细约定。</w:t>
      </w:r>
    </w:p>
    <w:p>
      <w:pPr>
        <w:spacing w:line="312" w:lineRule="auto"/>
        <w:rPr>
          <w:rFonts w:ascii="宋体" w:hAnsi="宋体" w:cs="宋体"/>
          <w:b/>
          <w:bCs/>
          <w:color w:val="auto"/>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一</w:t>
      </w:r>
      <w:r>
        <w:rPr>
          <w:rFonts w:hint="eastAsia" w:ascii="宋体" w:hAnsi="宋体" w:cs="宋体"/>
          <w:b/>
          <w:bCs/>
          <w:color w:val="auto"/>
          <w:sz w:val="24"/>
          <w:szCs w:val="24"/>
        </w:rPr>
        <w:t>、供应商提交响应文件</w:t>
      </w:r>
    </w:p>
    <w:p>
      <w:pPr>
        <w:spacing w:line="312" w:lineRule="auto"/>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1、供应商线上报名、报价时需上传盖章后的电子文档</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PDF格式</w:t>
      </w:r>
      <w:r>
        <w:rPr>
          <w:rFonts w:hint="eastAsia" w:ascii="宋体" w:hAnsi="宋体" w:cs="宋体"/>
          <w:color w:val="auto"/>
          <w:sz w:val="24"/>
          <w:szCs w:val="24"/>
          <w:lang w:eastAsia="zh-CN"/>
        </w:rPr>
        <w:t>）</w:t>
      </w:r>
      <w:r>
        <w:rPr>
          <w:rFonts w:hint="eastAsia" w:ascii="宋体" w:hAnsi="宋体" w:cs="宋体"/>
          <w:color w:val="auto"/>
          <w:sz w:val="24"/>
          <w:szCs w:val="24"/>
        </w:rPr>
        <w:t>一份</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纸质版两份递交至贡觉县水利局。</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2、采购人将以平台的线上资料作为评判依据，供应商在平台填写的报价与电子文档的报价不一致的，以平台填写的为准。</w:t>
      </w:r>
    </w:p>
    <w:p>
      <w:pPr>
        <w:spacing w:line="312" w:lineRule="auto"/>
        <w:ind w:firstLine="480" w:firstLineChars="200"/>
        <w:rPr>
          <w:b/>
          <w:kern w:val="0"/>
          <w:sz w:val="24"/>
        </w:rPr>
      </w:pPr>
      <w:r>
        <w:rPr>
          <w:rFonts w:hint="eastAsia" w:ascii="宋体" w:hAnsi="宋体" w:cs="宋体"/>
          <w:color w:val="auto"/>
          <w:sz w:val="24"/>
          <w:szCs w:val="24"/>
        </w:rPr>
        <w:t>3、供应商制作的响应文件电子文档，须按照要求制作，规定签字、盖章的地方必须按其规定签字、盖章，未按要求制作响应文件的进行废标处理。</w:t>
      </w:r>
    </w:p>
    <w:p>
      <w:pPr>
        <w:adjustRightInd w:val="0"/>
        <w:snapToGrid w:val="0"/>
        <w:spacing w:line="240" w:lineRule="auto"/>
        <w:ind w:left="638" w:leftChars="228"/>
        <w:jc w:val="center"/>
        <w:rPr>
          <w:b/>
          <w:kern w:val="0"/>
          <w:sz w:val="24"/>
        </w:rPr>
      </w:pPr>
    </w:p>
    <w:p>
      <w:pPr>
        <w:adjustRightInd w:val="0"/>
        <w:snapToGrid w:val="0"/>
        <w:spacing w:line="240" w:lineRule="auto"/>
        <w:ind w:left="638" w:leftChars="228"/>
        <w:jc w:val="center"/>
        <w:rPr>
          <w:b/>
          <w:kern w:val="0"/>
          <w:sz w:val="24"/>
        </w:rPr>
      </w:pPr>
      <w:r>
        <w:rPr>
          <w:b/>
          <w:kern w:val="0"/>
          <w:sz w:val="24"/>
        </w:rPr>
        <w:t>评分标准表</w:t>
      </w:r>
    </w:p>
    <w:tbl>
      <w:tblPr>
        <w:tblStyle w:val="18"/>
        <w:tblpPr w:leftFromText="180" w:rightFromText="180" w:vertAnchor="text" w:horzAnchor="page" w:tblpX="1419" w:tblpY="459"/>
        <w:tblOverlap w:val="never"/>
        <w:tblW w:w="9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2304"/>
        <w:gridCol w:w="5313"/>
        <w:gridCol w:w="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2" w:type="dxa"/>
          <w:trHeight w:val="474" w:hRule="atLeast"/>
        </w:trPr>
        <w:tc>
          <w:tcPr>
            <w:tcW w:w="1681" w:type="dxa"/>
            <w:vAlign w:val="center"/>
          </w:tcPr>
          <w:p>
            <w:pPr>
              <w:spacing w:line="240" w:lineRule="auto"/>
              <w:jc w:val="center"/>
              <w:rPr>
                <w:b/>
                <w:color w:val="auto"/>
                <w:sz w:val="24"/>
                <w:highlight w:val="none"/>
              </w:rPr>
            </w:pPr>
            <w:r>
              <w:rPr>
                <w:b/>
                <w:color w:val="auto"/>
                <w:sz w:val="24"/>
                <w:highlight w:val="none"/>
              </w:rPr>
              <w:t>条款号</w:t>
            </w:r>
          </w:p>
        </w:tc>
        <w:tc>
          <w:tcPr>
            <w:tcW w:w="2304" w:type="dxa"/>
            <w:vAlign w:val="center"/>
          </w:tcPr>
          <w:p>
            <w:pPr>
              <w:spacing w:line="240" w:lineRule="auto"/>
              <w:jc w:val="center"/>
              <w:rPr>
                <w:b/>
                <w:color w:val="auto"/>
                <w:sz w:val="24"/>
                <w:highlight w:val="none"/>
              </w:rPr>
            </w:pPr>
            <w:r>
              <w:rPr>
                <w:b/>
                <w:color w:val="auto"/>
                <w:sz w:val="24"/>
                <w:highlight w:val="none"/>
              </w:rPr>
              <w:t>评审因素</w:t>
            </w:r>
          </w:p>
        </w:tc>
        <w:tc>
          <w:tcPr>
            <w:tcW w:w="5313" w:type="dxa"/>
            <w:vAlign w:val="center"/>
          </w:tcPr>
          <w:p>
            <w:pPr>
              <w:spacing w:line="240" w:lineRule="auto"/>
              <w:jc w:val="center"/>
              <w:rPr>
                <w:b/>
                <w:color w:val="auto"/>
                <w:sz w:val="24"/>
                <w:highlight w:val="none"/>
              </w:rPr>
            </w:pPr>
            <w:r>
              <w:rPr>
                <w:b/>
                <w:color w:val="auto"/>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2" w:type="dxa"/>
          <w:trHeight w:val="939" w:hRule="atLeast"/>
        </w:trPr>
        <w:tc>
          <w:tcPr>
            <w:tcW w:w="1681" w:type="dxa"/>
            <w:vMerge w:val="restart"/>
            <w:vAlign w:val="center"/>
          </w:tcPr>
          <w:p>
            <w:pPr>
              <w:spacing w:line="360" w:lineRule="auto"/>
              <w:jc w:val="center"/>
              <w:rPr>
                <w:color w:val="auto"/>
                <w:sz w:val="24"/>
                <w:highlight w:val="none"/>
              </w:rPr>
            </w:pPr>
            <w:r>
              <w:rPr>
                <w:color w:val="auto"/>
                <w:sz w:val="24"/>
                <w:highlight w:val="none"/>
              </w:rPr>
              <w:t>形式评审标准</w:t>
            </w:r>
          </w:p>
        </w:tc>
        <w:tc>
          <w:tcPr>
            <w:tcW w:w="2304" w:type="dxa"/>
            <w:vAlign w:val="center"/>
          </w:tcPr>
          <w:p>
            <w:pPr>
              <w:spacing w:line="360" w:lineRule="auto"/>
              <w:jc w:val="center"/>
              <w:rPr>
                <w:color w:val="auto"/>
                <w:sz w:val="24"/>
                <w:highlight w:val="none"/>
              </w:rPr>
            </w:pPr>
            <w:r>
              <w:rPr>
                <w:color w:val="auto"/>
                <w:sz w:val="24"/>
                <w:highlight w:val="none"/>
              </w:rPr>
              <w:t>申请人名称</w:t>
            </w:r>
          </w:p>
        </w:tc>
        <w:tc>
          <w:tcPr>
            <w:tcW w:w="5313" w:type="dxa"/>
            <w:vAlign w:val="center"/>
          </w:tcPr>
          <w:p>
            <w:pPr>
              <w:spacing w:line="360" w:lineRule="auto"/>
              <w:rPr>
                <w:color w:val="auto"/>
                <w:sz w:val="24"/>
                <w:highlight w:val="none"/>
              </w:rPr>
            </w:pPr>
            <w:r>
              <w:rPr>
                <w:color w:val="auto"/>
                <w:sz w:val="24"/>
                <w:highlight w:val="none"/>
              </w:rPr>
              <w:t>与营业执照</w:t>
            </w:r>
            <w:r>
              <w:rPr>
                <w:rFonts w:hint="eastAsia"/>
                <w:color w:val="auto"/>
                <w:sz w:val="24"/>
                <w:highlight w:val="none"/>
                <w:lang w:val="en-US" w:eastAsia="zh-CN"/>
              </w:rPr>
              <w:t>或事业单位法人证书</w:t>
            </w:r>
            <w:r>
              <w:rPr>
                <w:color w:val="auto"/>
                <w:sz w:val="24"/>
                <w:highlight w:val="none"/>
              </w:rPr>
              <w:t>一致（如果有名称变更，应附相应的证明文件）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2" w:type="dxa"/>
          <w:trHeight w:val="474" w:hRule="atLeast"/>
        </w:trPr>
        <w:tc>
          <w:tcPr>
            <w:tcW w:w="1681" w:type="dxa"/>
            <w:vMerge w:val="continue"/>
            <w:vAlign w:val="center"/>
          </w:tcPr>
          <w:p>
            <w:pPr>
              <w:spacing w:line="360" w:lineRule="auto"/>
              <w:jc w:val="center"/>
              <w:rPr>
                <w:color w:val="auto"/>
                <w:sz w:val="24"/>
                <w:highlight w:val="none"/>
              </w:rPr>
            </w:pPr>
          </w:p>
        </w:tc>
        <w:tc>
          <w:tcPr>
            <w:tcW w:w="2304" w:type="dxa"/>
            <w:vAlign w:val="center"/>
          </w:tcPr>
          <w:p>
            <w:pPr>
              <w:spacing w:line="360" w:lineRule="auto"/>
              <w:jc w:val="center"/>
              <w:rPr>
                <w:color w:val="auto"/>
                <w:sz w:val="24"/>
                <w:highlight w:val="none"/>
              </w:rPr>
            </w:pPr>
            <w:r>
              <w:rPr>
                <w:color w:val="auto"/>
                <w:sz w:val="24"/>
                <w:highlight w:val="none"/>
              </w:rPr>
              <w:t>申请文件签字盖章</w:t>
            </w:r>
          </w:p>
        </w:tc>
        <w:tc>
          <w:tcPr>
            <w:tcW w:w="5313" w:type="dxa"/>
            <w:vAlign w:val="center"/>
          </w:tcPr>
          <w:p>
            <w:pPr>
              <w:spacing w:line="360" w:lineRule="auto"/>
              <w:rPr>
                <w:color w:val="auto"/>
                <w:sz w:val="24"/>
                <w:highlight w:val="none"/>
              </w:rPr>
            </w:pPr>
            <w:r>
              <w:rPr>
                <w:color w:val="auto"/>
                <w:sz w:val="24"/>
                <w:highlight w:val="none"/>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2" w:type="dxa"/>
          <w:trHeight w:val="509" w:hRule="atLeast"/>
        </w:trPr>
        <w:tc>
          <w:tcPr>
            <w:tcW w:w="1681" w:type="dxa"/>
            <w:vMerge w:val="continue"/>
            <w:vAlign w:val="center"/>
          </w:tcPr>
          <w:p>
            <w:pPr>
              <w:spacing w:line="360" w:lineRule="auto"/>
              <w:jc w:val="center"/>
              <w:rPr>
                <w:color w:val="auto"/>
                <w:sz w:val="24"/>
                <w:highlight w:val="none"/>
              </w:rPr>
            </w:pPr>
          </w:p>
        </w:tc>
        <w:tc>
          <w:tcPr>
            <w:tcW w:w="2304" w:type="dxa"/>
            <w:vAlign w:val="center"/>
          </w:tcPr>
          <w:p>
            <w:pPr>
              <w:spacing w:line="360" w:lineRule="auto"/>
              <w:jc w:val="center"/>
              <w:rPr>
                <w:color w:val="auto"/>
                <w:sz w:val="24"/>
                <w:highlight w:val="none"/>
              </w:rPr>
            </w:pPr>
            <w:r>
              <w:rPr>
                <w:color w:val="auto"/>
                <w:sz w:val="24"/>
                <w:highlight w:val="none"/>
              </w:rPr>
              <w:t>比选申请函格式</w:t>
            </w:r>
          </w:p>
        </w:tc>
        <w:tc>
          <w:tcPr>
            <w:tcW w:w="5313" w:type="dxa"/>
            <w:vAlign w:val="center"/>
          </w:tcPr>
          <w:p>
            <w:pPr>
              <w:spacing w:line="360" w:lineRule="auto"/>
              <w:rPr>
                <w:color w:val="auto"/>
                <w:sz w:val="24"/>
                <w:highlight w:val="none"/>
              </w:rPr>
            </w:pPr>
            <w:r>
              <w:rPr>
                <w:color w:val="auto"/>
                <w:sz w:val="24"/>
                <w:highlight w:val="none"/>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2" w:type="dxa"/>
          <w:trHeight w:val="474" w:hRule="atLeast"/>
        </w:trPr>
        <w:tc>
          <w:tcPr>
            <w:tcW w:w="1681" w:type="dxa"/>
            <w:vMerge w:val="continue"/>
            <w:vAlign w:val="center"/>
          </w:tcPr>
          <w:p>
            <w:pPr>
              <w:spacing w:line="360" w:lineRule="auto"/>
              <w:jc w:val="center"/>
              <w:rPr>
                <w:color w:val="auto"/>
                <w:sz w:val="24"/>
                <w:highlight w:val="none"/>
              </w:rPr>
            </w:pPr>
          </w:p>
        </w:tc>
        <w:tc>
          <w:tcPr>
            <w:tcW w:w="2304" w:type="dxa"/>
            <w:vAlign w:val="center"/>
          </w:tcPr>
          <w:p>
            <w:pPr>
              <w:spacing w:line="360" w:lineRule="auto"/>
              <w:jc w:val="center"/>
              <w:rPr>
                <w:color w:val="auto"/>
                <w:sz w:val="24"/>
                <w:highlight w:val="none"/>
              </w:rPr>
            </w:pPr>
            <w:r>
              <w:rPr>
                <w:color w:val="auto"/>
                <w:sz w:val="24"/>
                <w:highlight w:val="none"/>
              </w:rPr>
              <w:t>申请文件组成</w:t>
            </w:r>
          </w:p>
        </w:tc>
        <w:tc>
          <w:tcPr>
            <w:tcW w:w="5313" w:type="dxa"/>
            <w:vAlign w:val="center"/>
          </w:tcPr>
          <w:p>
            <w:pPr>
              <w:spacing w:line="360" w:lineRule="auto"/>
              <w:rPr>
                <w:color w:val="auto"/>
                <w:sz w:val="24"/>
                <w:highlight w:val="none"/>
              </w:rPr>
            </w:pPr>
            <w:r>
              <w:rPr>
                <w:color w:val="auto"/>
                <w:sz w:val="24"/>
                <w:highlight w:val="none"/>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2" w:type="dxa"/>
          <w:trHeight w:val="583" w:hRule="atLeast"/>
        </w:trPr>
        <w:tc>
          <w:tcPr>
            <w:tcW w:w="1681" w:type="dxa"/>
            <w:vMerge w:val="restart"/>
            <w:vAlign w:val="center"/>
          </w:tcPr>
          <w:p>
            <w:pPr>
              <w:spacing w:line="360" w:lineRule="auto"/>
              <w:jc w:val="center"/>
              <w:rPr>
                <w:sz w:val="24"/>
                <w:highlight w:val="none"/>
              </w:rPr>
            </w:pPr>
            <w:r>
              <w:rPr>
                <w:sz w:val="24"/>
                <w:highlight w:val="none"/>
              </w:rPr>
              <w:t>资格评审标准</w:t>
            </w:r>
          </w:p>
        </w:tc>
        <w:tc>
          <w:tcPr>
            <w:tcW w:w="2304" w:type="dxa"/>
            <w:vAlign w:val="center"/>
          </w:tcPr>
          <w:p>
            <w:pPr>
              <w:spacing w:line="360" w:lineRule="auto"/>
              <w:jc w:val="center"/>
              <w:rPr>
                <w:sz w:val="24"/>
                <w:highlight w:val="none"/>
              </w:rPr>
            </w:pPr>
            <w:r>
              <w:rPr>
                <w:sz w:val="24"/>
                <w:highlight w:val="none"/>
              </w:rPr>
              <w:t>具有独立承担民事责任的能力</w:t>
            </w:r>
          </w:p>
        </w:tc>
        <w:tc>
          <w:tcPr>
            <w:tcW w:w="5313" w:type="dxa"/>
            <w:vAlign w:val="center"/>
          </w:tcPr>
          <w:p>
            <w:pPr>
              <w:spacing w:line="360" w:lineRule="auto"/>
              <w:rPr>
                <w:rFonts w:hint="default" w:eastAsia="宋体"/>
                <w:sz w:val="24"/>
                <w:highlight w:val="none"/>
                <w:lang w:val="en-US" w:eastAsia="zh-CN"/>
              </w:rPr>
            </w:pPr>
            <w:r>
              <w:rPr>
                <w:rFonts w:hint="eastAsia"/>
                <w:sz w:val="24"/>
                <w:highlight w:val="none"/>
                <w:lang w:val="en-US" w:eastAsia="zh-CN"/>
              </w:rPr>
              <w:t>提供有效的营业执照或事业单位法人证书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2" w:type="dxa"/>
          <w:trHeight w:val="1434" w:hRule="atLeast"/>
        </w:trPr>
        <w:tc>
          <w:tcPr>
            <w:tcW w:w="1681" w:type="dxa"/>
            <w:vMerge w:val="continue"/>
            <w:vAlign w:val="center"/>
          </w:tcPr>
          <w:p>
            <w:pPr>
              <w:spacing w:line="360" w:lineRule="auto"/>
              <w:jc w:val="center"/>
              <w:rPr>
                <w:sz w:val="24"/>
                <w:highlight w:val="none"/>
              </w:rPr>
            </w:pPr>
          </w:p>
        </w:tc>
        <w:tc>
          <w:tcPr>
            <w:tcW w:w="2304" w:type="dxa"/>
            <w:vAlign w:val="center"/>
          </w:tcPr>
          <w:p>
            <w:pPr>
              <w:spacing w:line="360" w:lineRule="auto"/>
              <w:jc w:val="center"/>
              <w:rPr>
                <w:sz w:val="24"/>
                <w:highlight w:val="none"/>
              </w:rPr>
            </w:pPr>
            <w:r>
              <w:rPr>
                <w:sz w:val="24"/>
                <w:highlight w:val="none"/>
              </w:rPr>
              <w:t>具有良好的商业信誉和健全的财务会计制度</w:t>
            </w:r>
          </w:p>
        </w:tc>
        <w:tc>
          <w:tcPr>
            <w:tcW w:w="5313" w:type="dxa"/>
            <w:vAlign w:val="center"/>
          </w:tcPr>
          <w:p>
            <w:pPr>
              <w:spacing w:line="276" w:lineRule="auto"/>
              <w:rPr>
                <w:rFonts w:hint="default" w:eastAsia="宋体"/>
                <w:sz w:val="24"/>
                <w:highlight w:val="none"/>
                <w:lang w:val="en-US" w:eastAsia="zh-CN"/>
              </w:rPr>
            </w:pPr>
            <w:r>
              <w:rPr>
                <w:rFonts w:hint="eastAsia"/>
                <w:sz w:val="24"/>
                <w:highlight w:val="none"/>
                <w:lang w:val="en-US" w:eastAsia="zh-CN"/>
              </w:rPr>
              <w:t>提供近三年任意一年经会计师事务所出具的审计报告或提供银行资信证明（新成立的公司提供成立以来本公司的相应的财务报表）或提供银行资信证明或承诺书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2" w:type="dxa"/>
          <w:trHeight w:val="939" w:hRule="atLeast"/>
        </w:trPr>
        <w:tc>
          <w:tcPr>
            <w:tcW w:w="1681" w:type="dxa"/>
            <w:vMerge w:val="continue"/>
            <w:vAlign w:val="center"/>
          </w:tcPr>
          <w:p>
            <w:pPr>
              <w:spacing w:line="360" w:lineRule="auto"/>
              <w:jc w:val="center"/>
              <w:rPr>
                <w:sz w:val="24"/>
                <w:highlight w:val="none"/>
              </w:rPr>
            </w:pPr>
          </w:p>
        </w:tc>
        <w:tc>
          <w:tcPr>
            <w:tcW w:w="2304" w:type="dxa"/>
            <w:vAlign w:val="center"/>
          </w:tcPr>
          <w:p>
            <w:pPr>
              <w:spacing w:line="360" w:lineRule="auto"/>
              <w:jc w:val="center"/>
              <w:rPr>
                <w:sz w:val="24"/>
                <w:highlight w:val="none"/>
              </w:rPr>
            </w:pPr>
            <w:r>
              <w:rPr>
                <w:sz w:val="24"/>
                <w:highlight w:val="none"/>
              </w:rPr>
              <w:t>具有履</w:t>
            </w:r>
            <w:r>
              <w:rPr>
                <w:rFonts w:hint="eastAsia"/>
                <w:sz w:val="24"/>
                <w:highlight w:val="none"/>
              </w:rPr>
              <w:t>行</w:t>
            </w:r>
            <w:r>
              <w:rPr>
                <w:sz w:val="24"/>
                <w:highlight w:val="none"/>
              </w:rPr>
              <w:t>合同所必需的设备和专业技术能力</w:t>
            </w:r>
          </w:p>
        </w:tc>
        <w:tc>
          <w:tcPr>
            <w:tcW w:w="5313" w:type="dxa"/>
            <w:vAlign w:val="center"/>
          </w:tcPr>
          <w:p>
            <w:pPr>
              <w:spacing w:line="360" w:lineRule="auto"/>
              <w:rPr>
                <w:sz w:val="24"/>
                <w:highlight w:val="none"/>
              </w:rPr>
            </w:pPr>
            <w:r>
              <w:rPr>
                <w:rFonts w:hint="eastAsia"/>
                <w:sz w:val="24"/>
                <w:highlight w:val="none"/>
              </w:rPr>
              <w:t>提供</w:t>
            </w:r>
            <w:r>
              <w:rPr>
                <w:rFonts w:hint="eastAsia"/>
                <w:sz w:val="24"/>
                <w:highlight w:val="none"/>
                <w:lang w:val="en-US" w:eastAsia="zh-CN"/>
              </w:rPr>
              <w:t>承诺书或相关证明材料</w:t>
            </w:r>
            <w:r>
              <w:rPr>
                <w:rFonts w:hint="eastAsia"/>
                <w:sz w:val="24"/>
                <w:highlight w:val="none"/>
              </w:rPr>
              <w:t>，并附在申请文件中</w:t>
            </w:r>
            <w:r>
              <w:rPr>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2" w:type="dxa"/>
          <w:trHeight w:val="939" w:hRule="atLeast"/>
        </w:trPr>
        <w:tc>
          <w:tcPr>
            <w:tcW w:w="1681" w:type="dxa"/>
            <w:vMerge w:val="continue"/>
            <w:vAlign w:val="center"/>
          </w:tcPr>
          <w:p>
            <w:pPr>
              <w:spacing w:line="360" w:lineRule="auto"/>
              <w:jc w:val="center"/>
              <w:rPr>
                <w:sz w:val="24"/>
                <w:highlight w:val="none"/>
              </w:rPr>
            </w:pPr>
          </w:p>
        </w:tc>
        <w:tc>
          <w:tcPr>
            <w:tcW w:w="2304" w:type="dxa"/>
            <w:vAlign w:val="center"/>
          </w:tcPr>
          <w:p>
            <w:pPr>
              <w:spacing w:line="360" w:lineRule="auto"/>
              <w:jc w:val="center"/>
              <w:rPr>
                <w:sz w:val="24"/>
                <w:highlight w:val="none"/>
              </w:rPr>
            </w:pPr>
            <w:r>
              <w:rPr>
                <w:rFonts w:hint="eastAsia" w:ascii="宋体" w:hAnsi="宋体" w:cs="宋体"/>
                <w:sz w:val="24"/>
                <w:szCs w:val="24"/>
              </w:rPr>
              <w:t>有依法缴纳税收和社会保障资金的良好记录</w:t>
            </w:r>
          </w:p>
        </w:tc>
        <w:tc>
          <w:tcPr>
            <w:tcW w:w="5313" w:type="dxa"/>
            <w:vAlign w:val="center"/>
          </w:tcPr>
          <w:p>
            <w:pPr>
              <w:spacing w:line="360" w:lineRule="auto"/>
              <w:rPr>
                <w:rFonts w:hint="default"/>
                <w:sz w:val="24"/>
                <w:highlight w:val="none"/>
                <w:lang w:val="en-US"/>
              </w:rPr>
            </w:pPr>
            <w:r>
              <w:rPr>
                <w:rFonts w:hint="eastAsia"/>
                <w:sz w:val="24"/>
                <w:highlight w:val="none"/>
                <w:lang w:val="en-US" w:eastAsia="zh-CN"/>
              </w:rPr>
              <w:t>1、供应商需提供购买2023年-2024年任意3个月社保（新成立公司提供成立以来的社保缴纳凭证）。2、供应商需</w:t>
            </w:r>
            <w:r>
              <w:rPr>
                <w:rFonts w:hint="eastAsia"/>
                <w:color w:val="auto"/>
                <w:sz w:val="24"/>
                <w:highlight w:val="none"/>
                <w:lang w:val="en-US" w:eastAsia="zh-CN"/>
              </w:rPr>
              <w:t>提供2023年-2024年任意3个月</w:t>
            </w:r>
            <w:r>
              <w:rPr>
                <w:rFonts w:hint="eastAsia"/>
                <w:sz w:val="24"/>
                <w:highlight w:val="none"/>
                <w:lang w:val="en-US" w:eastAsia="zh-CN"/>
              </w:rPr>
              <w:t>有效的依法纳税证明，纳税证明凭证或零申报凭证；或承诺书。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2" w:type="dxa"/>
          <w:trHeight w:val="1475" w:hRule="atLeast"/>
        </w:trPr>
        <w:tc>
          <w:tcPr>
            <w:tcW w:w="1681" w:type="dxa"/>
            <w:vMerge w:val="continue"/>
            <w:vAlign w:val="center"/>
          </w:tcPr>
          <w:p>
            <w:pPr>
              <w:spacing w:line="360" w:lineRule="auto"/>
              <w:jc w:val="center"/>
              <w:rPr>
                <w:sz w:val="24"/>
                <w:highlight w:val="none"/>
              </w:rPr>
            </w:pPr>
          </w:p>
        </w:tc>
        <w:tc>
          <w:tcPr>
            <w:tcW w:w="2304" w:type="dxa"/>
            <w:vAlign w:val="center"/>
          </w:tcPr>
          <w:p>
            <w:pPr>
              <w:spacing w:line="360" w:lineRule="auto"/>
              <w:jc w:val="center"/>
              <w:rPr>
                <w:sz w:val="24"/>
                <w:highlight w:val="none"/>
              </w:rPr>
            </w:pPr>
            <w:r>
              <w:rPr>
                <w:rFonts w:hint="eastAsia" w:ascii="宋体" w:hAnsi="宋体" w:cs="宋体"/>
                <w:sz w:val="24"/>
                <w:szCs w:val="24"/>
              </w:rPr>
              <w:t>参加政府采购活动前三年内，在经营活动中没有重大违法记录</w:t>
            </w:r>
          </w:p>
        </w:tc>
        <w:tc>
          <w:tcPr>
            <w:tcW w:w="5313" w:type="dxa"/>
            <w:vAlign w:val="center"/>
          </w:tcPr>
          <w:p>
            <w:pPr>
              <w:pageBreakBefore w:val="0"/>
              <w:widowControl w:val="0"/>
              <w:numPr>
                <w:ilvl w:val="0"/>
                <w:numId w:val="0"/>
              </w:numPr>
              <w:kinsoku/>
              <w:wordWrap/>
              <w:overflowPunct/>
              <w:topLinePunct w:val="0"/>
              <w:bidi w:val="0"/>
              <w:snapToGrid/>
              <w:spacing w:line="530" w:lineRule="exact"/>
              <w:textAlignment w:val="auto"/>
            </w:pPr>
            <w:r>
              <w:rPr>
                <w:rFonts w:hint="eastAsia"/>
                <w:sz w:val="24"/>
                <w:highlight w:val="none"/>
                <w:lang w:val="en-US" w:eastAsia="zh-CN"/>
              </w:rPr>
              <w:t>提供声明书</w:t>
            </w:r>
          </w:p>
          <w:p>
            <w:pPr>
              <w:spacing w:line="360" w:lineRule="auto"/>
              <w:rPr>
                <w:rFonts w:hint="default" w:eastAsia="宋体"/>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2" w:type="dxa"/>
          <w:trHeight w:val="1403" w:hRule="atLeast"/>
        </w:trPr>
        <w:tc>
          <w:tcPr>
            <w:tcW w:w="1681" w:type="dxa"/>
            <w:vMerge w:val="continue"/>
            <w:vAlign w:val="center"/>
          </w:tcPr>
          <w:p>
            <w:pPr>
              <w:spacing w:line="360" w:lineRule="auto"/>
              <w:jc w:val="center"/>
              <w:rPr>
                <w:sz w:val="24"/>
                <w:highlight w:val="none"/>
              </w:rPr>
            </w:pPr>
          </w:p>
        </w:tc>
        <w:tc>
          <w:tcPr>
            <w:tcW w:w="2304" w:type="dxa"/>
            <w:vAlign w:val="center"/>
          </w:tcPr>
          <w:p>
            <w:pPr>
              <w:spacing w:line="360" w:lineRule="auto"/>
              <w:jc w:val="center"/>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rPr>
              <w:t>特定资格要求</w:t>
            </w:r>
          </w:p>
        </w:tc>
        <w:tc>
          <w:tcPr>
            <w:tcW w:w="5313" w:type="dxa"/>
            <w:vAlign w:val="center"/>
          </w:tcPr>
          <w:p>
            <w:pPr>
              <w:spacing w:line="360" w:lineRule="auto"/>
              <w:jc w:val="left"/>
              <w:rPr>
                <w:rFonts w:hint="default" w:ascii="Times New Roman" w:hAnsi="Times New Roman" w:cs="Times New Roman"/>
                <w:color w:val="auto"/>
                <w:sz w:val="24"/>
                <w:highlight w:val="none"/>
                <w:lang w:val="en-US" w:eastAsia="zh-CN"/>
              </w:rPr>
            </w:pPr>
            <w:r>
              <w:rPr>
                <w:rFonts w:hint="eastAsia" w:ascii="宋体" w:hAnsi="宋体" w:cs="宋体"/>
                <w:sz w:val="24"/>
                <w:szCs w:val="24"/>
                <w:lang w:val="en-US" w:eastAsia="zh-CN"/>
              </w:rPr>
              <w:t>投标供应商必须是符合国家规定的审计资格的会计师事务所，具备合格有效的国家行政主管部门颁发的《会计师事务所执业证书》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2" w:type="dxa"/>
          <w:trHeight w:val="474" w:hRule="atLeast"/>
        </w:trPr>
        <w:tc>
          <w:tcPr>
            <w:tcW w:w="1681" w:type="dxa"/>
            <w:vMerge w:val="continue"/>
            <w:vAlign w:val="center"/>
          </w:tcPr>
          <w:p>
            <w:pPr>
              <w:spacing w:line="360" w:lineRule="auto"/>
              <w:jc w:val="center"/>
              <w:rPr>
                <w:sz w:val="24"/>
                <w:highlight w:val="none"/>
              </w:rPr>
            </w:pPr>
          </w:p>
        </w:tc>
        <w:tc>
          <w:tcPr>
            <w:tcW w:w="2304" w:type="dxa"/>
            <w:vAlign w:val="center"/>
          </w:tcPr>
          <w:p>
            <w:pPr>
              <w:spacing w:line="360" w:lineRule="auto"/>
              <w:jc w:val="center"/>
              <w:rPr>
                <w:sz w:val="24"/>
                <w:highlight w:val="none"/>
              </w:rPr>
            </w:pPr>
            <w:r>
              <w:rPr>
                <w:sz w:val="24"/>
                <w:highlight w:val="none"/>
              </w:rPr>
              <w:t>联合体</w:t>
            </w:r>
            <w:r>
              <w:rPr>
                <w:rFonts w:hint="eastAsia"/>
                <w:sz w:val="24"/>
                <w:highlight w:val="none"/>
              </w:rPr>
              <w:t>申请人</w:t>
            </w:r>
          </w:p>
        </w:tc>
        <w:tc>
          <w:tcPr>
            <w:tcW w:w="5313" w:type="dxa"/>
            <w:vAlign w:val="center"/>
          </w:tcPr>
          <w:p>
            <w:pPr>
              <w:spacing w:line="360" w:lineRule="auto"/>
              <w:rPr>
                <w:sz w:val="24"/>
                <w:highlight w:val="none"/>
              </w:rPr>
            </w:pPr>
            <w:r>
              <w:rPr>
                <w:rFonts w:hint="eastAsia"/>
                <w:sz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2" w:type="dxa"/>
          <w:trHeight w:val="1057" w:hRule="atLeast"/>
        </w:trPr>
        <w:tc>
          <w:tcPr>
            <w:tcW w:w="3985" w:type="dxa"/>
            <w:gridSpan w:val="2"/>
            <w:vAlign w:val="center"/>
          </w:tcPr>
          <w:p>
            <w:pPr>
              <w:spacing w:line="240" w:lineRule="auto"/>
              <w:jc w:val="center"/>
              <w:rPr>
                <w:sz w:val="24"/>
                <w:highlight w:val="none"/>
              </w:rPr>
            </w:pPr>
            <w:r>
              <w:rPr>
                <w:sz w:val="24"/>
                <w:highlight w:val="none"/>
              </w:rPr>
              <w:t>分值构成</w:t>
            </w:r>
          </w:p>
          <w:p>
            <w:pPr>
              <w:spacing w:line="240" w:lineRule="auto"/>
              <w:jc w:val="center"/>
              <w:rPr>
                <w:sz w:val="24"/>
                <w:highlight w:val="none"/>
              </w:rPr>
            </w:pPr>
            <w:r>
              <w:rPr>
                <w:sz w:val="24"/>
                <w:highlight w:val="none"/>
              </w:rPr>
              <w:t>(总分100分)</w:t>
            </w:r>
          </w:p>
        </w:tc>
        <w:tc>
          <w:tcPr>
            <w:tcW w:w="5313" w:type="dxa"/>
            <w:vAlign w:val="center"/>
          </w:tcPr>
          <w:p>
            <w:pPr>
              <w:spacing w:line="240" w:lineRule="auto"/>
              <w:rPr>
                <w:color w:val="auto"/>
                <w:sz w:val="24"/>
                <w:highlight w:val="none"/>
              </w:rPr>
            </w:pPr>
            <w:r>
              <w:rPr>
                <w:color w:val="auto"/>
                <w:sz w:val="24"/>
                <w:highlight w:val="none"/>
              </w:rPr>
              <w:t>（1）商务文件部分：</w:t>
            </w:r>
            <w:r>
              <w:rPr>
                <w:rFonts w:hint="eastAsia"/>
                <w:color w:val="auto"/>
                <w:sz w:val="24"/>
                <w:highlight w:val="none"/>
                <w:u w:val="single"/>
                <w:lang w:val="en-US" w:eastAsia="zh-CN"/>
              </w:rPr>
              <w:t>30</w:t>
            </w:r>
            <w:r>
              <w:rPr>
                <w:color w:val="auto"/>
                <w:sz w:val="24"/>
                <w:highlight w:val="none"/>
              </w:rPr>
              <w:t>分</w:t>
            </w:r>
          </w:p>
          <w:p>
            <w:pPr>
              <w:spacing w:line="240" w:lineRule="auto"/>
              <w:rPr>
                <w:color w:val="auto"/>
                <w:sz w:val="24"/>
                <w:highlight w:val="none"/>
              </w:rPr>
            </w:pPr>
            <w:r>
              <w:rPr>
                <w:color w:val="auto"/>
                <w:sz w:val="24"/>
                <w:highlight w:val="none"/>
              </w:rPr>
              <w:t>（2）技术文件部分：</w:t>
            </w:r>
            <w:r>
              <w:rPr>
                <w:rFonts w:hint="eastAsia"/>
                <w:color w:val="auto"/>
                <w:sz w:val="24"/>
                <w:highlight w:val="none"/>
                <w:u w:val="single"/>
                <w:lang w:val="en-US" w:eastAsia="zh-CN"/>
              </w:rPr>
              <w:t>50</w:t>
            </w:r>
            <w:r>
              <w:rPr>
                <w:color w:val="auto"/>
                <w:sz w:val="24"/>
                <w:highlight w:val="none"/>
              </w:rPr>
              <w:t>分</w:t>
            </w:r>
          </w:p>
          <w:p>
            <w:pPr>
              <w:spacing w:line="240" w:lineRule="auto"/>
              <w:rPr>
                <w:color w:val="auto"/>
                <w:sz w:val="24"/>
                <w:highlight w:val="none"/>
              </w:rPr>
            </w:pPr>
            <w:r>
              <w:rPr>
                <w:color w:val="auto"/>
                <w:sz w:val="24"/>
                <w:highlight w:val="none"/>
              </w:rPr>
              <w:t>（3）响应报价：</w:t>
            </w:r>
            <w:r>
              <w:rPr>
                <w:rFonts w:hint="eastAsia"/>
                <w:color w:val="auto"/>
                <w:sz w:val="24"/>
                <w:highlight w:val="none"/>
                <w:u w:val="single"/>
                <w:lang w:val="en-US" w:eastAsia="zh-CN"/>
              </w:rPr>
              <w:t>20</w:t>
            </w:r>
            <w:r>
              <w:rPr>
                <w:rFonts w:ascii="Times New Roman" w:hAnsi="Times New Roman" w:eastAsia="宋体" w:cs="Times New Roman"/>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2" w:type="dxa"/>
          <w:trHeight w:val="1293" w:hRule="atLeast"/>
        </w:trPr>
        <w:tc>
          <w:tcPr>
            <w:tcW w:w="1681" w:type="dxa"/>
            <w:vMerge w:val="restart"/>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商务文件评分标准</w:t>
            </w: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（总分</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分）</w:t>
            </w:r>
          </w:p>
        </w:tc>
        <w:tc>
          <w:tcPr>
            <w:tcW w:w="2304" w:type="dxa"/>
            <w:vAlign w:val="center"/>
          </w:tcPr>
          <w:p>
            <w:pPr>
              <w:spacing w:line="240" w:lineRule="auto"/>
              <w:jc w:val="center"/>
              <w:rPr>
                <w:rFonts w:hint="eastAsia"/>
                <w:sz w:val="24"/>
                <w:highlight w:val="none"/>
                <w:lang w:val="en-US" w:eastAsia="zh-CN"/>
              </w:rPr>
            </w:pPr>
            <w:r>
              <w:rPr>
                <w:rFonts w:hint="eastAsia"/>
                <w:sz w:val="24"/>
                <w:highlight w:val="none"/>
                <w:lang w:val="en-US" w:eastAsia="zh-CN"/>
              </w:rPr>
              <w:t>类似项目业绩</w:t>
            </w:r>
          </w:p>
          <w:p>
            <w:pPr>
              <w:spacing w:line="240" w:lineRule="auto"/>
              <w:jc w:val="center"/>
              <w:rPr>
                <w:rFonts w:hint="eastAsia" w:ascii="宋体" w:hAnsi="宋体" w:eastAsia="宋体" w:cs="宋体"/>
                <w:color w:val="0000FF"/>
                <w:sz w:val="24"/>
                <w:szCs w:val="24"/>
                <w:lang w:val="en-US" w:eastAsia="zh-CN"/>
              </w:rPr>
            </w:pPr>
            <w:r>
              <w:rPr>
                <w:rFonts w:hint="eastAsia"/>
                <w:sz w:val="24"/>
                <w:highlight w:val="none"/>
                <w:lang w:val="en-US" w:eastAsia="zh-CN"/>
              </w:rPr>
              <w:t>（10分）</w:t>
            </w:r>
          </w:p>
        </w:tc>
        <w:tc>
          <w:tcPr>
            <w:tcW w:w="5313" w:type="dxa"/>
          </w:tcPr>
          <w:p>
            <w:pPr>
              <w:spacing w:line="240" w:lineRule="auto"/>
              <w:jc w:val="left"/>
              <w:rPr>
                <w:rFonts w:hint="eastAsia"/>
                <w:sz w:val="24"/>
                <w:highlight w:val="none"/>
                <w:lang w:val="en-US" w:eastAsia="zh-CN"/>
              </w:rPr>
            </w:pPr>
            <w:r>
              <w:rPr>
                <w:rFonts w:hint="eastAsia"/>
                <w:sz w:val="24"/>
                <w:highlight w:val="none"/>
                <w:lang w:val="en-US" w:eastAsia="zh-CN"/>
              </w:rPr>
              <w:t>供应商自2020年1月1日起提供过类似服务的，每提供1项得5分，最高得10分。</w:t>
            </w:r>
          </w:p>
          <w:p>
            <w:pPr>
              <w:spacing w:line="240" w:lineRule="auto"/>
              <w:jc w:val="left"/>
              <w:rPr>
                <w:rFonts w:hint="eastAsia" w:ascii="宋体" w:hAnsi="宋体" w:eastAsia="宋体" w:cs="宋体"/>
                <w:color w:val="0000FF"/>
                <w:sz w:val="24"/>
                <w:szCs w:val="24"/>
                <w:lang w:val="en-US" w:eastAsia="zh-CN"/>
              </w:rPr>
            </w:pPr>
            <w:r>
              <w:rPr>
                <w:rFonts w:hint="eastAsia"/>
                <w:sz w:val="24"/>
                <w:highlight w:val="none"/>
                <w:lang w:val="en-US" w:eastAsia="zh-CN"/>
              </w:rPr>
              <w:t>注：须在比选申请文件中附业绩合同或其他可证明业绩的文件复印件或扫描件，否则不得分。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2" w:type="dxa"/>
          <w:trHeight w:val="1644" w:hRule="atLeast"/>
        </w:trPr>
        <w:tc>
          <w:tcPr>
            <w:tcW w:w="1681" w:type="dxa"/>
            <w:vMerge w:val="continue"/>
            <w:vAlign w:val="center"/>
          </w:tcPr>
          <w:p>
            <w:pPr>
              <w:spacing w:line="360" w:lineRule="auto"/>
              <w:jc w:val="center"/>
              <w:rPr>
                <w:rFonts w:hint="eastAsia" w:ascii="宋体" w:hAnsi="宋体" w:eastAsia="宋体" w:cs="宋体"/>
                <w:sz w:val="24"/>
                <w:szCs w:val="24"/>
                <w:highlight w:val="none"/>
              </w:rPr>
            </w:pPr>
          </w:p>
        </w:tc>
        <w:tc>
          <w:tcPr>
            <w:tcW w:w="2304" w:type="dxa"/>
            <w:vAlign w:val="center"/>
          </w:tcPr>
          <w:p>
            <w:pPr>
              <w:spacing w:line="240" w:lineRule="auto"/>
              <w:jc w:val="left"/>
              <w:rPr>
                <w:rFonts w:hint="default"/>
                <w:sz w:val="24"/>
                <w:highlight w:val="none"/>
                <w:lang w:val="en-US" w:eastAsia="zh-CN"/>
              </w:rPr>
            </w:pPr>
            <w:r>
              <w:rPr>
                <w:rFonts w:hint="eastAsia"/>
                <w:sz w:val="24"/>
                <w:highlight w:val="none"/>
                <w:lang w:val="en-US" w:eastAsia="zh-CN"/>
              </w:rPr>
              <w:t>人员配置(20分)</w:t>
            </w:r>
          </w:p>
        </w:tc>
        <w:tc>
          <w:tcPr>
            <w:tcW w:w="5313" w:type="dxa"/>
          </w:tcPr>
          <w:p>
            <w:pPr>
              <w:spacing w:line="240" w:lineRule="auto"/>
              <w:jc w:val="left"/>
              <w:rPr>
                <w:rFonts w:hint="eastAsia"/>
                <w:sz w:val="24"/>
                <w:highlight w:val="none"/>
                <w:lang w:val="en-US" w:eastAsia="zh-CN"/>
              </w:rPr>
            </w:pPr>
            <w:r>
              <w:rPr>
                <w:rFonts w:hint="eastAsia"/>
                <w:sz w:val="24"/>
                <w:highlight w:val="none"/>
                <w:lang w:val="en-US" w:eastAsia="zh-CN"/>
              </w:rPr>
              <w:t>投入财务审计的人员：</w:t>
            </w:r>
          </w:p>
          <w:p>
            <w:pPr>
              <w:spacing w:line="240" w:lineRule="auto"/>
              <w:jc w:val="left"/>
              <w:rPr>
                <w:rFonts w:hint="eastAsia"/>
                <w:sz w:val="24"/>
                <w:highlight w:val="none"/>
                <w:lang w:val="en-US" w:eastAsia="zh-CN"/>
              </w:rPr>
            </w:pPr>
            <w:bookmarkStart w:id="35" w:name="_GoBack"/>
            <w:bookmarkEnd w:id="35"/>
            <w:r>
              <w:rPr>
                <w:rFonts w:hint="eastAsia"/>
                <w:sz w:val="24"/>
                <w:highlight w:val="none"/>
                <w:lang w:val="en-US" w:eastAsia="zh-CN"/>
              </w:rPr>
              <w:t>（1）供应商本项目拟派人员具有注册会计师执业资格每人2分，本项最高得10分。（注：注册会计师须提供年检证明材料，逾期未年检、未提供不得分。）</w:t>
            </w:r>
          </w:p>
          <w:p>
            <w:pPr>
              <w:spacing w:line="240" w:lineRule="auto"/>
              <w:jc w:val="left"/>
              <w:rPr>
                <w:rFonts w:hint="eastAsia"/>
                <w:sz w:val="24"/>
                <w:highlight w:val="none"/>
                <w:lang w:val="en-US" w:eastAsia="zh-CN"/>
              </w:rPr>
            </w:pPr>
            <w:r>
              <w:rPr>
                <w:rFonts w:hint="eastAsia"/>
                <w:sz w:val="24"/>
                <w:highlight w:val="none"/>
                <w:lang w:val="en-US" w:eastAsia="zh-CN"/>
              </w:rPr>
              <w:t>（2）供应商投入本项目的项目负责人具有注册会计师执业资格的得3分，同时具有审计师及以上职称的加2分，本项最高得5分。</w:t>
            </w:r>
          </w:p>
          <w:p>
            <w:pPr>
              <w:spacing w:line="240" w:lineRule="auto"/>
              <w:jc w:val="left"/>
              <w:rPr>
                <w:rFonts w:hint="eastAsia"/>
                <w:sz w:val="24"/>
                <w:highlight w:val="none"/>
                <w:lang w:val="en-US" w:eastAsia="zh-CN"/>
              </w:rPr>
            </w:pPr>
            <w:r>
              <w:rPr>
                <w:rFonts w:hint="eastAsia"/>
                <w:sz w:val="24"/>
                <w:highlight w:val="none"/>
                <w:lang w:val="en-US" w:eastAsia="zh-CN"/>
              </w:rPr>
              <w:t>（3）配备参与本项目的其他审计人员不少于3人。其中，审计组成员具有中级会计职称，或具有初级会计职称且从事审计相关工作3年及以上（提供证明材料）得5分，否则不得分。</w:t>
            </w:r>
          </w:p>
          <w:p>
            <w:pPr>
              <w:spacing w:line="240" w:lineRule="auto"/>
              <w:jc w:val="left"/>
              <w:rPr>
                <w:rFonts w:hint="eastAsia"/>
                <w:sz w:val="24"/>
                <w:highlight w:val="none"/>
                <w:lang w:val="en-US" w:eastAsia="zh-CN"/>
              </w:rPr>
            </w:pPr>
            <w:r>
              <w:rPr>
                <w:rFonts w:hint="eastAsia"/>
                <w:sz w:val="24"/>
                <w:highlight w:val="none"/>
                <w:lang w:val="en-US" w:eastAsia="zh-CN"/>
              </w:rPr>
              <w:t>注：以上人员均须是供应商本单位人员，提供人员配备清单及相应的证明材料并加盖供应商公章。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4" w:hRule="atLeast"/>
        </w:trPr>
        <w:tc>
          <w:tcPr>
            <w:tcW w:w="1681" w:type="dxa"/>
            <w:vMerge w:val="restart"/>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技术文件评分标准</w:t>
            </w: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（总分</w:t>
            </w:r>
            <w:r>
              <w:rPr>
                <w:rFonts w:hint="eastAsia" w:ascii="宋体" w:hAnsi="宋体" w:cs="宋体"/>
                <w:sz w:val="24"/>
                <w:szCs w:val="24"/>
                <w:highlight w:val="none"/>
                <w:lang w:val="en-US" w:eastAsia="zh-CN"/>
              </w:rPr>
              <w:t>50</w:t>
            </w:r>
            <w:r>
              <w:rPr>
                <w:rFonts w:hint="eastAsia" w:ascii="宋体" w:hAnsi="宋体" w:eastAsia="宋体" w:cs="宋体"/>
                <w:sz w:val="24"/>
                <w:szCs w:val="24"/>
                <w:highlight w:val="none"/>
              </w:rPr>
              <w:t>分）</w:t>
            </w:r>
          </w:p>
        </w:tc>
        <w:tc>
          <w:tcPr>
            <w:tcW w:w="2304" w:type="dxa"/>
            <w:vMerge w:val="restart"/>
            <w:vAlign w:val="center"/>
          </w:tcPr>
          <w:p>
            <w:pPr>
              <w:rPr>
                <w:rFonts w:hint="eastAsia" w:ascii="宋体" w:hAnsi="宋体" w:cs="宋体"/>
                <w:color w:val="auto"/>
                <w:sz w:val="24"/>
                <w:szCs w:val="24"/>
                <w:lang w:val="en-US" w:eastAsia="zh-CN"/>
              </w:rPr>
            </w:pPr>
          </w:p>
          <w:p>
            <w:pPr>
              <w:rPr>
                <w:rFonts w:hint="eastAsia" w:ascii="宋体" w:hAnsi="宋体" w:cs="宋体"/>
                <w:color w:val="auto"/>
                <w:sz w:val="24"/>
                <w:szCs w:val="24"/>
                <w:lang w:val="en-US" w:eastAsia="zh-CN"/>
              </w:rPr>
            </w:pPr>
          </w:p>
          <w:p>
            <w:pP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服务方案（50分）</w:t>
            </w:r>
          </w:p>
        </w:tc>
        <w:tc>
          <w:tcPr>
            <w:tcW w:w="5313" w:type="dxa"/>
            <w:vMerge w:val="restart"/>
            <w:vAlign w:val="top"/>
          </w:tcPr>
          <w:p>
            <w:p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服务需求内容提供书面方案。</w:t>
            </w:r>
          </w:p>
          <w:p>
            <w:p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1、项目服务管理方案。（25分）</w:t>
            </w:r>
          </w:p>
          <w:p>
            <w:p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应针对所投项目特点和执行要求制度具体的服务管理方案。方案包括但不限于：为所投项目组织的工作团队；内部监督检查制度；质量把关制度；纪律约束制度等。</w:t>
            </w:r>
          </w:p>
          <w:p>
            <w:p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①方案详尽、完整、易于理解、具有建设性，得25-19分；</w:t>
            </w:r>
          </w:p>
          <w:p>
            <w:p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②方案基本完整、内容详细、无明显不准确、不合理问题，得18-12分；</w:t>
            </w:r>
          </w:p>
          <w:p>
            <w:p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③方案基本完整，但内容简单、操作性差，得11-6分；</w:t>
            </w:r>
          </w:p>
          <w:p>
            <w:p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④所提方案不完整，有明显不准确、不合理，得5-1分；</w:t>
            </w:r>
          </w:p>
          <w:p>
            <w:p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⑤无方案，得0分。</w:t>
            </w:r>
          </w:p>
          <w:p>
            <w:pPr>
              <w:pStyle w:val="2"/>
              <w:numPr>
                <w:ilvl w:val="0"/>
                <w:numId w:val="3"/>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项目实施方案（25分）</w:t>
            </w:r>
          </w:p>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应针对所投项目的特点和执行要求制度具体的实施方案。方案包括但不限于：为所投项目制定的工作计划；人员配置；保障措施；完成时限；售后服务等。</w:t>
            </w:r>
          </w:p>
          <w:p>
            <w:p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①方案详尽、完整、易于理解、具有建设性，得25-19分；</w:t>
            </w:r>
          </w:p>
          <w:p>
            <w:p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②方案基本完整、内容详细、无明显不准确、不合理问题，得18-12分；</w:t>
            </w:r>
          </w:p>
          <w:p>
            <w:p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③方案基本完整，但内容简单、操作性差，得11-6分；</w:t>
            </w:r>
          </w:p>
          <w:p>
            <w:p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④所提方案不完整，有明显不准确、不合理，得5-1分；</w:t>
            </w:r>
          </w:p>
          <w:p>
            <w:pPr>
              <w:rPr>
                <w:rFonts w:hint="default"/>
                <w:lang w:val="en-US" w:eastAsia="zh-CN"/>
              </w:rPr>
            </w:pPr>
            <w:r>
              <w:rPr>
                <w:rFonts w:hint="eastAsia" w:ascii="宋体" w:hAnsi="宋体" w:cs="宋体"/>
                <w:color w:val="auto"/>
                <w:sz w:val="24"/>
                <w:szCs w:val="24"/>
                <w:lang w:val="en-US" w:eastAsia="zh-CN"/>
              </w:rPr>
              <w:t>⑤无方案，得0分。</w:t>
            </w:r>
          </w:p>
        </w:tc>
        <w:tc>
          <w:tcPr>
            <w:tcW w:w="112" w:type="dxa"/>
            <w:vAlign w:val="top"/>
          </w:tcPr>
          <w:p>
            <w:pPr>
              <w:rPr>
                <w:rFonts w:hint="default" w:ascii="Arial"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681" w:type="dxa"/>
            <w:vMerge w:val="continue"/>
            <w:vAlign w:val="center"/>
          </w:tcPr>
          <w:p>
            <w:pPr>
              <w:spacing w:line="360" w:lineRule="auto"/>
              <w:jc w:val="center"/>
              <w:rPr>
                <w:rFonts w:hint="eastAsia" w:ascii="宋体" w:hAnsi="宋体" w:eastAsia="宋体" w:cs="宋体"/>
                <w:sz w:val="24"/>
                <w:szCs w:val="24"/>
                <w:highlight w:val="none"/>
              </w:rPr>
            </w:pPr>
          </w:p>
        </w:tc>
        <w:tc>
          <w:tcPr>
            <w:tcW w:w="2304" w:type="dxa"/>
            <w:vMerge w:val="continue"/>
            <w:vAlign w:val="center"/>
          </w:tcPr>
          <w:p>
            <w:pPr>
              <w:spacing w:line="400" w:lineRule="exact"/>
              <w:contextualSpacing/>
              <w:jc w:val="center"/>
              <w:rPr>
                <w:rFonts w:hint="default" w:ascii="宋体" w:hAnsi="宋体" w:eastAsia="宋体" w:cs="宋体"/>
                <w:color w:val="auto"/>
                <w:sz w:val="24"/>
                <w:szCs w:val="24"/>
                <w:lang w:val="en-US" w:eastAsia="zh-CN"/>
              </w:rPr>
            </w:pPr>
          </w:p>
        </w:tc>
        <w:tc>
          <w:tcPr>
            <w:tcW w:w="5313" w:type="dxa"/>
            <w:vMerge w:val="continue"/>
            <w:vAlign w:val="top"/>
          </w:tcPr>
          <w:p>
            <w:pPr>
              <w:spacing w:line="400" w:lineRule="exact"/>
              <w:contextualSpacing/>
              <w:rPr>
                <w:rFonts w:hint="eastAsia" w:ascii="宋体" w:hAnsi="宋体" w:eastAsia="宋体" w:cs="宋体"/>
                <w:color w:val="auto"/>
                <w:sz w:val="24"/>
                <w:szCs w:val="24"/>
                <w:lang w:val="en-US" w:eastAsia="zh-CN"/>
              </w:rPr>
            </w:pPr>
          </w:p>
        </w:tc>
        <w:tc>
          <w:tcPr>
            <w:tcW w:w="112" w:type="dxa"/>
            <w:vAlign w:val="top"/>
          </w:tcPr>
          <w:p>
            <w:pPr>
              <w:rPr>
                <w:rFonts w:hint="eastAsia" w:ascii="Arial"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2" w:type="dxa"/>
          <w:trHeight w:val="4019" w:hRule="atLeast"/>
        </w:trPr>
        <w:tc>
          <w:tcPr>
            <w:tcW w:w="3985" w:type="dxa"/>
            <w:gridSpan w:val="2"/>
            <w:vMerge w:val="restart"/>
            <w:vAlign w:val="center"/>
          </w:tcPr>
          <w:p>
            <w:pPr>
              <w:spacing w:line="360" w:lineRule="auto"/>
              <w:jc w:val="center"/>
              <w:rPr>
                <w:color w:val="auto"/>
                <w:sz w:val="24"/>
                <w:highlight w:val="none"/>
              </w:rPr>
            </w:pPr>
            <w:r>
              <w:rPr>
                <w:color w:val="auto"/>
                <w:sz w:val="24"/>
                <w:highlight w:val="none"/>
              </w:rPr>
              <w:t>报价评分标准</w:t>
            </w:r>
          </w:p>
          <w:p>
            <w:pPr>
              <w:spacing w:line="360" w:lineRule="auto"/>
              <w:jc w:val="center"/>
              <w:rPr>
                <w:sz w:val="24"/>
                <w:highlight w:val="none"/>
              </w:rPr>
            </w:pPr>
            <w:r>
              <w:rPr>
                <w:color w:val="auto"/>
                <w:sz w:val="24"/>
                <w:highlight w:val="none"/>
              </w:rPr>
              <w:t>（总分</w:t>
            </w:r>
            <w:r>
              <w:rPr>
                <w:rFonts w:hint="eastAsia"/>
                <w:color w:val="auto"/>
                <w:sz w:val="24"/>
                <w:highlight w:val="none"/>
                <w:lang w:val="en-US" w:eastAsia="zh-CN"/>
              </w:rPr>
              <w:t>20</w:t>
            </w:r>
            <w:r>
              <w:rPr>
                <w:color w:val="auto"/>
                <w:sz w:val="24"/>
                <w:highlight w:val="none"/>
              </w:rPr>
              <w:t>分）</w:t>
            </w:r>
          </w:p>
        </w:tc>
        <w:tc>
          <w:tcPr>
            <w:tcW w:w="5313" w:type="dxa"/>
            <w:vAlign w:val="center"/>
          </w:tcPr>
          <w:p>
            <w:pPr>
              <w:pStyle w:val="28"/>
              <w:spacing w:before="1"/>
              <w:ind w:left="1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根据《政府采购货物和服务招标投标管理办法》（财政部令第87号）第五十五条规定：</w:t>
            </w:r>
          </w:p>
          <w:p>
            <w:pPr>
              <w:pStyle w:val="28"/>
              <w:spacing w:before="1"/>
              <w:ind w:left="1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服务项目的价格分值占总分值的比重不得低于10%，执行国家统一定价标准和采用固定价格采购的项目，其价格不列为评审因素。</w:t>
            </w:r>
          </w:p>
          <w:p>
            <w:pPr>
              <w:pStyle w:val="28"/>
              <w:spacing w:before="1"/>
              <w:ind w:left="100"/>
              <w:jc w:val="both"/>
              <w:rPr>
                <w:rFonts w:hint="default"/>
                <w:lang w:val="en-US" w:eastAsia="zh-CN"/>
              </w:rPr>
            </w:pPr>
            <w:r>
              <w:rPr>
                <w:rFonts w:hint="eastAsia" w:ascii="宋体" w:hAnsi="宋体" w:eastAsia="宋体" w:cs="宋体"/>
                <w:kern w:val="2"/>
                <w:sz w:val="24"/>
                <w:szCs w:val="24"/>
                <w:lang w:val="en-US" w:eastAsia="zh-CN" w:bidi="ar-SA"/>
              </w:rPr>
              <w:t>价格分应当采用低价优先法计算，即满足招标文件要求且投标价格最低的投标报价为评标基准价，其价格分为满分。其他投标人的价格分统一按照下列公式计算：投标报价得分=(评标基准价／投标报价)×</w:t>
            </w:r>
            <w:r>
              <w:rPr>
                <w:rFonts w:hint="eastAsia" w:cs="宋体"/>
                <w:kern w:val="2"/>
                <w:sz w:val="24"/>
                <w:szCs w:val="24"/>
                <w:lang w:val="en-US" w:eastAsia="zh-CN" w:bidi="ar-SA"/>
              </w:rPr>
              <w:t>2</w:t>
            </w:r>
            <w:r>
              <w:rPr>
                <w:rFonts w:hint="eastAsia" w:ascii="宋体" w:hAnsi="宋体" w:eastAsia="宋体" w:cs="宋体"/>
                <w:kern w:val="2"/>
                <w:sz w:val="24"/>
                <w:szCs w:val="24"/>
                <w:lang w:val="en-US" w:eastAsia="zh-CN" w:bidi="ar-SA"/>
              </w:rPr>
              <w:t>0%×100最低报价不能作为中标的保证。所有投标报价总价以人民币元为单位。未按规定报价或投标报价超过招标控制价的为无效报价，报价不得分。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2" w:type="dxa"/>
          <w:trHeight w:val="2574" w:hRule="atLeast"/>
        </w:trPr>
        <w:tc>
          <w:tcPr>
            <w:tcW w:w="3985" w:type="dxa"/>
            <w:gridSpan w:val="2"/>
            <w:vMerge w:val="continue"/>
            <w:vAlign w:val="center"/>
          </w:tcPr>
          <w:p>
            <w:pPr>
              <w:spacing w:line="360" w:lineRule="auto"/>
              <w:jc w:val="center"/>
              <w:rPr>
                <w:sz w:val="24"/>
                <w:highlight w:val="none"/>
              </w:rPr>
            </w:pPr>
          </w:p>
        </w:tc>
        <w:tc>
          <w:tcPr>
            <w:tcW w:w="5313" w:type="dxa"/>
            <w:vAlign w:val="center"/>
          </w:tcPr>
          <w:p>
            <w:pPr>
              <w:spacing w:line="360" w:lineRule="auto"/>
              <w:rPr>
                <w:snapToGrid w:val="0"/>
                <w:sz w:val="24"/>
                <w:highlight w:val="none"/>
              </w:rPr>
            </w:pPr>
            <w:r>
              <w:rPr>
                <w:snapToGrid w:val="0"/>
                <w:sz w:val="24"/>
                <w:highlight w:val="none"/>
              </w:rPr>
              <w:t>注：</w:t>
            </w:r>
          </w:p>
          <w:p>
            <w:pPr>
              <w:spacing w:line="360" w:lineRule="auto"/>
              <w:rPr>
                <w:snapToGrid w:val="0"/>
                <w:sz w:val="24"/>
                <w:highlight w:val="none"/>
              </w:rPr>
            </w:pPr>
            <w:r>
              <w:rPr>
                <w:snapToGrid w:val="0"/>
                <w:sz w:val="24"/>
                <w:highlight w:val="none"/>
              </w:rPr>
              <w:t>1、有效报价：通过形式性评审、资格审查并经算术修正的比选申请报价为有效报价；</w:t>
            </w:r>
          </w:p>
          <w:p>
            <w:pPr>
              <w:spacing w:line="360" w:lineRule="auto"/>
              <w:jc w:val="left"/>
              <w:rPr>
                <w:sz w:val="24"/>
                <w:highlight w:val="none"/>
              </w:rPr>
            </w:pPr>
            <w:r>
              <w:rPr>
                <w:snapToGrid w:val="0"/>
                <w:sz w:val="24"/>
                <w:highlight w:val="none"/>
              </w:rPr>
              <w:t>2、得分四舍五入保留两位小数。</w:t>
            </w:r>
          </w:p>
        </w:tc>
      </w:tr>
    </w:tbl>
    <w:p>
      <w:pPr>
        <w:pStyle w:val="6"/>
        <w:ind w:left="0" w:leftChars="0" w:firstLine="0" w:firstLineChars="0"/>
        <w:rPr>
          <w:rFonts w:ascii="宋体" w:hAnsi="宋体" w:cs="宋体"/>
          <w:color w:val="FF0000"/>
          <w:sz w:val="24"/>
          <w:szCs w:val="24"/>
        </w:rPr>
      </w:pPr>
    </w:p>
    <w:p>
      <w:pPr>
        <w:spacing w:line="312" w:lineRule="auto"/>
        <w:jc w:val="center"/>
        <w:rPr>
          <w:rFonts w:hint="eastAsia" w:ascii="宋体" w:hAnsi="宋体" w:cs="宋体"/>
          <w:b/>
          <w:szCs w:val="28"/>
        </w:rPr>
      </w:pPr>
    </w:p>
    <w:p>
      <w:pPr>
        <w:spacing w:line="312" w:lineRule="auto"/>
        <w:jc w:val="center"/>
        <w:rPr>
          <w:rFonts w:hint="eastAsia" w:ascii="宋体" w:hAnsi="宋体" w:cs="宋体"/>
          <w:b/>
          <w:szCs w:val="28"/>
        </w:rPr>
      </w:pPr>
    </w:p>
    <w:p>
      <w:pPr>
        <w:spacing w:line="312" w:lineRule="auto"/>
        <w:jc w:val="center"/>
        <w:rPr>
          <w:rFonts w:hint="eastAsia" w:ascii="宋体" w:hAnsi="宋体" w:cs="宋体"/>
          <w:b/>
          <w:szCs w:val="28"/>
        </w:rPr>
      </w:pPr>
    </w:p>
    <w:p>
      <w:pPr>
        <w:spacing w:line="312" w:lineRule="auto"/>
        <w:jc w:val="center"/>
        <w:rPr>
          <w:rFonts w:hint="eastAsia" w:ascii="宋体" w:hAnsi="宋体" w:cs="宋体"/>
          <w:b/>
          <w:szCs w:val="28"/>
        </w:rPr>
      </w:pPr>
    </w:p>
    <w:p>
      <w:pPr>
        <w:spacing w:line="312" w:lineRule="auto"/>
        <w:jc w:val="center"/>
        <w:rPr>
          <w:rFonts w:hint="eastAsia" w:ascii="宋体" w:hAnsi="宋体" w:cs="宋体"/>
          <w:b/>
          <w:szCs w:val="28"/>
        </w:rPr>
      </w:pPr>
    </w:p>
    <w:p>
      <w:pPr>
        <w:spacing w:line="312" w:lineRule="auto"/>
        <w:jc w:val="center"/>
        <w:rPr>
          <w:rFonts w:hint="eastAsia" w:ascii="宋体" w:hAnsi="宋体" w:cs="宋体"/>
          <w:b/>
          <w:szCs w:val="28"/>
        </w:rPr>
      </w:pPr>
    </w:p>
    <w:p>
      <w:pPr>
        <w:spacing w:line="312" w:lineRule="auto"/>
        <w:jc w:val="center"/>
        <w:rPr>
          <w:rFonts w:hint="eastAsia" w:ascii="宋体" w:hAnsi="宋体" w:cs="宋体"/>
          <w:b/>
          <w:szCs w:val="28"/>
        </w:rPr>
      </w:pPr>
    </w:p>
    <w:p>
      <w:pPr>
        <w:spacing w:line="312" w:lineRule="auto"/>
        <w:jc w:val="center"/>
        <w:rPr>
          <w:rFonts w:hint="eastAsia" w:ascii="宋体" w:hAnsi="宋体" w:cs="宋体"/>
          <w:b/>
          <w:szCs w:val="28"/>
        </w:rPr>
      </w:pPr>
    </w:p>
    <w:p>
      <w:pPr>
        <w:spacing w:line="312" w:lineRule="auto"/>
        <w:jc w:val="center"/>
        <w:rPr>
          <w:rFonts w:hint="eastAsia" w:ascii="宋体" w:hAnsi="宋体" w:cs="宋体"/>
          <w:b/>
          <w:szCs w:val="28"/>
        </w:rPr>
      </w:pPr>
    </w:p>
    <w:p>
      <w:pPr>
        <w:spacing w:line="312" w:lineRule="auto"/>
        <w:jc w:val="center"/>
        <w:rPr>
          <w:rFonts w:hint="eastAsia" w:ascii="宋体" w:hAnsi="宋体" w:cs="宋体"/>
          <w:b/>
          <w:szCs w:val="28"/>
        </w:rPr>
      </w:pPr>
    </w:p>
    <w:p>
      <w:pPr>
        <w:spacing w:line="312" w:lineRule="auto"/>
        <w:jc w:val="both"/>
        <w:rPr>
          <w:rFonts w:hint="eastAsia" w:ascii="宋体" w:hAnsi="宋体" w:cs="宋体"/>
          <w:b/>
          <w:szCs w:val="28"/>
        </w:rPr>
      </w:pPr>
    </w:p>
    <w:p>
      <w:pPr>
        <w:ind w:firstLine="2811" w:firstLineChars="1000"/>
        <w:rPr>
          <w:rFonts w:hint="eastAsia" w:ascii="宋体" w:hAnsi="宋体" w:cs="宋体"/>
          <w:b/>
          <w:szCs w:val="28"/>
        </w:rPr>
      </w:pPr>
      <w:r>
        <w:rPr>
          <w:rFonts w:hint="eastAsia" w:ascii="宋体" w:hAnsi="宋体" w:cs="宋体"/>
          <w:b/>
          <w:szCs w:val="28"/>
        </w:rPr>
        <w:t>供应商编制响应文件要求</w:t>
      </w:r>
    </w:p>
    <w:p>
      <w:pPr>
        <w:pStyle w:val="2"/>
      </w:pPr>
    </w:p>
    <w:p>
      <w:pPr>
        <w:numPr>
          <w:ilvl w:val="0"/>
          <w:numId w:val="4"/>
        </w:numPr>
        <w:spacing w:line="312" w:lineRule="auto"/>
        <w:rPr>
          <w:rFonts w:ascii="宋体" w:hAnsi="宋体" w:cs="宋体"/>
          <w:b/>
          <w:sz w:val="24"/>
          <w:szCs w:val="24"/>
        </w:rPr>
      </w:pPr>
      <w:r>
        <w:rPr>
          <w:rFonts w:hint="eastAsia" w:ascii="宋体" w:hAnsi="宋体" w:cs="宋体"/>
          <w:b/>
          <w:sz w:val="24"/>
          <w:szCs w:val="24"/>
        </w:rPr>
        <w:t>报价</w:t>
      </w:r>
    </w:p>
    <w:p>
      <w:pPr>
        <w:tabs>
          <w:tab w:val="left" w:pos="6300"/>
        </w:tabs>
        <w:snapToGrid w:val="0"/>
        <w:spacing w:line="312" w:lineRule="auto"/>
        <w:ind w:firstLine="480" w:firstLineChars="200"/>
        <w:rPr>
          <w:rFonts w:ascii="宋体" w:hAnsi="宋体" w:cs="宋体"/>
          <w:bCs/>
          <w:sz w:val="24"/>
          <w:szCs w:val="24"/>
        </w:rPr>
      </w:pPr>
      <w:r>
        <w:rPr>
          <w:rFonts w:hint="eastAsia" w:ascii="宋体" w:hAnsi="宋体" w:cs="宋体"/>
          <w:bCs/>
          <w:sz w:val="24"/>
          <w:szCs w:val="24"/>
        </w:rPr>
        <w:t>（一）报价函</w:t>
      </w:r>
    </w:p>
    <w:p>
      <w:pPr>
        <w:tabs>
          <w:tab w:val="left" w:pos="6300"/>
        </w:tabs>
        <w:snapToGrid w:val="0"/>
        <w:spacing w:line="360" w:lineRule="auto"/>
        <w:jc w:val="center"/>
        <w:outlineLvl w:val="0"/>
        <w:rPr>
          <w:rFonts w:ascii="宋体" w:hAnsi="宋体" w:cs="宋体"/>
          <w:b/>
          <w:szCs w:val="28"/>
        </w:rPr>
      </w:pPr>
      <w:r>
        <w:rPr>
          <w:rFonts w:hint="eastAsia" w:ascii="宋体" w:hAnsi="宋体" w:cs="宋体"/>
          <w:b/>
          <w:szCs w:val="28"/>
        </w:rPr>
        <w:t>报价函</w:t>
      </w:r>
    </w:p>
    <w:p>
      <w:pPr>
        <w:tabs>
          <w:tab w:val="left" w:pos="6300"/>
        </w:tabs>
        <w:snapToGrid w:val="0"/>
        <w:spacing w:line="360"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我方收到____________________________（项目名称）的询比</w:t>
      </w:r>
      <w:r>
        <w:rPr>
          <w:rFonts w:ascii="宋体" w:hAnsi="宋体" w:cs="宋体"/>
          <w:sz w:val="24"/>
          <w:szCs w:val="24"/>
        </w:rPr>
        <w:t>采购</w:t>
      </w:r>
      <w:r>
        <w:rPr>
          <w:rFonts w:hint="eastAsia" w:ascii="宋体" w:hAnsi="宋体" w:cs="宋体"/>
          <w:sz w:val="24"/>
          <w:szCs w:val="24"/>
        </w:rPr>
        <w:t>文件，经详细研究，决定参加该项目的询比。</w:t>
      </w:r>
    </w:p>
    <w:p>
      <w:pPr>
        <w:tabs>
          <w:tab w:val="left" w:pos="6300"/>
        </w:tabs>
        <w:snapToGrid w:val="0"/>
        <w:spacing w:line="360" w:lineRule="auto"/>
        <w:ind w:left="14" w:leftChars="5" w:firstLine="458" w:firstLineChars="191"/>
        <w:jc w:val="left"/>
        <w:rPr>
          <w:rFonts w:ascii="宋体" w:hAnsi="宋体" w:cs="宋体"/>
          <w:sz w:val="24"/>
          <w:szCs w:val="24"/>
        </w:rPr>
      </w:pPr>
      <w:r>
        <w:rPr>
          <w:rFonts w:hint="eastAsia" w:ascii="宋体" w:hAnsi="宋体" w:cs="宋体"/>
          <w:sz w:val="24"/>
          <w:szCs w:val="24"/>
        </w:rPr>
        <w:t>1、愿意按照询比采购文件中的一切要求，提供本项目的技术服务，报价为人民币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小写：    元</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2、我方现提交的响应文件为：响应文件电子文档壹份。</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3、我方承诺：本次询比的有效期为</w:t>
      </w:r>
      <w:r>
        <w:rPr>
          <w:rFonts w:hint="eastAsia" w:ascii="宋体" w:hAnsi="宋体" w:cs="宋体"/>
          <w:sz w:val="24"/>
          <w:szCs w:val="24"/>
          <w:lang w:val="en-US" w:eastAsia="zh-CN"/>
        </w:rPr>
        <w:t>90</w:t>
      </w:r>
      <w:r>
        <w:rPr>
          <w:rFonts w:hint="eastAsia" w:ascii="宋体" w:hAnsi="宋体" w:cs="宋体"/>
          <w:sz w:val="24"/>
          <w:szCs w:val="24"/>
        </w:rPr>
        <w:t>天。</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4、我方完全理解和接受贵方询比</w:t>
      </w:r>
      <w:r>
        <w:rPr>
          <w:rFonts w:ascii="宋体" w:hAnsi="宋体" w:cs="宋体"/>
          <w:sz w:val="24"/>
          <w:szCs w:val="24"/>
        </w:rPr>
        <w:t>采购</w:t>
      </w:r>
      <w:r>
        <w:rPr>
          <w:rFonts w:hint="eastAsia" w:ascii="宋体" w:hAnsi="宋体" w:cs="宋体"/>
          <w:sz w:val="24"/>
          <w:szCs w:val="24"/>
        </w:rPr>
        <w:t>文件的一切规定和要求及评审办法。</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5、在整个询比</w:t>
      </w:r>
      <w:r>
        <w:rPr>
          <w:rFonts w:ascii="宋体" w:hAnsi="宋体" w:cs="宋体"/>
          <w:sz w:val="24"/>
          <w:szCs w:val="24"/>
        </w:rPr>
        <w:t>采购</w:t>
      </w:r>
      <w:r>
        <w:rPr>
          <w:rFonts w:hint="eastAsia" w:ascii="宋体" w:hAnsi="宋体" w:cs="宋体"/>
          <w:sz w:val="24"/>
          <w:szCs w:val="24"/>
        </w:rPr>
        <w:t>过程中，我方若有违规行为，接受按照平台相关规定给予惩罚。</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8"/>
        </w:rPr>
        <w:t>我方理解，最低报价不是成交的唯一条件。</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供应商名称（公章）：</w:t>
      </w:r>
    </w:p>
    <w:p>
      <w:pPr>
        <w:snapToGrid w:val="0"/>
        <w:spacing w:line="360" w:lineRule="auto"/>
        <w:ind w:firstLine="480" w:firstLineChars="200"/>
        <w:rPr>
          <w:rFonts w:ascii="宋体" w:hAnsi="宋体" w:cs="宋体"/>
          <w:sz w:val="24"/>
          <w:szCs w:val="24"/>
        </w:rPr>
        <w:sectPr>
          <w:footerReference r:id="rId7"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sz w:val="24"/>
          <w:szCs w:val="24"/>
        </w:rPr>
        <w:t xml:space="preserve">                                                  年   月   日</w:t>
      </w:r>
    </w:p>
    <w:p>
      <w:pPr>
        <w:numPr>
          <w:ilvl w:val="0"/>
          <w:numId w:val="5"/>
        </w:numPr>
        <w:spacing w:line="312" w:lineRule="auto"/>
        <w:ind w:right="480"/>
        <w:jc w:val="left"/>
        <w:rPr>
          <w:rFonts w:hint="eastAsia" w:ascii="宋体" w:hAnsi="宋体" w:cs="宋体"/>
          <w:sz w:val="24"/>
          <w:szCs w:val="24"/>
          <w:lang w:val="en-US" w:eastAsia="zh-CN"/>
        </w:rPr>
      </w:pPr>
      <w:r>
        <w:rPr>
          <w:rFonts w:hint="eastAsia" w:ascii="宋体" w:hAnsi="宋体" w:cs="宋体"/>
          <w:sz w:val="24"/>
          <w:szCs w:val="24"/>
          <w:lang w:val="en-US" w:eastAsia="zh-CN"/>
        </w:rPr>
        <w:t>服务内容</w:t>
      </w:r>
    </w:p>
    <w:p>
      <w:pPr>
        <w:pStyle w:val="2"/>
        <w:numPr>
          <w:ilvl w:val="0"/>
          <w:numId w:val="0"/>
        </w:numPr>
        <w:ind w:firstLine="720" w:firstLineChars="300"/>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按照《大中型水利水电工程建设征地补偿和移民安置条例》（国务院令第679号）相关规定，根据《中华人民共和国审计法》、《中华人民共和国审计法实施条例》、《中华人民共和国会计法》、《中国注册会计师审计准则》及水电站建设征地移民安置补偿费用特点及目标，对贡觉县水利局截至2023年12月31日金沙江上游叶巴滩水电站建设征地迁移人口安置补偿资金使用情况开展移民资金清理，主要工作内容分为实际使用资金梳理、后续使用资金梳理、资金兑付资料查漏补缺、资金问题梳理、资金清理报告编制5部分，包括但不限于以下内容：</w:t>
      </w:r>
    </w:p>
    <w:p>
      <w:pPr>
        <w:pStyle w:val="2"/>
        <w:numPr>
          <w:ilvl w:val="0"/>
          <w:numId w:val="0"/>
        </w:numPr>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（1）补偿补助类：移民补偿费用以户为单位梳理补偿协议（含补充协议），分类统计补偿费用，并逐村民小组、村委会、乡镇进行统计汇总，企事业单位补偿费用逐项梳理，并汇总计算。</w:t>
      </w:r>
    </w:p>
    <w:p>
      <w:pPr>
        <w:pStyle w:val="2"/>
        <w:numPr>
          <w:ilvl w:val="0"/>
          <w:numId w:val="0"/>
        </w:numPr>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（2）工程项目类：工程项目类补偿费用以单项工程审计报告为基础，分项目梳理安置点、专业项目、环水保工程等实际费用。</w:t>
      </w:r>
    </w:p>
    <w:p>
      <w:pPr>
        <w:pStyle w:val="2"/>
        <w:numPr>
          <w:ilvl w:val="0"/>
          <w:numId w:val="0"/>
        </w:numPr>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（3）独立费用类：分类统计移民安置规划配合工作费、实施管理费、移民技术培训费实际使用情况，并与工程项目类独立费用进行区分衔接。</w:t>
      </w:r>
    </w:p>
    <w:p>
      <w:pPr>
        <w:pStyle w:val="2"/>
        <w:numPr>
          <w:ilvl w:val="0"/>
          <w:numId w:val="0"/>
        </w:numPr>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（4）规划外资金类：分类统计移民搬迁安置协调费用、产业发展费用、防洪度汛费用实际使用情况。</w:t>
      </w:r>
    </w:p>
    <w:p>
      <w:pPr>
        <w:pStyle w:val="2"/>
        <w:numPr>
          <w:ilvl w:val="0"/>
          <w:numId w:val="0"/>
        </w:numPr>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（5）分析后续需发生的蓄水后新增水库影响区处理、国有建设用地补偿等补偿费用，并据实进行分析梳理。</w:t>
      </w:r>
    </w:p>
    <w:p>
      <w:pPr>
        <w:pStyle w:val="2"/>
        <w:numPr>
          <w:ilvl w:val="0"/>
          <w:numId w:val="0"/>
        </w:numPr>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（6）对资金兑付资料进行查漏补缺，对不完善的部分提出整改建议。</w:t>
      </w:r>
    </w:p>
    <w:p>
      <w:pPr>
        <w:pStyle w:val="2"/>
        <w:numPr>
          <w:ilvl w:val="0"/>
          <w:numId w:val="0"/>
        </w:numPr>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（7）梳理需上级主管部门协调解决的资金问题，并提出处理意见。</w:t>
      </w:r>
    </w:p>
    <w:p>
      <w:pPr>
        <w:pStyle w:val="2"/>
        <w:numPr>
          <w:ilvl w:val="0"/>
          <w:numId w:val="0"/>
        </w:numPr>
        <w:rPr>
          <w:rFonts w:hint="default"/>
          <w:lang w:val="en-US" w:eastAsia="zh-CN"/>
        </w:rPr>
      </w:pPr>
      <w:r>
        <w:rPr>
          <w:rFonts w:hint="default" w:ascii="宋体" w:hAnsi="宋体" w:eastAsia="宋体" w:cs="宋体"/>
          <w:kern w:val="2"/>
          <w:sz w:val="24"/>
          <w:szCs w:val="24"/>
          <w:lang w:val="en-US" w:eastAsia="zh-CN" w:bidi="ar-SA"/>
        </w:rPr>
        <w:t>（8）编制提出《水电站建设征地移民安置补偿费用清理报告》。</w:t>
      </w:r>
    </w:p>
    <w:p>
      <w:pPr>
        <w:numPr>
          <w:ilvl w:val="0"/>
          <w:numId w:val="0"/>
        </w:numPr>
        <w:rPr>
          <w:rFonts w:hint="eastAsia" w:ascii="宋体" w:hAnsi="宋体" w:cs="宋体"/>
          <w:color w:val="auto"/>
          <w:sz w:val="24"/>
          <w:szCs w:val="24"/>
          <w:lang w:val="en-US" w:eastAsia="zh-CN"/>
        </w:rPr>
      </w:pPr>
    </w:p>
    <w:p>
      <w:pPr>
        <w:pStyle w:val="2"/>
        <w:rPr>
          <w:rFonts w:hint="eastAsia" w:ascii="宋体" w:hAnsi="宋体" w:cs="宋体"/>
          <w:color w:val="auto"/>
          <w:sz w:val="24"/>
          <w:szCs w:val="24"/>
          <w:lang w:val="en-US" w:eastAsia="zh-CN"/>
        </w:rPr>
      </w:pPr>
    </w:p>
    <w:p>
      <w:pPr>
        <w:pStyle w:val="22"/>
        <w:rPr>
          <w:rFonts w:hint="eastAsia" w:ascii="宋体" w:hAnsi="宋体" w:cs="宋体"/>
          <w:color w:val="auto"/>
          <w:sz w:val="24"/>
          <w:szCs w:val="24"/>
          <w:lang w:val="en-US" w:eastAsia="zh-CN"/>
        </w:rPr>
      </w:pPr>
    </w:p>
    <w:p>
      <w:pPr>
        <w:pStyle w:val="24"/>
        <w:rPr>
          <w:rFonts w:hint="eastAsia" w:ascii="宋体" w:hAnsi="宋体" w:cs="宋体"/>
          <w:color w:val="auto"/>
          <w:sz w:val="24"/>
          <w:szCs w:val="24"/>
          <w:lang w:val="en-US" w:eastAsia="zh-CN"/>
        </w:rPr>
      </w:pPr>
    </w:p>
    <w:p>
      <w:pPr>
        <w:rPr>
          <w:rFonts w:hint="eastAsia" w:ascii="宋体" w:hAnsi="宋体" w:cs="宋体"/>
          <w:color w:val="auto"/>
          <w:sz w:val="24"/>
          <w:szCs w:val="24"/>
          <w:lang w:val="en-US" w:eastAsia="zh-CN"/>
        </w:rPr>
      </w:pPr>
    </w:p>
    <w:p>
      <w:pPr>
        <w:pStyle w:val="2"/>
        <w:rPr>
          <w:rFonts w:hint="eastAsia" w:ascii="宋体" w:hAnsi="宋体" w:cs="宋体"/>
          <w:color w:val="auto"/>
          <w:sz w:val="24"/>
          <w:szCs w:val="24"/>
          <w:lang w:val="en-US" w:eastAsia="zh-CN"/>
        </w:rPr>
      </w:pPr>
    </w:p>
    <w:p>
      <w:pPr>
        <w:pStyle w:val="22"/>
        <w:rPr>
          <w:rFonts w:hint="eastAsia" w:ascii="宋体" w:hAnsi="宋体" w:cs="宋体"/>
          <w:color w:val="auto"/>
          <w:sz w:val="24"/>
          <w:szCs w:val="24"/>
          <w:lang w:val="en-US" w:eastAsia="zh-CN"/>
        </w:rPr>
      </w:pPr>
    </w:p>
    <w:p>
      <w:pPr>
        <w:pStyle w:val="24"/>
        <w:rPr>
          <w:rFonts w:hint="eastAsia" w:ascii="宋体" w:hAnsi="宋体" w:cs="宋体"/>
          <w:color w:val="auto"/>
          <w:sz w:val="24"/>
          <w:szCs w:val="24"/>
          <w:lang w:val="en-US" w:eastAsia="zh-CN"/>
        </w:rPr>
      </w:pPr>
    </w:p>
    <w:p>
      <w:pPr>
        <w:rPr>
          <w:rFonts w:hint="eastAsia" w:ascii="宋体" w:hAnsi="宋体" w:cs="宋体"/>
          <w:color w:val="auto"/>
          <w:sz w:val="24"/>
          <w:szCs w:val="24"/>
          <w:lang w:val="en-US" w:eastAsia="zh-CN"/>
        </w:rPr>
      </w:pPr>
    </w:p>
    <w:p>
      <w:pPr>
        <w:pStyle w:val="2"/>
        <w:rPr>
          <w:rFonts w:hint="eastAsia" w:ascii="宋体" w:hAnsi="宋体" w:cs="宋体"/>
          <w:color w:val="auto"/>
          <w:sz w:val="24"/>
          <w:szCs w:val="24"/>
          <w:lang w:val="en-US" w:eastAsia="zh-CN"/>
        </w:rPr>
      </w:pPr>
    </w:p>
    <w:p>
      <w:pPr>
        <w:pStyle w:val="22"/>
        <w:rPr>
          <w:rFonts w:hint="eastAsia" w:ascii="宋体" w:hAnsi="宋体" w:cs="宋体"/>
          <w:color w:val="auto"/>
          <w:sz w:val="24"/>
          <w:szCs w:val="24"/>
          <w:lang w:val="en-US" w:eastAsia="zh-CN"/>
        </w:rPr>
      </w:pPr>
    </w:p>
    <w:p>
      <w:pPr>
        <w:pStyle w:val="24"/>
        <w:rPr>
          <w:rFonts w:hint="eastAsia" w:ascii="宋体" w:hAnsi="宋体" w:cs="宋体"/>
          <w:color w:val="auto"/>
          <w:sz w:val="24"/>
          <w:szCs w:val="24"/>
          <w:lang w:val="en-US" w:eastAsia="zh-CN"/>
        </w:rPr>
      </w:pPr>
    </w:p>
    <w:p>
      <w:pPr>
        <w:rPr>
          <w:rFonts w:hint="eastAsia" w:ascii="宋体" w:hAnsi="宋体" w:cs="宋体"/>
          <w:color w:val="auto"/>
          <w:sz w:val="24"/>
          <w:szCs w:val="24"/>
          <w:lang w:val="en-US" w:eastAsia="zh-CN"/>
        </w:rPr>
      </w:pPr>
    </w:p>
    <w:p>
      <w:pPr>
        <w:pStyle w:val="2"/>
        <w:rPr>
          <w:rFonts w:hint="eastAsia" w:ascii="宋体" w:hAnsi="宋体" w:cs="宋体"/>
          <w:color w:val="auto"/>
          <w:sz w:val="24"/>
          <w:szCs w:val="24"/>
          <w:lang w:val="en-US" w:eastAsia="zh-CN"/>
        </w:rPr>
      </w:pPr>
    </w:p>
    <w:p>
      <w:pPr>
        <w:pStyle w:val="22"/>
        <w:rPr>
          <w:rFonts w:hint="eastAsia" w:ascii="宋体" w:hAnsi="宋体" w:cs="宋体"/>
          <w:color w:val="auto"/>
          <w:sz w:val="24"/>
          <w:szCs w:val="24"/>
          <w:lang w:val="en-US" w:eastAsia="zh-CN"/>
        </w:rPr>
      </w:pPr>
    </w:p>
    <w:p>
      <w:pPr>
        <w:pStyle w:val="24"/>
        <w:rPr>
          <w:rFonts w:hint="eastAsia" w:ascii="宋体" w:hAnsi="宋体" w:cs="宋体"/>
          <w:color w:val="auto"/>
          <w:sz w:val="24"/>
          <w:szCs w:val="24"/>
          <w:lang w:val="en-US" w:eastAsia="zh-CN"/>
        </w:rPr>
      </w:pPr>
    </w:p>
    <w:p>
      <w:pPr>
        <w:rPr>
          <w:rFonts w:hint="eastAsia" w:ascii="宋体" w:hAnsi="宋体" w:cs="宋体"/>
          <w:color w:val="auto"/>
          <w:sz w:val="24"/>
          <w:szCs w:val="24"/>
          <w:lang w:val="en-US" w:eastAsia="zh-CN"/>
        </w:rPr>
      </w:pPr>
    </w:p>
    <w:p>
      <w:pPr>
        <w:pStyle w:val="2"/>
        <w:rPr>
          <w:rFonts w:hint="eastAsia"/>
          <w:lang w:val="en-US" w:eastAsia="zh-CN"/>
        </w:rPr>
      </w:pPr>
    </w:p>
    <w:p>
      <w:pPr>
        <w:numPr>
          <w:ilvl w:val="0"/>
          <w:numId w:val="0"/>
        </w:numPr>
        <w:rPr>
          <w:rFonts w:hint="eastAsia" w:ascii="宋体" w:hAnsi="宋体" w:cs="宋体"/>
          <w:color w:val="auto"/>
          <w:sz w:val="24"/>
          <w:szCs w:val="24"/>
          <w:lang w:val="en-US" w:eastAsia="zh-CN"/>
        </w:rPr>
      </w:pPr>
    </w:p>
    <w:p>
      <w:pPr>
        <w:numPr>
          <w:ilvl w:val="0"/>
          <w:numId w:val="4"/>
        </w:numPr>
        <w:spacing w:line="312" w:lineRule="auto"/>
        <w:rPr>
          <w:rFonts w:ascii="宋体" w:hAnsi="宋体" w:cs="宋体"/>
          <w:b/>
          <w:sz w:val="24"/>
          <w:szCs w:val="24"/>
        </w:rPr>
      </w:pPr>
      <w:r>
        <w:rPr>
          <w:rFonts w:hint="eastAsia" w:ascii="宋体" w:hAnsi="宋体" w:cs="宋体"/>
          <w:b/>
          <w:sz w:val="24"/>
          <w:szCs w:val="24"/>
        </w:rPr>
        <w:t>服务方案</w:t>
      </w:r>
    </w:p>
    <w:p>
      <w:pPr>
        <w:spacing w:line="312" w:lineRule="auto"/>
        <w:jc w:val="center"/>
        <w:rPr>
          <w:rFonts w:ascii="宋体" w:hAnsi="宋体" w:cs="宋体"/>
          <w:b/>
          <w:i/>
          <w:iCs/>
          <w:sz w:val="24"/>
          <w:szCs w:val="24"/>
          <w:u w:val="single"/>
        </w:rPr>
      </w:pPr>
      <w:r>
        <w:rPr>
          <w:rFonts w:hint="eastAsia" w:ascii="宋体" w:hAnsi="宋体" w:cs="宋体"/>
          <w:i/>
          <w:iCs/>
          <w:sz w:val="24"/>
          <w:szCs w:val="24"/>
          <w:u w:val="single"/>
        </w:rPr>
        <w:t>服务方案（格式自定）</w:t>
      </w:r>
    </w:p>
    <w:p>
      <w:pPr>
        <w:spacing w:line="312" w:lineRule="auto"/>
        <w:rPr>
          <w:rFonts w:ascii="宋体" w:hAnsi="宋体" w:cs="宋体"/>
          <w:b/>
          <w:sz w:val="24"/>
          <w:szCs w:val="24"/>
        </w:rPr>
      </w:pPr>
    </w:p>
    <w:p>
      <w:pPr>
        <w:pStyle w:val="8"/>
        <w:spacing w:before="0" w:after="0" w:line="360" w:lineRule="auto"/>
        <w:jc w:val="left"/>
        <w:rPr>
          <w:rFonts w:ascii="宋体" w:hAnsi="宋体" w:cs="宋体"/>
          <w:sz w:val="24"/>
          <w:szCs w:val="24"/>
        </w:rPr>
      </w:pPr>
    </w:p>
    <w:p>
      <w:pPr>
        <w:pStyle w:val="8"/>
        <w:numPr>
          <w:ilvl w:val="0"/>
          <w:numId w:val="4"/>
        </w:numPr>
        <w:spacing w:before="0" w:after="0" w:line="360" w:lineRule="auto"/>
        <w:jc w:val="left"/>
        <w:rPr>
          <w:rFonts w:ascii="宋体" w:hAnsi="宋体" w:cs="宋体"/>
          <w:sz w:val="24"/>
          <w:szCs w:val="24"/>
        </w:rPr>
      </w:pPr>
      <w:r>
        <w:rPr>
          <w:rFonts w:hint="eastAsia" w:ascii="宋体" w:hAnsi="宋体" w:cs="宋体"/>
          <w:sz w:val="24"/>
          <w:szCs w:val="24"/>
        </w:rPr>
        <w:t>资格条件及其他</w:t>
      </w:r>
    </w:p>
    <w:p>
      <w:pPr>
        <w:spacing w:line="312" w:lineRule="auto"/>
        <w:jc w:val="center"/>
        <w:rPr>
          <w:rFonts w:ascii="宋体" w:hAnsi="宋体" w:cs="宋体"/>
          <w:i/>
          <w:iCs/>
          <w:sz w:val="24"/>
          <w:szCs w:val="24"/>
          <w:u w:val="single"/>
        </w:rPr>
      </w:pPr>
      <w:r>
        <w:rPr>
          <w:rFonts w:hint="eastAsia" w:ascii="宋体" w:hAnsi="宋体" w:cs="宋体"/>
          <w:i/>
          <w:iCs/>
          <w:sz w:val="24"/>
          <w:szCs w:val="24"/>
          <w:u w:val="single"/>
        </w:rPr>
        <w:t>按照采购文件要求提供扫描件</w:t>
      </w:r>
    </w:p>
    <w:p/>
    <w:p/>
    <w:p>
      <w:pPr>
        <w:snapToGrid w:val="0"/>
        <w:spacing w:line="312" w:lineRule="auto"/>
        <w:jc w:val="center"/>
        <w:rPr>
          <w:rFonts w:ascii="宋体" w:hAnsi="宋体"/>
          <w:sz w:val="24"/>
          <w:szCs w:val="24"/>
        </w:rPr>
      </w:pP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snapToGrid w:val="0"/>
        <w:spacing w:line="312" w:lineRule="auto"/>
        <w:jc w:val="center"/>
        <w:rPr>
          <w:rFonts w:ascii="宋体" w:hAnsi="宋体"/>
          <w:b/>
          <w:bCs/>
          <w:sz w:val="24"/>
          <w:szCs w:val="24"/>
        </w:rPr>
      </w:pPr>
      <w:bookmarkStart w:id="34" w:name="_Hlk45893074"/>
      <w:r>
        <w:rPr>
          <w:rFonts w:hint="eastAsia" w:ascii="宋体" w:hAnsi="宋体"/>
          <w:b/>
          <w:bCs/>
          <w:sz w:val="24"/>
          <w:szCs w:val="24"/>
        </w:rPr>
        <w:t>诚信声明（格式）</w:t>
      </w:r>
    </w:p>
    <w:bookmarkEnd w:id="34"/>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480" w:firstLineChars="200"/>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（采购人名称）：</w:t>
      </w:r>
    </w:p>
    <w:p>
      <w:pPr>
        <w:snapToGrid w:val="0"/>
        <w:spacing w:line="312"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snapToGrid w:val="0"/>
        <w:spacing w:line="312" w:lineRule="auto"/>
        <w:ind w:firstLine="480" w:firstLineChars="200"/>
        <w:rPr>
          <w:rFonts w:ascii="宋体" w:hAnsi="宋体"/>
          <w:sz w:val="24"/>
          <w:szCs w:val="24"/>
        </w:rPr>
      </w:pPr>
      <w:r>
        <w:rPr>
          <w:rFonts w:hint="eastAsia" w:ascii="宋体" w:hAnsi="宋体"/>
          <w:sz w:val="24"/>
          <w:szCs w:val="24"/>
        </w:rPr>
        <w:t>特此声明。</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right="424" w:firstLine="570"/>
        <w:jc w:val="right"/>
        <w:rPr>
          <w:rFonts w:ascii="宋体" w:hAnsi="宋体"/>
          <w:sz w:val="24"/>
          <w:szCs w:val="24"/>
        </w:rPr>
      </w:pPr>
      <w:r>
        <w:rPr>
          <w:rFonts w:hint="eastAsia" w:ascii="宋体" w:hAnsi="宋体"/>
          <w:sz w:val="24"/>
          <w:szCs w:val="24"/>
        </w:rPr>
        <w:t>（供应商公章）</w:t>
      </w:r>
    </w:p>
    <w:p>
      <w:pPr>
        <w:snapToGrid w:val="0"/>
        <w:spacing w:line="312" w:lineRule="auto"/>
        <w:ind w:right="480" w:firstLine="570"/>
        <w:jc w:val="right"/>
        <w:rPr>
          <w:rFonts w:ascii="宋体" w:hAnsi="宋体"/>
          <w:sz w:val="24"/>
          <w:szCs w:val="24"/>
        </w:rPr>
      </w:pPr>
      <w:r>
        <w:rPr>
          <w:rFonts w:hint="eastAsia" w:ascii="宋体" w:hAnsi="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
      <w:pPr>
        <w:pStyle w:val="8"/>
        <w:spacing w:before="0" w:after="0" w:line="312" w:lineRule="auto"/>
        <w:rPr>
          <w:rFonts w:ascii="宋体" w:hAnsi="宋体" w:cs="宋体"/>
          <w:sz w:val="24"/>
          <w:szCs w:val="24"/>
        </w:rPr>
      </w:pPr>
    </w:p>
    <w:p>
      <w:pPr>
        <w:pStyle w:val="8"/>
        <w:spacing w:before="0" w:after="0" w:line="312" w:lineRule="auto"/>
        <w:rPr>
          <w:rFonts w:ascii="宋体" w:hAnsi="宋体" w:cs="宋体"/>
          <w:sz w:val="24"/>
          <w:szCs w:val="24"/>
        </w:rPr>
      </w:pPr>
      <w:r>
        <w:rPr>
          <w:rFonts w:hint="eastAsia" w:ascii="宋体" w:hAnsi="宋体" w:cs="宋体"/>
          <w:sz w:val="24"/>
          <w:szCs w:val="24"/>
        </w:rPr>
        <w:t>四、其他应提供的资料</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（一）其他资料</w:t>
      </w:r>
    </w:p>
    <w:p>
      <w:pPr>
        <w:ind w:right="-168" w:rightChars="-60"/>
      </w:pPr>
      <w:r>
        <w:rPr>
          <w:rFonts w:hint="eastAsia" w:ascii="宋体" w:hAnsi="宋体" w:cs="宋体"/>
          <w:sz w:val="24"/>
          <w:szCs w:val="24"/>
        </w:rPr>
        <w:t>1、其他与项目有关的资料（自附）：供应商总体情况介绍、其他与本项目有关的资料等。</w:t>
      </w:r>
    </w:p>
    <w:p>
      <w:pPr>
        <w:tabs>
          <w:tab w:val="left" w:pos="6300"/>
        </w:tabs>
        <w:snapToGrid w:val="0"/>
        <w:spacing w:line="312" w:lineRule="auto"/>
        <w:rPr>
          <w:rFonts w:ascii="宋体" w:hAnsi="宋体" w:cs="宋体"/>
          <w:b/>
          <w:bCs/>
          <w:sz w:val="24"/>
          <w:szCs w:val="24"/>
        </w:rPr>
      </w:pPr>
      <w:r>
        <w:rPr>
          <w:rFonts w:hint="eastAsia" w:ascii="宋体" w:hAnsi="宋体" w:cs="宋体"/>
          <w:b/>
          <w:bCs/>
          <w:sz w:val="24"/>
          <w:szCs w:val="24"/>
        </w:rPr>
        <w:br w:type="page"/>
      </w:r>
      <w:r>
        <w:rPr>
          <w:rFonts w:hint="eastAsia" w:ascii="宋体" w:hAnsi="宋体" w:cs="宋体"/>
          <w:b/>
          <w:bCs/>
          <w:sz w:val="24"/>
          <w:szCs w:val="24"/>
        </w:rPr>
        <w:t>五、法定代表人授权委托书（格式）/法定代表人（格式）（二选一）</w:t>
      </w:r>
    </w:p>
    <w:p>
      <w:pPr>
        <w:tabs>
          <w:tab w:val="left" w:pos="6300"/>
        </w:tabs>
        <w:snapToGrid w:val="0"/>
        <w:spacing w:line="312" w:lineRule="auto"/>
        <w:jc w:val="center"/>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法定代表人授权委托书</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被授权人：                                 法定代表人：</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（签字或盖章）                             （签字或盖章）</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（附：被授权人身份证正反面复印件）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供应商名称（公章）</w:t>
      </w: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tabs>
          <w:tab w:val="left" w:pos="6300"/>
        </w:tabs>
        <w:snapToGrid w:val="0"/>
        <w:spacing w:line="312" w:lineRule="auto"/>
        <w:ind w:right="-1"/>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法定代表人证明</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（法定代表人名称及身份证代码）是</w:t>
      </w:r>
      <w:r>
        <w:rPr>
          <w:rFonts w:hint="eastAsia" w:ascii="宋体" w:hAnsi="宋体" w:cs="宋体"/>
          <w:sz w:val="24"/>
          <w:szCs w:val="24"/>
          <w:u w:val="single"/>
        </w:rPr>
        <w:t xml:space="preserve">                    </w:t>
      </w:r>
      <w:r>
        <w:rPr>
          <w:rFonts w:hint="eastAsia" w:ascii="宋体" w:hAnsi="宋体" w:cs="宋体"/>
          <w:sz w:val="24"/>
          <w:szCs w:val="24"/>
        </w:rPr>
        <w:t>（供应商名称）的法定代表人，电话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法定代表人（签字或盖章）： </w:t>
      </w:r>
      <w:r>
        <w:rPr>
          <w:rFonts w:ascii="宋体" w:hAnsi="宋体" w:cs="宋体"/>
          <w:sz w:val="24"/>
          <w:szCs w:val="24"/>
        </w:rPr>
        <w:t xml:space="preserve">                         </w:t>
      </w:r>
      <w:r>
        <w:rPr>
          <w:rFonts w:hint="eastAsia" w:ascii="宋体" w:hAnsi="宋体" w:cs="宋体"/>
          <w:sz w:val="24"/>
          <w:szCs w:val="24"/>
        </w:rPr>
        <w:t>供应商名称（公章）</w:t>
      </w:r>
    </w:p>
    <w:p>
      <w:pPr>
        <w:tabs>
          <w:tab w:val="left" w:pos="6300"/>
        </w:tabs>
        <w:snapToGrid w:val="0"/>
        <w:spacing w:line="312" w:lineRule="auto"/>
        <w:ind w:right="36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（附：法定代表人身份证正反面复印件）</w:t>
      </w:r>
    </w:p>
    <w:p>
      <w:pPr>
        <w:bidi w:val="0"/>
        <w:ind w:firstLine="840" w:firstLineChars="300"/>
        <w:rPr>
          <w:highlight w:val="none"/>
          <w:lang w:val="zh-CN"/>
        </w:rPr>
      </w:pPr>
    </w:p>
    <w:p>
      <w:pPr>
        <w:bidi w:val="0"/>
        <w:rPr>
          <w:highlight w:val="none"/>
        </w:rPr>
      </w:pPr>
    </w:p>
    <w:sectPr>
      <w:headerReference r:id="rId8" w:type="default"/>
      <w:foot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
    <w:altName w:val="宋体"/>
    <w:panose1 w:val="00000000000000000000"/>
    <w:charset w:val="86"/>
    <w:family w:val="roma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16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p>
  <w:p>
    <w:pPr>
      <w:pStyle w:val="13"/>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A1zUrc1AgAAYQQAAA4AAAAAAAAAAQAgAAAAIAEAAGRycy9lMm9Eb2MueG1s&#10;UEsFBgAAAAAGAAYAWQEAAMc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kUuzQAAAAAwEAAA8AAAAAAAAAAQAgAAAAIgAAAGRy&#10;cy9kb3ducmV2LnhtbFBLAQIUABQAAAAIAIdO4kC9u/foDQIAABAEAAAOAAAAAAAAAAEAIAAAAB8B&#10;AABkcnMvZTJvRG9jLnhtbFBLBQYAAAAABgAGAFkBAACeBQAAAAA=&#10;">
              <v:fill on="f" focussize="0,0"/>
              <v:stroke on="f"/>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04FD9"/>
    <w:multiLevelType w:val="singleLevel"/>
    <w:tmpl w:val="86004FD9"/>
    <w:lvl w:ilvl="0" w:tentative="0">
      <w:start w:val="2"/>
      <w:numFmt w:val="chineseCounting"/>
      <w:suff w:val="nothing"/>
      <w:lvlText w:val="（%1）"/>
      <w:lvlJc w:val="left"/>
      <w:rPr>
        <w:rFonts w:hint="eastAsia"/>
      </w:rPr>
    </w:lvl>
  </w:abstractNum>
  <w:abstractNum w:abstractNumId="1">
    <w:nsid w:val="0000000E"/>
    <w:multiLevelType w:val="multilevel"/>
    <w:tmpl w:val="0000000E"/>
    <w:lvl w:ilvl="0" w:tentative="0">
      <w:start w:val="1"/>
      <w:numFmt w:val="bullet"/>
      <w:pStyle w:val="2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2">
    <w:nsid w:val="103B0ADD"/>
    <w:multiLevelType w:val="singleLevel"/>
    <w:tmpl w:val="103B0ADD"/>
    <w:lvl w:ilvl="0" w:tentative="0">
      <w:start w:val="2"/>
      <w:numFmt w:val="decimal"/>
      <w:suff w:val="nothing"/>
      <w:lvlText w:val="%1、"/>
      <w:lvlJc w:val="left"/>
    </w:lvl>
  </w:abstractNum>
  <w:abstractNum w:abstractNumId="3">
    <w:nsid w:val="488635B1"/>
    <w:multiLevelType w:val="singleLevel"/>
    <w:tmpl w:val="488635B1"/>
    <w:lvl w:ilvl="0" w:tentative="0">
      <w:start w:val="3"/>
      <w:numFmt w:val="chineseCounting"/>
      <w:suff w:val="nothing"/>
      <w:lvlText w:val="%1、"/>
      <w:lvlJc w:val="left"/>
      <w:rPr>
        <w:rFonts w:hint="eastAsia"/>
      </w:rPr>
    </w:lvl>
  </w:abstractNum>
  <w:abstractNum w:abstractNumId="4">
    <w:nsid w:val="64F7617D"/>
    <w:multiLevelType w:val="singleLevel"/>
    <w:tmpl w:val="64F7617D"/>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4YmM3OTc3ZTc4NWMxZmQ0NjBjYmU1MDNmOTA4OWUifQ=="/>
  </w:docVars>
  <w:rsids>
    <w:rsidRoot w:val="693D54F0"/>
    <w:rsid w:val="00845AA0"/>
    <w:rsid w:val="015B3238"/>
    <w:rsid w:val="01E925F2"/>
    <w:rsid w:val="02846A1E"/>
    <w:rsid w:val="032D0B95"/>
    <w:rsid w:val="0343465A"/>
    <w:rsid w:val="035A1B33"/>
    <w:rsid w:val="035B14E6"/>
    <w:rsid w:val="039F0F8A"/>
    <w:rsid w:val="040205A2"/>
    <w:rsid w:val="05315A82"/>
    <w:rsid w:val="057523EE"/>
    <w:rsid w:val="05A11D7C"/>
    <w:rsid w:val="065D535C"/>
    <w:rsid w:val="07153E89"/>
    <w:rsid w:val="07BB6284"/>
    <w:rsid w:val="08275C22"/>
    <w:rsid w:val="089A2898"/>
    <w:rsid w:val="08EC1D5A"/>
    <w:rsid w:val="09410499"/>
    <w:rsid w:val="0A3C34DB"/>
    <w:rsid w:val="0CFB767D"/>
    <w:rsid w:val="0D103128"/>
    <w:rsid w:val="0D735465"/>
    <w:rsid w:val="0DC16318"/>
    <w:rsid w:val="0E550E35"/>
    <w:rsid w:val="0E807E3A"/>
    <w:rsid w:val="0E9E29B6"/>
    <w:rsid w:val="0ECE5049"/>
    <w:rsid w:val="0EF12AE6"/>
    <w:rsid w:val="0F0E1D3C"/>
    <w:rsid w:val="0F1972F3"/>
    <w:rsid w:val="0F5A7E04"/>
    <w:rsid w:val="0FA04CB1"/>
    <w:rsid w:val="0FA933C0"/>
    <w:rsid w:val="10392996"/>
    <w:rsid w:val="10961B97"/>
    <w:rsid w:val="10C81F6C"/>
    <w:rsid w:val="12C11B33"/>
    <w:rsid w:val="12D507D1"/>
    <w:rsid w:val="13304FB6"/>
    <w:rsid w:val="13BF1404"/>
    <w:rsid w:val="13FA68E0"/>
    <w:rsid w:val="141D437D"/>
    <w:rsid w:val="145716E9"/>
    <w:rsid w:val="15091BF5"/>
    <w:rsid w:val="160D6497"/>
    <w:rsid w:val="1629288E"/>
    <w:rsid w:val="1651030E"/>
    <w:rsid w:val="16677B31"/>
    <w:rsid w:val="16997B62"/>
    <w:rsid w:val="16D50F3F"/>
    <w:rsid w:val="17525DC7"/>
    <w:rsid w:val="18291542"/>
    <w:rsid w:val="18FC6C57"/>
    <w:rsid w:val="194D74B2"/>
    <w:rsid w:val="196D36B1"/>
    <w:rsid w:val="19A5109C"/>
    <w:rsid w:val="19B60738"/>
    <w:rsid w:val="1A295829"/>
    <w:rsid w:val="1A8A3DEE"/>
    <w:rsid w:val="1B2D30F7"/>
    <w:rsid w:val="1B4A010A"/>
    <w:rsid w:val="1B617D1B"/>
    <w:rsid w:val="1C5E5533"/>
    <w:rsid w:val="1C8E5E18"/>
    <w:rsid w:val="1C9828F5"/>
    <w:rsid w:val="1CE27F12"/>
    <w:rsid w:val="1CE9723F"/>
    <w:rsid w:val="1DAA2C50"/>
    <w:rsid w:val="1E605592"/>
    <w:rsid w:val="1E62130A"/>
    <w:rsid w:val="1E827BFE"/>
    <w:rsid w:val="1EA14212"/>
    <w:rsid w:val="1EEA3B0B"/>
    <w:rsid w:val="1F493E76"/>
    <w:rsid w:val="1F9367B4"/>
    <w:rsid w:val="1FCA53B9"/>
    <w:rsid w:val="2049550E"/>
    <w:rsid w:val="20607ACB"/>
    <w:rsid w:val="20A11416"/>
    <w:rsid w:val="21502F15"/>
    <w:rsid w:val="224B0307"/>
    <w:rsid w:val="22FD3CF7"/>
    <w:rsid w:val="23201794"/>
    <w:rsid w:val="23231AC8"/>
    <w:rsid w:val="23CE2355"/>
    <w:rsid w:val="24026CBF"/>
    <w:rsid w:val="25621B82"/>
    <w:rsid w:val="2612618E"/>
    <w:rsid w:val="268D119D"/>
    <w:rsid w:val="27473793"/>
    <w:rsid w:val="288C6FC6"/>
    <w:rsid w:val="291B6C85"/>
    <w:rsid w:val="2939535D"/>
    <w:rsid w:val="2B0A6FB1"/>
    <w:rsid w:val="2B791E50"/>
    <w:rsid w:val="2B8F395A"/>
    <w:rsid w:val="2C295C80"/>
    <w:rsid w:val="2C8C3FE6"/>
    <w:rsid w:val="2CD86C3B"/>
    <w:rsid w:val="2D686211"/>
    <w:rsid w:val="2DDF6ACE"/>
    <w:rsid w:val="2EA57544"/>
    <w:rsid w:val="2F5B463D"/>
    <w:rsid w:val="2FB5390B"/>
    <w:rsid w:val="300C557A"/>
    <w:rsid w:val="306C6018"/>
    <w:rsid w:val="31080B1D"/>
    <w:rsid w:val="317E0BCA"/>
    <w:rsid w:val="32430CC6"/>
    <w:rsid w:val="32844FB3"/>
    <w:rsid w:val="32D560F7"/>
    <w:rsid w:val="35932D3A"/>
    <w:rsid w:val="36282871"/>
    <w:rsid w:val="36B966AC"/>
    <w:rsid w:val="37A37F3E"/>
    <w:rsid w:val="39396CB4"/>
    <w:rsid w:val="3A470286"/>
    <w:rsid w:val="3A541FF7"/>
    <w:rsid w:val="3A751F6D"/>
    <w:rsid w:val="3BF35840"/>
    <w:rsid w:val="3DDD719D"/>
    <w:rsid w:val="3ECC2E81"/>
    <w:rsid w:val="3EE871B2"/>
    <w:rsid w:val="3EFC2C5D"/>
    <w:rsid w:val="3FF43934"/>
    <w:rsid w:val="400242A3"/>
    <w:rsid w:val="40061FE5"/>
    <w:rsid w:val="42756FAE"/>
    <w:rsid w:val="42BC2E2F"/>
    <w:rsid w:val="42D068DB"/>
    <w:rsid w:val="42E934F8"/>
    <w:rsid w:val="42FA5706"/>
    <w:rsid w:val="4362464E"/>
    <w:rsid w:val="441566BD"/>
    <w:rsid w:val="443F5AC6"/>
    <w:rsid w:val="456A4DC4"/>
    <w:rsid w:val="457503C5"/>
    <w:rsid w:val="45B46040"/>
    <w:rsid w:val="45DE30BD"/>
    <w:rsid w:val="46780A32"/>
    <w:rsid w:val="478D6B48"/>
    <w:rsid w:val="47E4172A"/>
    <w:rsid w:val="48B86ECB"/>
    <w:rsid w:val="4A4C4A99"/>
    <w:rsid w:val="4A62606A"/>
    <w:rsid w:val="4A761B16"/>
    <w:rsid w:val="4A8E0B76"/>
    <w:rsid w:val="4B271062"/>
    <w:rsid w:val="4E056A63"/>
    <w:rsid w:val="4E346214"/>
    <w:rsid w:val="4E425759"/>
    <w:rsid w:val="4EF61477"/>
    <w:rsid w:val="4F3B3F85"/>
    <w:rsid w:val="4F714FA1"/>
    <w:rsid w:val="4FC13833"/>
    <w:rsid w:val="5003209D"/>
    <w:rsid w:val="50212524"/>
    <w:rsid w:val="51305E73"/>
    <w:rsid w:val="51497F84"/>
    <w:rsid w:val="522B58DB"/>
    <w:rsid w:val="53BB4A3D"/>
    <w:rsid w:val="54077C82"/>
    <w:rsid w:val="54AB4AB2"/>
    <w:rsid w:val="54D538DD"/>
    <w:rsid w:val="54DC2EBD"/>
    <w:rsid w:val="55DE7BB5"/>
    <w:rsid w:val="565643B2"/>
    <w:rsid w:val="566104DC"/>
    <w:rsid w:val="56861332"/>
    <w:rsid w:val="56A12D99"/>
    <w:rsid w:val="574C0CAB"/>
    <w:rsid w:val="57B060E1"/>
    <w:rsid w:val="57C87729"/>
    <w:rsid w:val="57EE718F"/>
    <w:rsid w:val="58054BB6"/>
    <w:rsid w:val="58F73714"/>
    <w:rsid w:val="5BB66216"/>
    <w:rsid w:val="5BCF1086"/>
    <w:rsid w:val="5BD31E22"/>
    <w:rsid w:val="5BDA09D4"/>
    <w:rsid w:val="5C376D9A"/>
    <w:rsid w:val="5CAA3365"/>
    <w:rsid w:val="5CBA305E"/>
    <w:rsid w:val="5D2E002E"/>
    <w:rsid w:val="5D35760E"/>
    <w:rsid w:val="5E541D16"/>
    <w:rsid w:val="5F3F65B2"/>
    <w:rsid w:val="5FC21E9A"/>
    <w:rsid w:val="5FFB7AE9"/>
    <w:rsid w:val="606F4BE5"/>
    <w:rsid w:val="60B566A2"/>
    <w:rsid w:val="613E1F71"/>
    <w:rsid w:val="61A43309"/>
    <w:rsid w:val="61BA4586"/>
    <w:rsid w:val="61D0410F"/>
    <w:rsid w:val="62494CEC"/>
    <w:rsid w:val="62791D4B"/>
    <w:rsid w:val="62E80C7F"/>
    <w:rsid w:val="62ED570E"/>
    <w:rsid w:val="651545A8"/>
    <w:rsid w:val="651A596B"/>
    <w:rsid w:val="655E275C"/>
    <w:rsid w:val="65767CFE"/>
    <w:rsid w:val="65D22805"/>
    <w:rsid w:val="65F755BB"/>
    <w:rsid w:val="65FE0EE5"/>
    <w:rsid w:val="661F2C0A"/>
    <w:rsid w:val="66285F62"/>
    <w:rsid w:val="66A74276"/>
    <w:rsid w:val="67632850"/>
    <w:rsid w:val="67C63C85"/>
    <w:rsid w:val="68CF0917"/>
    <w:rsid w:val="693D54F0"/>
    <w:rsid w:val="69B12712"/>
    <w:rsid w:val="6A8C1F40"/>
    <w:rsid w:val="6AF85F46"/>
    <w:rsid w:val="6B0D141C"/>
    <w:rsid w:val="6BAF5978"/>
    <w:rsid w:val="6CB71DEE"/>
    <w:rsid w:val="6CEF1CC2"/>
    <w:rsid w:val="6D140FEE"/>
    <w:rsid w:val="6E836194"/>
    <w:rsid w:val="6EFB3D86"/>
    <w:rsid w:val="6F3D6497"/>
    <w:rsid w:val="6F480F76"/>
    <w:rsid w:val="6F5A1CBD"/>
    <w:rsid w:val="6F8A0D32"/>
    <w:rsid w:val="6FDD7DBD"/>
    <w:rsid w:val="727F7362"/>
    <w:rsid w:val="729F13BE"/>
    <w:rsid w:val="72A93F87"/>
    <w:rsid w:val="72E3529E"/>
    <w:rsid w:val="738917B3"/>
    <w:rsid w:val="738F5336"/>
    <w:rsid w:val="73CA596D"/>
    <w:rsid w:val="748F53FE"/>
    <w:rsid w:val="75284986"/>
    <w:rsid w:val="75D80E69"/>
    <w:rsid w:val="764C17F9"/>
    <w:rsid w:val="772A364B"/>
    <w:rsid w:val="773474D8"/>
    <w:rsid w:val="78000AED"/>
    <w:rsid w:val="78342545"/>
    <w:rsid w:val="78A551F0"/>
    <w:rsid w:val="794744F9"/>
    <w:rsid w:val="796D372B"/>
    <w:rsid w:val="797352EE"/>
    <w:rsid w:val="797C10B2"/>
    <w:rsid w:val="79A100AE"/>
    <w:rsid w:val="7A0148F2"/>
    <w:rsid w:val="7A165A81"/>
    <w:rsid w:val="7A707A80"/>
    <w:rsid w:val="7AC202DC"/>
    <w:rsid w:val="7ACC2F08"/>
    <w:rsid w:val="7ACD06AB"/>
    <w:rsid w:val="7B193C74"/>
    <w:rsid w:val="7B86755B"/>
    <w:rsid w:val="7BAB5214"/>
    <w:rsid w:val="7BFE17E7"/>
    <w:rsid w:val="7C2D79D7"/>
    <w:rsid w:val="7C885555"/>
    <w:rsid w:val="7D747887"/>
    <w:rsid w:val="7D771F9C"/>
    <w:rsid w:val="7DC4436B"/>
    <w:rsid w:val="7DE4147D"/>
    <w:rsid w:val="7E490D14"/>
    <w:rsid w:val="B7FFC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6"/>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8">
    <w:name w:val="heading 3"/>
    <w:basedOn w:val="1"/>
    <w:next w:val="1"/>
    <w:autoRedefine/>
    <w:qFormat/>
    <w:uiPriority w:val="0"/>
    <w:pPr>
      <w:keepNext/>
      <w:keepLines/>
      <w:spacing w:before="260" w:after="260" w:line="413" w:lineRule="auto"/>
      <w:outlineLvl w:val="2"/>
    </w:pPr>
    <w:rPr>
      <w:b/>
      <w:sz w:val="32"/>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99"/>
    <w:pPr>
      <w:spacing w:after="120"/>
    </w:pPr>
  </w:style>
  <w:style w:type="paragraph" w:styleId="3">
    <w:name w:val="Subtitle"/>
    <w:basedOn w:val="1"/>
    <w:next w:val="1"/>
    <w:autoRedefine/>
    <w:qFormat/>
    <w:uiPriority w:val="11"/>
    <w:pPr>
      <w:spacing w:before="240" w:after="60" w:line="312" w:lineRule="auto"/>
      <w:jc w:val="center"/>
      <w:outlineLvl w:val="1"/>
    </w:pPr>
    <w:rPr>
      <w:rFonts w:ascii="Cambria" w:hAnsi="Cambria" w:eastAsia="宋体"/>
      <w:b/>
      <w:bCs/>
      <w:kern w:val="28"/>
      <w:sz w:val="32"/>
      <w:szCs w:val="32"/>
    </w:rPr>
  </w:style>
  <w:style w:type="paragraph" w:styleId="6">
    <w:name w:val="Normal Indent"/>
    <w:basedOn w:val="1"/>
    <w:next w:val="7"/>
    <w:autoRedefine/>
    <w:unhideWhenUsed/>
    <w:qFormat/>
    <w:uiPriority w:val="99"/>
    <w:pPr>
      <w:ind w:firstLine="420" w:firstLineChars="200"/>
    </w:pPr>
  </w:style>
  <w:style w:type="paragraph" w:styleId="7">
    <w:name w:val="toc 6"/>
    <w:basedOn w:val="1"/>
    <w:next w:val="1"/>
    <w:autoRedefine/>
    <w:unhideWhenUsed/>
    <w:qFormat/>
    <w:uiPriority w:val="39"/>
    <w:pPr>
      <w:ind w:left="2100" w:leftChars="1000"/>
    </w:pPr>
  </w:style>
  <w:style w:type="paragraph" w:styleId="9">
    <w:name w:val="annotation text"/>
    <w:basedOn w:val="1"/>
    <w:autoRedefine/>
    <w:qFormat/>
    <w:uiPriority w:val="0"/>
    <w:pPr>
      <w:jc w:val="left"/>
    </w:pPr>
  </w:style>
  <w:style w:type="paragraph" w:styleId="10">
    <w:name w:val="Body Text Indent"/>
    <w:basedOn w:val="1"/>
    <w:autoRedefine/>
    <w:qFormat/>
    <w:uiPriority w:val="0"/>
    <w:pPr>
      <w:spacing w:line="700" w:lineRule="exact"/>
      <w:ind w:left="960"/>
    </w:pPr>
    <w:rPr>
      <w:sz w:val="44"/>
    </w:rPr>
  </w:style>
  <w:style w:type="paragraph" w:styleId="11">
    <w:name w:val="Plain Text"/>
    <w:basedOn w:val="1"/>
    <w:next w:val="12"/>
    <w:autoRedefine/>
    <w:qFormat/>
    <w:uiPriority w:val="0"/>
    <w:pPr>
      <w:widowControl/>
    </w:pPr>
    <w:rPr>
      <w:rFonts w:ascii="宋体" w:hAnsi="Courier New"/>
      <w:szCs w:val="20"/>
    </w:rPr>
  </w:style>
  <w:style w:type="paragraph" w:styleId="12">
    <w:name w:val="index 9"/>
    <w:basedOn w:val="1"/>
    <w:next w:val="1"/>
    <w:autoRedefine/>
    <w:unhideWhenUsed/>
    <w:qFormat/>
    <w:uiPriority w:val="99"/>
    <w:pPr>
      <w:ind w:left="1600" w:leftChars="1600"/>
    </w:p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autoRedefine/>
    <w:qFormat/>
    <w:uiPriority w:val="0"/>
    <w:pPr>
      <w:spacing w:line="180" w:lineRule="auto"/>
      <w:jc w:val="center"/>
    </w:pPr>
    <w:rPr>
      <w:sz w:val="30"/>
    </w:rPr>
  </w:style>
  <w:style w:type="paragraph" w:styleId="16">
    <w:name w:val="Title"/>
    <w:basedOn w:val="1"/>
    <w:next w:val="1"/>
    <w:autoRedefine/>
    <w:qFormat/>
    <w:uiPriority w:val="10"/>
    <w:pPr>
      <w:spacing w:before="240" w:after="60"/>
      <w:jc w:val="center"/>
      <w:outlineLvl w:val="0"/>
    </w:pPr>
    <w:rPr>
      <w:rFonts w:ascii="Arial" w:hAnsi="Arial"/>
      <w:b/>
      <w:sz w:val="32"/>
    </w:rPr>
  </w:style>
  <w:style w:type="paragraph" w:styleId="17">
    <w:name w:val="Body Text First Indent 2"/>
    <w:autoRedefine/>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paragraph" w:customStyle="1" w:styleId="22">
    <w:name w:val="一级条标题"/>
    <w:basedOn w:val="23"/>
    <w:next w:val="24"/>
    <w:autoRedefine/>
    <w:qFormat/>
    <w:uiPriority w:val="99"/>
    <w:pPr>
      <w:spacing w:line="240" w:lineRule="auto"/>
      <w:ind w:left="420"/>
      <w:outlineLvl w:val="2"/>
    </w:pPr>
  </w:style>
  <w:style w:type="paragraph" w:customStyle="1" w:styleId="23">
    <w:name w:val="章标题"/>
    <w:next w:val="1"/>
    <w:autoRedefine/>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24">
    <w:name w:val="段"/>
    <w:next w:val="1"/>
    <w:autoRedefine/>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5">
    <w:name w:val="首行缩进"/>
    <w:basedOn w:val="1"/>
    <w:autoRedefine/>
    <w:qFormat/>
    <w:uiPriority w:val="0"/>
    <w:pPr>
      <w:numPr>
        <w:ilvl w:val="0"/>
        <w:numId w:val="1"/>
      </w:numPr>
      <w:spacing w:line="360" w:lineRule="auto"/>
    </w:pPr>
    <w:rPr>
      <w:rFonts w:eastAsia="仿宋_GB2312"/>
    </w:rPr>
  </w:style>
  <w:style w:type="paragraph" w:customStyle="1" w:styleId="26">
    <w:name w:val="TOC 标题1"/>
    <w:basedOn w:val="4"/>
    <w:next w:val="1"/>
    <w:autoRedefine/>
    <w:unhideWhenUsed/>
    <w:qFormat/>
    <w:uiPriority w:val="39"/>
    <w:pPr>
      <w:widowControl/>
      <w:spacing w:before="480" w:after="0" w:line="276" w:lineRule="auto"/>
      <w:jc w:val="left"/>
      <w:outlineLvl w:val="9"/>
    </w:pPr>
    <w:rPr>
      <w:rFonts w:ascii="Calibri Light" w:hAnsi="Calibri Light" w:eastAsia="宋体" w:cs="Times New Roman"/>
      <w:color w:val="2E75B5"/>
      <w:kern w:val="0"/>
      <w:sz w:val="28"/>
      <w:szCs w:val="28"/>
    </w:rPr>
  </w:style>
  <w:style w:type="paragraph" w:customStyle="1" w:styleId="27">
    <w:name w:val="图例"/>
    <w:basedOn w:val="1"/>
    <w:autoRedefine/>
    <w:qFormat/>
    <w:uiPriority w:val="0"/>
    <w:pPr>
      <w:spacing w:before="120" w:after="120" w:line="360" w:lineRule="auto"/>
      <w:jc w:val="center"/>
    </w:pPr>
    <w:rPr>
      <w:rFonts w:eastAsia="仿宋_GB2312"/>
      <w:b/>
      <w:sz w:val="24"/>
    </w:rPr>
  </w:style>
  <w:style w:type="paragraph" w:customStyle="1" w:styleId="28">
    <w:name w:val="Table Paragraph"/>
    <w:basedOn w:val="1"/>
    <w:autoRedefine/>
    <w:qFormat/>
    <w:uiPriority w:val="1"/>
    <w:pPr>
      <w:autoSpaceDE w:val="0"/>
      <w:autoSpaceDN w:val="0"/>
      <w:jc w:val="left"/>
    </w:pPr>
    <w:rPr>
      <w:rFonts w:ascii="宋体" w:hAnsi="宋体" w:eastAsia="宋体" w:cs="宋体"/>
      <w:kern w:val="0"/>
      <w:sz w:val="22"/>
      <w:lang w:eastAsia="en-US"/>
    </w:rPr>
  </w:style>
  <w:style w:type="paragraph" w:styleId="29">
    <w:name w:val="List Paragraph"/>
    <w:basedOn w:val="1"/>
    <w:autoRedefine/>
    <w:qFormat/>
    <w:uiPriority w:val="0"/>
    <w:pPr>
      <w:ind w:firstLine="420" w:firstLineChars="200"/>
    </w:pPr>
  </w:style>
  <w:style w:type="character" w:customStyle="1" w:styleId="30">
    <w:name w:val="font31"/>
    <w:basedOn w:val="20"/>
    <w:autoRedefine/>
    <w:qFormat/>
    <w:uiPriority w:val="0"/>
    <w:rPr>
      <w:rFonts w:ascii="宋体" w:hAnsi="宋体" w:eastAsia="宋体" w:cs="宋体"/>
      <w:color w:val="000000"/>
      <w:sz w:val="24"/>
      <w:szCs w:val="24"/>
      <w:u w:val="none"/>
    </w:rPr>
  </w:style>
  <w:style w:type="character" w:customStyle="1" w:styleId="31">
    <w:name w:val="font21"/>
    <w:basedOn w:val="20"/>
    <w:autoRedefine/>
    <w:qFormat/>
    <w:uiPriority w:val="0"/>
    <w:rPr>
      <w:rFonts w:hint="eastAsia" w:ascii="仿宋" w:hAnsi="仿宋" w:eastAsia="仿宋" w:cs="仿宋"/>
      <w:color w:val="000000"/>
      <w:sz w:val="24"/>
      <w:szCs w:val="24"/>
      <w:u w:val="none"/>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paragraph" w:customStyle="1" w:styleId="33">
    <w:name w:val="Table Text"/>
    <w:basedOn w:val="1"/>
    <w:autoRedefine/>
    <w:semiHidden/>
    <w:qFormat/>
    <w:uiPriority w:val="0"/>
    <w:rPr>
      <w:rFonts w:ascii="仿宋" w:hAnsi="仿宋" w:eastAsia="仿宋" w:cs="仿宋"/>
      <w:sz w:val="22"/>
      <w:szCs w:val="22"/>
      <w:lang w:val="en-US" w:eastAsia="en-US" w:bidi="ar-SA"/>
    </w:rPr>
  </w:style>
  <w:style w:type="paragraph" w:customStyle="1" w:styleId="34">
    <w:name w:val="Default"/>
    <w:autoRedefine/>
    <w:qFormat/>
    <w:uiPriority w:val="0"/>
    <w:pPr>
      <w:widowControl w:val="0"/>
      <w:autoSpaceDE w:val="0"/>
      <w:autoSpaceDN w:val="0"/>
      <w:adjustRightInd w:val="0"/>
    </w:pPr>
    <w:rPr>
      <w:rFonts w:ascii="......." w:hAnsi="Times New Roman" w:eastAsia="......." w:cs="......."/>
      <w:color w:val="000000"/>
      <w:sz w:val="24"/>
      <w:szCs w:val="24"/>
      <w:lang w:val="en-US" w:eastAsia="zh-CN" w:bidi="ar-SA"/>
    </w:rPr>
  </w:style>
  <w:style w:type="paragraph" w:customStyle="1" w:styleId="35">
    <w:name w:val="WW-普通文字"/>
    <w:basedOn w:val="1"/>
    <w:autoRedefine/>
    <w:qFormat/>
    <w:uiPriority w:val="0"/>
    <w:pPr>
      <w:suppressAutoHyphens/>
    </w:pPr>
    <w:rPr>
      <w:rFonts w:ascii="宋体" w:hAnsi="宋体"/>
      <w:kern w:val="1"/>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4541</Words>
  <Characters>4937</Characters>
  <Lines>0</Lines>
  <Paragraphs>0</Paragraphs>
  <TotalTime>23</TotalTime>
  <ScaleCrop>false</ScaleCrop>
  <LinksUpToDate>false</LinksUpToDate>
  <CharactersWithSpaces>5484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2021-12-17T14:17:00Z</dcterms:created>
  <dc:creator>Administrator</dc:creator>
  <cp:lastModifiedBy>平常心</cp:lastModifiedBy>
  <cp:lastPrinted>2024-02-22T04:28:00Z</cp:lastPrinted>
  <dcterms:modified xsi:type="dcterms:W3CDTF">2024-04-19T02:51:47Z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05F7B3BA38E448298C4628E7B81C04F9_13</vt:lpwstr>
  </property>
</Properties>
</file>