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第三章  采购需求</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0" w:firstLineChars="0"/>
        <w:jc w:val="center"/>
        <w:textAlignment w:val="auto"/>
        <w:rPr>
          <w:rFonts w:hint="eastAsia" w:ascii="宋体" w:hAnsi="宋体" w:eastAsia="宋体" w:cs="宋体"/>
          <w:b/>
          <w:bCs/>
          <w:sz w:val="52"/>
          <w:szCs w:val="5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w:t>
      </w:r>
      <w:r>
        <w:rPr>
          <w:rFonts w:hint="eastAsia" w:ascii="楷体" w:hAnsi="楷体" w:eastAsia="楷体" w:cs="楷体"/>
          <w:b/>
          <w:bCs/>
          <w:sz w:val="32"/>
          <w:szCs w:val="32"/>
          <w:lang w:val="en-US" w:eastAsia="zh-CN"/>
        </w:rPr>
        <w:t>项目名称</w:t>
      </w:r>
      <w:r>
        <w:rPr>
          <w:rFonts w:hint="eastAsia" w:ascii="楷体" w:hAnsi="楷体" w:eastAsia="楷体" w:cs="楷体"/>
          <w:b w:val="0"/>
          <w:bCs w:val="0"/>
          <w:sz w:val="32"/>
          <w:szCs w:val="32"/>
          <w:lang w:val="en-US" w:eastAsia="zh-CN"/>
        </w:rPr>
        <w:t>：澄迈县存量农村污水治理工程委托运营（2024-2027年）；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w:t>
      </w:r>
      <w:r>
        <w:rPr>
          <w:rFonts w:hint="eastAsia" w:ascii="楷体" w:hAnsi="楷体" w:eastAsia="楷体" w:cs="楷体"/>
          <w:b/>
          <w:bCs/>
          <w:sz w:val="32"/>
          <w:szCs w:val="32"/>
          <w:lang w:val="en-US" w:eastAsia="zh-CN"/>
        </w:rPr>
        <w:t>项目预算</w:t>
      </w:r>
      <w:r>
        <w:rPr>
          <w:rFonts w:hint="eastAsia" w:ascii="楷体" w:hAnsi="楷体" w:eastAsia="楷体" w:cs="楷体"/>
          <w:b w:val="0"/>
          <w:bCs w:val="0"/>
          <w:sz w:val="32"/>
          <w:szCs w:val="32"/>
          <w:lang w:val="en-US" w:eastAsia="zh-CN"/>
        </w:rPr>
        <w:t>：1071.09万元，357.03 万元/年；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3、</w:t>
      </w:r>
      <w:r>
        <w:rPr>
          <w:rFonts w:hint="eastAsia" w:ascii="楷体" w:hAnsi="楷体" w:eastAsia="楷体" w:cs="楷体"/>
          <w:b/>
          <w:bCs/>
          <w:sz w:val="32"/>
          <w:szCs w:val="32"/>
          <w:lang w:val="en-US" w:eastAsia="zh-CN"/>
        </w:rPr>
        <w:t>资金来源</w:t>
      </w:r>
      <w:r>
        <w:rPr>
          <w:rFonts w:hint="eastAsia" w:ascii="楷体" w:hAnsi="楷体" w:eastAsia="楷体" w:cs="楷体"/>
          <w:b w:val="0"/>
          <w:bCs w:val="0"/>
          <w:sz w:val="32"/>
          <w:szCs w:val="32"/>
          <w:lang w:val="en-US" w:eastAsia="zh-CN"/>
        </w:rPr>
        <w:t>：财政资金；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4、</w:t>
      </w:r>
      <w:r>
        <w:rPr>
          <w:rFonts w:hint="eastAsia" w:ascii="楷体" w:hAnsi="楷体" w:eastAsia="楷体" w:cs="楷体"/>
          <w:b/>
          <w:bCs/>
          <w:sz w:val="32"/>
          <w:szCs w:val="32"/>
          <w:lang w:val="en-US" w:eastAsia="zh-CN"/>
        </w:rPr>
        <w:t>建设单位</w:t>
      </w:r>
      <w:r>
        <w:rPr>
          <w:rFonts w:hint="eastAsia" w:ascii="楷体" w:hAnsi="楷体" w:eastAsia="楷体" w:cs="楷体"/>
          <w:b w:val="0"/>
          <w:bCs w:val="0"/>
          <w:sz w:val="32"/>
          <w:szCs w:val="32"/>
          <w:lang w:val="en-US" w:eastAsia="zh-CN"/>
        </w:rPr>
        <w:t>：澄迈县水务局；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jc w:val="both"/>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32"/>
          <w:szCs w:val="32"/>
          <w:lang w:val="en-US" w:eastAsia="zh-CN"/>
        </w:rPr>
        <w:t>5、</w:t>
      </w:r>
      <w:r>
        <w:rPr>
          <w:rFonts w:hint="eastAsia" w:ascii="楷体" w:hAnsi="楷体" w:eastAsia="楷体" w:cs="楷体"/>
          <w:b/>
          <w:bCs/>
          <w:sz w:val="32"/>
          <w:szCs w:val="32"/>
          <w:lang w:val="en-US" w:eastAsia="zh-CN"/>
        </w:rPr>
        <w:t>运营范围</w:t>
      </w:r>
      <w:r>
        <w:rPr>
          <w:rFonts w:hint="eastAsia" w:ascii="楷体" w:hAnsi="楷体" w:eastAsia="楷体" w:cs="楷体"/>
          <w:b w:val="0"/>
          <w:bCs w:val="0"/>
          <w:sz w:val="32"/>
          <w:szCs w:val="32"/>
          <w:lang w:val="en-US" w:eastAsia="zh-CN"/>
        </w:rPr>
        <w:t>：</w:t>
      </w:r>
      <w:bookmarkStart w:id="0" w:name="_Hlk522436635"/>
      <w:r>
        <w:rPr>
          <w:rFonts w:hint="eastAsia" w:ascii="楷体" w:hAnsi="楷体" w:eastAsia="楷体" w:cs="楷体"/>
          <w:b w:val="0"/>
          <w:bCs w:val="0"/>
          <w:sz w:val="32"/>
          <w:szCs w:val="32"/>
          <w:lang w:val="en-US" w:eastAsia="zh-CN"/>
        </w:rPr>
        <w:t>本项目拟委托运营的农村污水治理工程包括了澄迈县水务局和生态环境局负责建设的存量工程，涉及金江镇、福山镇、永发镇、加乐镇、瑞溪镇、中兴镇等六个乡镇共计78个自然村。</w:t>
      </w:r>
    </w:p>
    <w:bookmarkEnd w:id="0"/>
    <w:p>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服务内容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Chars="0" w:firstLine="640" w:firstLineChars="200"/>
        <w:jc w:val="both"/>
        <w:textAlignment w:val="auto"/>
        <w:rPr>
          <w:rFonts w:hint="eastAsia" w:ascii="楷体" w:hAnsi="楷体" w:eastAsia="楷体" w:cs="楷体"/>
          <w:b w:val="0"/>
          <w:bCs w:val="0"/>
          <w:sz w:val="32"/>
          <w:szCs w:val="32"/>
          <w:highlight w:val="yellow"/>
          <w:lang w:val="en-US" w:eastAsia="zh-CN"/>
        </w:rPr>
      </w:pPr>
      <w:r>
        <w:rPr>
          <w:rFonts w:hint="eastAsia" w:ascii="楷体" w:hAnsi="楷体" w:eastAsia="楷体" w:cs="楷体"/>
          <w:b w:val="0"/>
          <w:bCs w:val="0"/>
          <w:sz w:val="32"/>
          <w:szCs w:val="32"/>
          <w:lang w:val="en-US" w:eastAsia="en-US"/>
        </w:rPr>
        <w:t>本项目涉及的7</w:t>
      </w:r>
      <w:r>
        <w:rPr>
          <w:rFonts w:hint="eastAsia" w:ascii="楷体" w:hAnsi="楷体" w:eastAsia="楷体" w:cs="楷体"/>
          <w:b w:val="0"/>
          <w:bCs w:val="0"/>
          <w:sz w:val="32"/>
          <w:szCs w:val="32"/>
          <w:lang w:val="en-US" w:eastAsia="zh-CN"/>
        </w:rPr>
        <w:t>8</w:t>
      </w:r>
      <w:r>
        <w:rPr>
          <w:rFonts w:hint="eastAsia" w:ascii="楷体" w:hAnsi="楷体" w:eastAsia="楷体" w:cs="楷体"/>
          <w:b w:val="0"/>
          <w:bCs w:val="0"/>
          <w:sz w:val="32"/>
          <w:szCs w:val="32"/>
          <w:lang w:val="en-US" w:eastAsia="en-US"/>
        </w:rPr>
        <w:t>个自然村污水处理设计规模为 5</w:t>
      </w:r>
      <w:r>
        <w:rPr>
          <w:rFonts w:hint="eastAsia" w:ascii="楷体" w:hAnsi="楷体" w:eastAsia="楷体" w:cs="楷体"/>
          <w:b w:val="0"/>
          <w:bCs w:val="0"/>
          <w:sz w:val="32"/>
          <w:szCs w:val="32"/>
          <w:lang w:val="en-US" w:eastAsia="zh-CN"/>
        </w:rPr>
        <w:t>021</w:t>
      </w:r>
      <w:r>
        <w:rPr>
          <w:rFonts w:hint="eastAsia" w:ascii="楷体" w:hAnsi="楷体" w:eastAsia="楷体" w:cs="楷体"/>
          <w:b w:val="0"/>
          <w:bCs w:val="0"/>
          <w:sz w:val="32"/>
          <w:szCs w:val="32"/>
          <w:lang w:val="en-US" w:eastAsia="en-US"/>
        </w:rPr>
        <w:t>.5m</w:t>
      </w:r>
      <w:r>
        <w:rPr>
          <w:rFonts w:hint="eastAsia" w:ascii="楷体" w:hAnsi="楷体" w:eastAsia="楷体" w:cs="楷体"/>
          <w:b w:val="0"/>
          <w:bCs w:val="0"/>
          <w:sz w:val="32"/>
          <w:szCs w:val="32"/>
          <w:vertAlign w:val="superscript"/>
          <w:lang w:val="en-US" w:eastAsia="en-US"/>
        </w:rPr>
        <w:t>3</w:t>
      </w:r>
      <w:r>
        <w:rPr>
          <w:rFonts w:hint="eastAsia" w:ascii="楷体" w:hAnsi="楷体" w:eastAsia="楷体" w:cs="楷体"/>
          <w:b w:val="0"/>
          <w:bCs w:val="0"/>
          <w:sz w:val="32"/>
          <w:szCs w:val="32"/>
          <w:lang w:val="en-US" w:eastAsia="en-US"/>
        </w:rPr>
        <w:t>/d；配套管网总长193.16km,其中主管长度为 86.29km， 接户管长度为106.87km。</w:t>
      </w:r>
    </w:p>
    <w:p>
      <w:pPr>
        <w:widowControl/>
        <w:kinsoku w:val="0"/>
        <w:autoSpaceDE w:val="0"/>
        <w:autoSpaceDN w:val="0"/>
        <w:spacing w:before="290" w:line="215" w:lineRule="auto"/>
        <w:ind w:left="1395" w:firstLine="0" w:firstLineChars="0"/>
        <w:jc w:val="left"/>
        <w:textAlignment w:val="baseline"/>
        <w:rPr>
          <w:rFonts w:ascii="仿宋" w:hAnsi="仿宋" w:eastAsia="仿宋" w:cs="仿宋"/>
          <w:snapToGrid w:val="0"/>
          <w:color w:val="000000"/>
          <w:spacing w:val="-1"/>
          <w:kern w:val="0"/>
          <w:sz w:val="24"/>
          <w:szCs w:val="24"/>
          <w:lang w:eastAsia="en-US"/>
        </w:rPr>
      </w:pPr>
    </w:p>
    <w:p>
      <w:pPr>
        <w:widowControl/>
        <w:kinsoku w:val="0"/>
        <w:autoSpaceDE w:val="0"/>
        <w:autoSpaceDN w:val="0"/>
        <w:spacing w:before="290" w:line="215" w:lineRule="auto"/>
        <w:ind w:left="0" w:leftChars="0" w:firstLine="0" w:firstLineChars="0"/>
        <w:jc w:val="center"/>
        <w:textAlignment w:val="baseline"/>
        <w:rPr>
          <w:rFonts w:hint="eastAsia" w:ascii="楷体" w:hAnsi="楷体" w:eastAsia="楷体" w:cs="楷体"/>
          <w:snapToGrid w:val="0"/>
          <w:color w:val="000000"/>
          <w:spacing w:val="-1"/>
          <w:kern w:val="0"/>
          <w:sz w:val="32"/>
          <w:szCs w:val="32"/>
          <w:highlight w:val="yellow"/>
          <w:lang w:eastAsia="en-US"/>
        </w:rPr>
      </w:pPr>
    </w:p>
    <w:p>
      <w:pPr>
        <w:widowControl/>
        <w:kinsoku w:val="0"/>
        <w:autoSpaceDE w:val="0"/>
        <w:autoSpaceDN w:val="0"/>
        <w:spacing w:before="290" w:line="215" w:lineRule="auto"/>
        <w:ind w:left="0" w:leftChars="0" w:firstLine="0" w:firstLineChars="0"/>
        <w:jc w:val="center"/>
        <w:textAlignment w:val="baseline"/>
        <w:rPr>
          <w:rFonts w:hint="eastAsia" w:ascii="楷体" w:hAnsi="楷体" w:eastAsia="楷体" w:cs="楷体"/>
          <w:snapToGrid w:val="0"/>
          <w:color w:val="000000"/>
          <w:spacing w:val="-1"/>
          <w:kern w:val="0"/>
          <w:sz w:val="32"/>
          <w:szCs w:val="32"/>
          <w:highlight w:val="none"/>
          <w:lang w:eastAsia="en-US"/>
        </w:rPr>
      </w:pPr>
    </w:p>
    <w:p>
      <w:pPr>
        <w:widowControl/>
        <w:kinsoku w:val="0"/>
        <w:autoSpaceDE w:val="0"/>
        <w:autoSpaceDN w:val="0"/>
        <w:spacing w:before="290" w:line="215" w:lineRule="auto"/>
        <w:ind w:left="0" w:leftChars="0" w:firstLine="0" w:firstLineChars="0"/>
        <w:jc w:val="center"/>
        <w:textAlignment w:val="baseline"/>
        <w:rPr>
          <w:rFonts w:hint="eastAsia" w:ascii="楷体" w:hAnsi="楷体" w:eastAsia="楷体" w:cs="楷体"/>
          <w:snapToGrid w:val="0"/>
          <w:color w:val="000000"/>
          <w:spacing w:val="-1"/>
          <w:kern w:val="0"/>
          <w:sz w:val="32"/>
          <w:szCs w:val="32"/>
          <w:highlight w:val="none"/>
          <w:lang w:eastAsia="en-US"/>
        </w:rPr>
      </w:pPr>
    </w:p>
    <w:p>
      <w:pPr>
        <w:widowControl/>
        <w:kinsoku w:val="0"/>
        <w:autoSpaceDE w:val="0"/>
        <w:autoSpaceDN w:val="0"/>
        <w:spacing w:before="290" w:line="215" w:lineRule="auto"/>
        <w:ind w:left="0" w:leftChars="0" w:firstLine="0" w:firstLineChars="0"/>
        <w:jc w:val="center"/>
        <w:textAlignment w:val="baseline"/>
        <w:rPr>
          <w:rFonts w:hint="eastAsia" w:ascii="楷体" w:hAnsi="楷体" w:eastAsia="楷体" w:cs="楷体"/>
          <w:snapToGrid w:val="0"/>
          <w:color w:val="000000"/>
          <w:spacing w:val="-1"/>
          <w:kern w:val="0"/>
          <w:sz w:val="32"/>
          <w:szCs w:val="32"/>
          <w:highlight w:val="none"/>
          <w:lang w:eastAsia="en-US"/>
        </w:rPr>
      </w:pPr>
    </w:p>
    <w:p>
      <w:pPr>
        <w:numPr>
          <w:ilvl w:val="0"/>
          <w:numId w:val="0"/>
        </w:numPr>
        <w:spacing w:line="360" w:lineRule="auto"/>
        <w:ind w:leftChars="0"/>
        <w:jc w:val="center"/>
        <w:rPr>
          <w:rFonts w:hint="eastAsia" w:ascii="楷体" w:hAnsi="楷体" w:eastAsia="楷体" w:cs="楷体"/>
          <w:snapToGrid w:val="0"/>
          <w:color w:val="000000"/>
          <w:spacing w:val="-1"/>
          <w:kern w:val="0"/>
          <w:sz w:val="32"/>
          <w:szCs w:val="32"/>
          <w:highlight w:val="none"/>
          <w:lang w:eastAsia="en-US"/>
        </w:rPr>
      </w:pPr>
    </w:p>
    <w:p>
      <w:pPr>
        <w:numPr>
          <w:ilvl w:val="0"/>
          <w:numId w:val="0"/>
        </w:numPr>
        <w:spacing w:line="360" w:lineRule="auto"/>
        <w:ind w:leftChars="0"/>
        <w:jc w:val="center"/>
        <w:rPr>
          <w:rFonts w:hint="eastAsia" w:ascii="楷体" w:hAnsi="楷体" w:eastAsia="楷体" w:cs="楷体"/>
          <w:snapToGrid w:val="0"/>
          <w:color w:val="000000"/>
          <w:spacing w:val="-2"/>
          <w:kern w:val="0"/>
          <w:sz w:val="32"/>
          <w:szCs w:val="32"/>
          <w:highlight w:val="none"/>
          <w:lang w:eastAsia="en-US"/>
        </w:rPr>
      </w:pPr>
      <w:r>
        <w:rPr>
          <w:rFonts w:hint="eastAsia" w:ascii="楷体" w:hAnsi="楷体" w:eastAsia="楷体" w:cs="楷体"/>
          <w:snapToGrid w:val="0"/>
          <w:color w:val="000000"/>
          <w:spacing w:val="-1"/>
          <w:kern w:val="0"/>
          <w:sz w:val="32"/>
          <w:szCs w:val="32"/>
          <w:highlight w:val="none"/>
          <w:lang w:eastAsia="en-US"/>
        </w:rPr>
        <w:t>存量农村污水治理工程工艺和处</w:t>
      </w:r>
      <w:r>
        <w:rPr>
          <w:rFonts w:hint="eastAsia" w:ascii="楷体" w:hAnsi="楷体" w:eastAsia="楷体" w:cs="楷体"/>
          <w:snapToGrid w:val="0"/>
          <w:color w:val="000000"/>
          <w:spacing w:val="-2"/>
          <w:kern w:val="0"/>
          <w:sz w:val="32"/>
          <w:szCs w:val="32"/>
          <w:highlight w:val="none"/>
          <w:lang w:eastAsia="en-US"/>
        </w:rPr>
        <w:t>理规模统计表</w:t>
      </w:r>
    </w:p>
    <w:tbl>
      <w:tblPr>
        <w:tblStyle w:val="9"/>
        <w:tblW w:w="73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9"/>
        <w:gridCol w:w="1998"/>
        <w:gridCol w:w="1789"/>
        <w:gridCol w:w="1126"/>
        <w:gridCol w:w="2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乡镇</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行政村</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自然村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（单位：m³/d）</w:t>
            </w: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工艺类型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大丰镇</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才存村村委会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才存村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一体化处理模式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一体化处理模式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儒俄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w:t>
            </w:r>
            <w:bookmarkStart w:id="1" w:name="_GoBack"/>
            <w:bookmarkEnd w:id="1"/>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一体化处理模式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荣友社区</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荣物村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一体化处理模式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孝友村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一体化处理模式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儒扬村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一体化处理模式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花场村委会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花场村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儒堂村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前进队村委会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前进队</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加乐镇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长岭村委会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效古村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加朗村委会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田尾村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金江镇</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六山村委会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出头塘村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加龙墩村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六山村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面前六村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强朗村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土尾岭村委会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土尾岭村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夏富村委会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大茂村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封克村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内坡村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排坡村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坡尾园村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外坡村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溪边村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太平村委会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九京村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龙江村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乌什村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道南村委会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下岭村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春芳村委会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春芳村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东联村委会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溪下村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海仔村委会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白芒村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海仔村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黄琼村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下室岭村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新云村委会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新村仔上村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提升泵站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美亭村委会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那利村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北排山村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福龙村委会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福龙村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福龙墟村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龙生村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茂坡村委会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岸头黄村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岸头郑村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吉美村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令尾村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茂坡仔村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蒙加云村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下生村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洋心村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桥上村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长来村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新云村委会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新村仔下村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南墩村委会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宋岭村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高山朗村委会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高山朗村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山口村委会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加巨坡村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山口村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水朗村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文头山村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加来上村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加来下西村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加来下东村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飞树墩上村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新村沟村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大美村委会</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大美村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杨坤村委会</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美榔村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一体化处理模式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杨坤村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永发镇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赛玉村委会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赛玉村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卜厚村委会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道吉村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永丰村委会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儒音村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中兴镇</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横滩村委会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横滩村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永发镇</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东兴村委会</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秀灵村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南轩村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金江镇</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塘北村委会</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蔡宅村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一体化处理模式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竹常头村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一体化处理模式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大生美村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一体化处理模式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下大潭西村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一体化处理模式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下大潭东村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一体化处理模式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泉水村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一体化处理模式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1"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小生美村</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一体化处理模式</w:t>
            </w:r>
          </w:p>
        </w:tc>
      </w:tr>
    </w:tbl>
    <w:p>
      <w:pPr>
        <w:numPr>
          <w:ilvl w:val="0"/>
          <w:numId w:val="0"/>
        </w:numPr>
        <w:spacing w:line="360" w:lineRule="auto"/>
        <w:ind w:leftChars="0" w:firstLine="643" w:firstLineChars="20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本项目出水水质标准按照 2019 年发布的《海南省地方标准农村生活污水处理设施水污染物排放标准》（DB46/483—2019）执行。若海南省颁布新的农村污水处理排放标准指导，则按最新污水处理排放标准要求执行。因按最新出水排放标准造成的运营成本增加或减少，由政府方和中标人进行协商。</w:t>
      </w:r>
    </w:p>
    <w:p>
      <w:pPr>
        <w:numPr>
          <w:ilvl w:val="0"/>
          <w:numId w:val="0"/>
        </w:numPr>
        <w:spacing w:line="360" w:lineRule="auto"/>
        <w:ind w:leftChars="0" w:firstLine="643" w:firstLineChars="200"/>
        <w:jc w:val="both"/>
        <w:rPr>
          <w:rFonts w:hint="eastAsia" w:ascii="楷体" w:hAnsi="楷体" w:eastAsia="楷体" w:cs="楷体"/>
          <w:b/>
          <w:bCs/>
          <w:color w:val="auto"/>
          <w:sz w:val="32"/>
          <w:szCs w:val="32"/>
          <w:lang w:val="en-US" w:eastAsia="zh-CN"/>
        </w:rPr>
      </w:pPr>
    </w:p>
    <w:p>
      <w:pPr>
        <w:numPr>
          <w:ilvl w:val="0"/>
          <w:numId w:val="0"/>
        </w:numPr>
        <w:spacing w:line="360" w:lineRule="auto"/>
        <w:ind w:leftChars="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三、工作内容</w:t>
      </w:r>
    </w:p>
    <w:p>
      <w:pPr>
        <w:bidi w:val="0"/>
        <w:spacing w:line="360" w:lineRule="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（一）项目运营维护范围</w:t>
      </w:r>
    </w:p>
    <w:p>
      <w:pPr>
        <w:bidi w:val="0"/>
        <w:spacing w:line="360" w:lineRule="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本项目运营维护边界主要系本项目所建成各类设施设备， 包括：项目一体化处理站、检查井、主管网、入户管网（不含化粪池）等设施设备；支持上述设施发挥功能的必要的电气设备、水机设备。</w:t>
      </w:r>
    </w:p>
    <w:p>
      <w:pPr>
        <w:bidi w:val="0"/>
        <w:spacing w:line="360" w:lineRule="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（二）设备大小修和管网养护工作内容</w:t>
      </w:r>
    </w:p>
    <w:p>
      <w:pPr>
        <w:bidi w:val="0"/>
        <w:spacing w:line="360" w:lineRule="auto"/>
        <w:ind w:left="0" w:leftChars="0"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1.设备大小修：设备维护包括设备大小修，大修指定期对设备进行 全面检修，达到全面消除修前存在的缺陷，回复设备规定的功能和精度，本项目设施的大修费用未计入委托运营费，运营方制定设备大修计划，报水务局审批通过后实施，相关费用由水务局承担；小修指针对日常点检、定期检查和状态监测诊断发现的问题，拆卸有关部件、进行检查、调整、更换或修复失效的零件，以恢复设备的正常功能。</w:t>
      </w:r>
    </w:p>
    <w:p>
      <w:pPr>
        <w:bidi w:val="0"/>
        <w:spacing w:line="360" w:lineRule="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2.管网养护：参照《城镇市政设施养护维修工程投资估算指标》文件中规定管网养护工作内容如下：</w:t>
      </w:r>
    </w:p>
    <w:p>
      <w:pPr>
        <w:bidi w:val="0"/>
        <w:spacing w:line="360" w:lineRule="auto"/>
        <w:rPr>
          <w:rFonts w:hint="eastAsia" w:ascii="楷体" w:hAnsi="楷体" w:eastAsia="楷体" w:cs="楷体"/>
          <w:b/>
          <w:bCs/>
          <w:color w:val="auto"/>
          <w:sz w:val="32"/>
          <w:szCs w:val="32"/>
          <w:highlight w:val="yellow"/>
          <w:lang w:val="en-US" w:eastAsia="zh-CN"/>
        </w:rPr>
      </w:pPr>
      <w:r>
        <w:rPr>
          <w:rFonts w:hint="eastAsia" w:ascii="楷体" w:hAnsi="楷体" w:eastAsia="楷体" w:cs="楷体"/>
          <w:b/>
          <w:bCs/>
          <w:color w:val="auto"/>
          <w:sz w:val="32"/>
          <w:szCs w:val="32"/>
          <w:lang w:val="en-US" w:eastAsia="zh-CN"/>
        </w:rPr>
        <w:t>（1）雨水（包括合流）管道</w:t>
      </w:r>
    </w:p>
    <w:p>
      <w:pPr>
        <w:bidi w:val="0"/>
        <w:spacing w:line="360" w:lineRule="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管道有害气体检测，通风，沟道疏通，清捞洗刷检查井、进水口、调换检查井及进水口盖座，修理检查井及进水口， 中、小型管道局部翻修，开挖路面恢复，潮、闸门保养，检查井及进水口内下药，污泥、弃渣外运。</w:t>
      </w:r>
    </w:p>
    <w:p>
      <w:pPr>
        <w:bidi w:val="0"/>
        <w:spacing w:line="360" w:lineRule="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（2）污水管道</w:t>
      </w:r>
    </w:p>
    <w:p>
      <w:pPr>
        <w:bidi w:val="0"/>
        <w:spacing w:line="360" w:lineRule="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管道有害气体检测，通风，沟道疏通，清捞洗刷检查井、调换检查井盖座，修理检查井，中、小型管道局部翻修，开挖路面恢复，检查井内下药，污泥、弃渣外运。</w:t>
      </w:r>
    </w:p>
    <w:p>
      <w:pPr>
        <w:bidi w:val="0"/>
        <w:spacing w:line="360" w:lineRule="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（3）排水暗沟</w:t>
      </w:r>
    </w:p>
    <w:p>
      <w:pPr>
        <w:bidi w:val="0"/>
        <w:spacing w:line="360" w:lineRule="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管道有害气体检测，通风，沟道疏通，清捞洗刷检查井、进水口、 调换检查井及进水口盖座， 修理检查井及进水口， 沟道局部翻修，开挖路面恢复，检查井及进水口内下药，污泥、弃渣外运。</w:t>
      </w:r>
    </w:p>
    <w:p>
      <w:pPr>
        <w:bidi w:val="0"/>
        <w:spacing w:line="360" w:lineRule="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（4）管涵出口</w:t>
      </w:r>
    </w:p>
    <w:p>
      <w:pPr>
        <w:bidi w:val="0"/>
        <w:spacing w:line="360" w:lineRule="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清理出口，修理八字墙，翻修出口基础，护坡。</w:t>
      </w:r>
    </w:p>
    <w:p>
      <w:pPr>
        <w:bidi w:val="0"/>
        <w:spacing w:line="360" w:lineRule="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（5）泵站</w:t>
      </w:r>
    </w:p>
    <w:p>
      <w:pPr>
        <w:bidi w:val="0"/>
        <w:spacing w:line="360" w:lineRule="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管道清洗、除锈、油漆，水池清淤、外运，水泵中小维修， 电力线路维修、更换，泵房清洗、保洁、维修，设施、设备定期检测、检验。</w:t>
      </w:r>
    </w:p>
    <w:p>
      <w:pPr>
        <w:bidi w:val="0"/>
        <w:spacing w:line="360" w:lineRule="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（三）设备重置</w:t>
      </w:r>
    </w:p>
    <w:p>
      <w:pPr>
        <w:bidi w:val="0"/>
        <w:spacing w:line="360" w:lineRule="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当本项目设备达到使用寿命，由运营方制定设备重置计划，报水务局审批通过后实施，相关费用由水务局承担。设备重置费用达到法定程序采购要求的，应按照法律法规要求执行政府采购程序。如果设备因为运营方管理维护不当，导致提前无法运行，相关的重置费由运营方承担，或者双方协商解决。</w:t>
      </w:r>
    </w:p>
    <w:p>
      <w:pPr>
        <w:bidi w:val="0"/>
        <w:spacing w:line="360" w:lineRule="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（四）日常化验检测</w:t>
      </w:r>
    </w:p>
    <w:p>
      <w:pPr>
        <w:bidi w:val="0"/>
        <w:spacing w:line="360" w:lineRule="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运营方应建立健全项目检测和检验制度，按照国家或行业规定的检测项目、检测频率和有关标准、方法定期检测进水水质、出水水质等内容，做好各项检测分析资料和水质报表的汇总、归档工作。</w:t>
      </w:r>
    </w:p>
    <w:p>
      <w:pPr>
        <w:bidi w:val="0"/>
        <w:spacing w:line="360" w:lineRule="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（五）进水水质超标和水量超设计规模的处置</w:t>
      </w:r>
    </w:p>
    <w:p>
      <w:pPr>
        <w:bidi w:val="0"/>
        <w:spacing w:line="360" w:lineRule="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 xml:space="preserve">1.进水主要水质指标超过本方案规定的进水水质标准 </w:t>
      </w:r>
      <w:r>
        <w:rPr>
          <w:rFonts w:hint="eastAsia" w:ascii="楷体" w:hAnsi="楷体" w:eastAsia="楷体" w:cs="楷体"/>
          <w:b w:val="0"/>
          <w:bCs w:val="0"/>
          <w:color w:val="auto"/>
          <w:sz w:val="32"/>
          <w:szCs w:val="32"/>
          <w:highlight w:val="none"/>
          <w:lang w:val="en-US" w:eastAsia="zh-CN"/>
        </w:rPr>
        <w:t>15%以内（含15%），</w:t>
      </w:r>
      <w:r>
        <w:rPr>
          <w:rFonts w:hint="eastAsia" w:ascii="楷体" w:hAnsi="楷体" w:eastAsia="楷体" w:cs="楷体"/>
          <w:b w:val="0"/>
          <w:bCs w:val="0"/>
          <w:color w:val="auto"/>
          <w:sz w:val="32"/>
          <w:szCs w:val="32"/>
          <w:lang w:val="en-US" w:eastAsia="zh-CN"/>
        </w:rPr>
        <w:t>则视此种超标在一体化处理站正常处理能力范围之内，运营方有义务保证出水水质符合本合同中规定的出水水质标准。进水 主要水质指标超过本方案规定的进水水质标准</w:t>
      </w:r>
      <w:r>
        <w:rPr>
          <w:rFonts w:hint="eastAsia" w:ascii="楷体" w:hAnsi="楷体" w:eastAsia="楷体" w:cs="楷体"/>
          <w:b w:val="0"/>
          <w:bCs w:val="0"/>
          <w:color w:val="auto"/>
          <w:sz w:val="32"/>
          <w:szCs w:val="32"/>
          <w:highlight w:val="none"/>
          <w:lang w:val="en-US" w:eastAsia="zh-CN"/>
        </w:rPr>
        <w:t>15%</w:t>
      </w:r>
      <w:r>
        <w:rPr>
          <w:rFonts w:hint="eastAsia" w:ascii="楷体" w:hAnsi="楷体" w:eastAsia="楷体" w:cs="楷体"/>
          <w:b w:val="0"/>
          <w:bCs w:val="0"/>
          <w:color w:val="auto"/>
          <w:sz w:val="32"/>
          <w:szCs w:val="32"/>
          <w:lang w:val="en-US" w:eastAsia="zh-CN"/>
        </w:rPr>
        <w:t>，运营方应立即将该等进水水质情况通知水务局及环保部门，并启动应急预案，按应急预案的要求进行处理。水务局应免除运营方因此而引起的出水超标的违约金。</w:t>
      </w:r>
    </w:p>
    <w:p>
      <w:pPr>
        <w:bidi w:val="0"/>
        <w:spacing w:line="360" w:lineRule="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2.污水进水水量超出设计能力15%（含）之内时，运营方应按照谨慎运营惯例尽量保证出水水质符合本合同规定的出水水质标准。当出现污水进水水量超出设计能力的 15%以上时，运营方应即刻将此等情况通知水务局和环保部门， 并启动应急预案。水务局不追究运营方因此而导致的出水水质超标责任。</w:t>
      </w:r>
    </w:p>
    <w:p>
      <w:pPr>
        <w:bidi w:val="0"/>
        <w:spacing w:line="360" w:lineRule="auto"/>
        <w:ind w:left="0" w:leftChars="0" w:firstLine="0" w:firstLineChars="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四、项目绩效评价办法及付费机制</w:t>
      </w: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rPr>
        <w:t>为了监管运营方项目管理工作标准化、规范化、制度化，切实提高污水处理设施设备及配套管网维护质量和管理水平，确保设施完好和正常运行，《海南省农村生活污水处理技术指引》和《海南省地方标准农村生活污水处理设施水污染物排放标准》（DB46/483—2019）结合项目实际，制定本考核办法。</w:t>
      </w: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rPr>
        <w:t>本考核办法适用于澄迈县存量农村污水治理工程委托运营考核， 由项目实施机构拟定， 并拥有最终解释权和修订权。原则上每季度进行一次考核，多次考核时，当季度考核分数取值各考核结果平均分。</w:t>
      </w: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rPr>
        <w:t>绩效考核采取随机抽检方式进行，由实施机构组织相关部门或委托第三方机构进行，如果委托第三方机构考核，相关费用由实施机构承担。具体考核评分标准在《委托运营绩效考核评分表》中详细规定。</w:t>
      </w: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w:t>
      </w:r>
      <w:r>
        <w:rPr>
          <w:rFonts w:hint="eastAsia" w:ascii="楷体" w:hAnsi="楷体" w:eastAsia="楷体" w:cs="楷体"/>
          <w:b w:val="0"/>
          <w:bCs/>
          <w:kern w:val="0"/>
          <w:sz w:val="32"/>
          <w:szCs w:val="32"/>
          <w:lang w:val="en-US" w:eastAsia="zh-CN"/>
        </w:rPr>
        <w:t>一</w:t>
      </w:r>
      <w:r>
        <w:rPr>
          <w:rFonts w:hint="eastAsia" w:ascii="楷体" w:hAnsi="楷体" w:eastAsia="楷体" w:cs="楷体"/>
          <w:b w:val="0"/>
          <w:bCs/>
          <w:kern w:val="0"/>
          <w:sz w:val="32"/>
          <w:szCs w:val="32"/>
          <w:lang w:eastAsia="zh-CN"/>
        </w:rPr>
        <w:t>）</w:t>
      </w:r>
      <w:r>
        <w:rPr>
          <w:rFonts w:hint="eastAsia" w:ascii="楷体" w:hAnsi="楷体" w:eastAsia="楷体" w:cs="楷体"/>
          <w:b w:val="0"/>
          <w:bCs/>
          <w:kern w:val="0"/>
          <w:sz w:val="32"/>
          <w:szCs w:val="32"/>
        </w:rPr>
        <w:t>考核范围</w:t>
      </w: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rPr>
        <w:t>澄迈县存量农村污水治理工程委托运营涉及的设备设施维护管理、运营实施管理、安全管理、社会综合评价、问题整改情况等要素考核。</w:t>
      </w: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w:t>
      </w:r>
      <w:r>
        <w:rPr>
          <w:rFonts w:hint="eastAsia" w:ascii="楷体" w:hAnsi="楷体" w:eastAsia="楷体" w:cs="楷体"/>
          <w:b w:val="0"/>
          <w:bCs/>
          <w:kern w:val="0"/>
          <w:sz w:val="32"/>
          <w:szCs w:val="32"/>
          <w:lang w:val="en-US" w:eastAsia="zh-CN"/>
        </w:rPr>
        <w:t>二</w:t>
      </w:r>
      <w:r>
        <w:rPr>
          <w:rFonts w:hint="eastAsia" w:ascii="楷体" w:hAnsi="楷体" w:eastAsia="楷体" w:cs="楷体"/>
          <w:b w:val="0"/>
          <w:bCs/>
          <w:kern w:val="0"/>
          <w:sz w:val="32"/>
          <w:szCs w:val="32"/>
          <w:lang w:eastAsia="zh-CN"/>
        </w:rPr>
        <w:t>）</w:t>
      </w:r>
      <w:r>
        <w:rPr>
          <w:rFonts w:hint="eastAsia" w:ascii="楷体" w:hAnsi="楷体" w:eastAsia="楷体" w:cs="楷体"/>
          <w:b w:val="0"/>
          <w:bCs/>
          <w:kern w:val="0"/>
          <w:sz w:val="32"/>
          <w:szCs w:val="32"/>
        </w:rPr>
        <w:t>考核主体</w:t>
      </w: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rPr>
        <w:t>由实施机构组织相关部门或委托第三方机构进行考核。</w:t>
      </w: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w:t>
      </w:r>
      <w:r>
        <w:rPr>
          <w:rFonts w:hint="eastAsia" w:ascii="楷体" w:hAnsi="楷体" w:eastAsia="楷体" w:cs="楷体"/>
          <w:b w:val="0"/>
          <w:bCs/>
          <w:kern w:val="0"/>
          <w:sz w:val="32"/>
          <w:szCs w:val="32"/>
          <w:lang w:val="en-US" w:eastAsia="zh-CN"/>
        </w:rPr>
        <w:t>三</w:t>
      </w:r>
      <w:r>
        <w:rPr>
          <w:rFonts w:hint="eastAsia" w:ascii="楷体" w:hAnsi="楷体" w:eastAsia="楷体" w:cs="楷体"/>
          <w:b w:val="0"/>
          <w:bCs/>
          <w:kern w:val="0"/>
          <w:sz w:val="32"/>
          <w:szCs w:val="32"/>
          <w:lang w:eastAsia="zh-CN"/>
        </w:rPr>
        <w:t>）</w:t>
      </w:r>
      <w:r>
        <w:rPr>
          <w:rFonts w:hint="eastAsia" w:ascii="楷体" w:hAnsi="楷体" w:eastAsia="楷体" w:cs="楷体"/>
          <w:b w:val="0"/>
          <w:bCs/>
          <w:kern w:val="0"/>
          <w:sz w:val="32"/>
          <w:szCs w:val="32"/>
        </w:rPr>
        <w:t>缺陷整改</w:t>
      </w: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rPr>
        <w:t>实施机构在考核过程中，如发现缺陷，则需在24小时内以书面形式通知运营方。运营方在接到书面通知后，应在合理的时间内修复缺陷或进行整改。否则实施机构可以自行组织整改，费用从维护移交保函兑取或者从应付给运营方的委托运营费中扣除。</w:t>
      </w:r>
    </w:p>
    <w:p>
      <w:pPr>
        <w:ind w:left="-140" w:leftChars="-50" w:firstLine="646" w:firstLineChars="202"/>
        <w:jc w:val="both"/>
        <w:rPr>
          <w:rFonts w:hint="eastAsia" w:ascii="楷体" w:hAnsi="楷体" w:eastAsia="楷体" w:cs="楷体"/>
          <w:b w:val="0"/>
          <w:bCs/>
          <w:kern w:val="0"/>
          <w:sz w:val="32"/>
          <w:szCs w:val="32"/>
        </w:rPr>
        <w:sectPr>
          <w:footerReference r:id="rId5" w:type="default"/>
          <w:pgSz w:w="11907" w:h="16839"/>
          <w:pgMar w:top="1431" w:right="1691" w:bottom="1383" w:left="1785" w:header="0" w:footer="1147" w:gutter="0"/>
          <w:pgNumType w:fmt="decimal"/>
          <w:cols w:space="720" w:num="1"/>
        </w:sectPr>
      </w:pP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w:t>
      </w:r>
      <w:r>
        <w:rPr>
          <w:rFonts w:hint="eastAsia" w:ascii="楷体" w:hAnsi="楷体" w:eastAsia="楷体" w:cs="楷体"/>
          <w:b w:val="0"/>
          <w:bCs/>
          <w:kern w:val="0"/>
          <w:sz w:val="32"/>
          <w:szCs w:val="32"/>
          <w:lang w:val="en-US" w:eastAsia="zh-CN"/>
        </w:rPr>
        <w:t>四</w:t>
      </w:r>
      <w:r>
        <w:rPr>
          <w:rFonts w:hint="eastAsia" w:ascii="楷体" w:hAnsi="楷体" w:eastAsia="楷体" w:cs="楷体"/>
          <w:b w:val="0"/>
          <w:bCs/>
          <w:kern w:val="0"/>
          <w:sz w:val="32"/>
          <w:szCs w:val="32"/>
          <w:lang w:eastAsia="zh-CN"/>
        </w:rPr>
        <w:t>）</w:t>
      </w:r>
      <w:r>
        <w:rPr>
          <w:rFonts w:hint="eastAsia" w:ascii="楷体" w:hAnsi="楷体" w:eastAsia="楷体" w:cs="楷体"/>
          <w:b w:val="0"/>
          <w:bCs/>
          <w:kern w:val="0"/>
          <w:sz w:val="32"/>
          <w:szCs w:val="32"/>
        </w:rPr>
        <w:t>考核指标</w:t>
      </w:r>
    </w:p>
    <w:p>
      <w:pPr>
        <w:ind w:left="-140" w:leftChars="-50" w:firstLine="646" w:firstLineChars="202"/>
        <w:jc w:val="center"/>
        <w:rPr>
          <w:rFonts w:hint="eastAsia" w:ascii="楷体" w:hAnsi="楷体" w:eastAsia="楷体" w:cs="楷体"/>
          <w:b w:val="0"/>
          <w:bCs/>
          <w:kern w:val="0"/>
          <w:sz w:val="32"/>
          <w:szCs w:val="32"/>
        </w:rPr>
      </w:pPr>
      <w:r>
        <w:rPr>
          <w:rFonts w:hint="eastAsia" w:ascii="楷体" w:hAnsi="楷体" w:eastAsia="楷体" w:cs="楷体"/>
          <w:b w:val="0"/>
          <w:bCs/>
          <w:kern w:val="0"/>
          <w:sz w:val="32"/>
          <w:szCs w:val="32"/>
        </w:rPr>
        <w:t>考核指标详见《委托运营绩效考核评分表》。</w:t>
      </w: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w:t>
      </w:r>
      <w:r>
        <w:rPr>
          <w:rFonts w:hint="eastAsia" w:ascii="楷体" w:hAnsi="楷体" w:eastAsia="楷体" w:cs="楷体"/>
          <w:b w:val="0"/>
          <w:bCs/>
          <w:kern w:val="0"/>
          <w:sz w:val="32"/>
          <w:szCs w:val="32"/>
          <w:lang w:val="en-US" w:eastAsia="zh-CN"/>
        </w:rPr>
        <w:t>五</w:t>
      </w:r>
      <w:r>
        <w:rPr>
          <w:rFonts w:hint="eastAsia" w:ascii="楷体" w:hAnsi="楷体" w:eastAsia="楷体" w:cs="楷体"/>
          <w:b w:val="0"/>
          <w:bCs/>
          <w:kern w:val="0"/>
          <w:sz w:val="32"/>
          <w:szCs w:val="32"/>
          <w:lang w:eastAsia="zh-CN"/>
        </w:rPr>
        <w:t>）</w:t>
      </w:r>
      <w:r>
        <w:rPr>
          <w:rFonts w:hint="eastAsia" w:ascii="楷体" w:hAnsi="楷体" w:eastAsia="楷体" w:cs="楷体"/>
          <w:b w:val="0"/>
          <w:bCs/>
          <w:kern w:val="0"/>
          <w:sz w:val="32"/>
          <w:szCs w:val="32"/>
        </w:rPr>
        <w:t>绩效考核系数与付费机制</w:t>
      </w: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rPr>
        <w:t>绩效考核系数β根据项目绩效考核分数得出，将直接影响委托运营费的支付。即：</w:t>
      </w:r>
    </w:p>
    <w:p>
      <w:pPr>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rPr>
        <w:t>实际支付季度委托运营费=季度委托运营费基数*绩效考核系数β-当季度违约处罚金额</w:t>
      </w: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rPr>
        <w:t>（1）当 100 分≥季度考核得分值≥90 分，绩效考核系数β为100%；</w:t>
      </w: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rPr>
        <w:t>（2）当 90 分&gt;季度考核得分值≥70 分，季度考核得分每比 90 少1 分， 绩效考核系数β减少 1%,即：绩效考核系数β=100%-（90-季度考核得分） ×1%；</w:t>
      </w: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rPr>
        <w:t>（3）当 70 分&gt;季度考核得分值≥60 分，季度考核得分每比 70 少1 分， 绩效考核系数β减少 2%,即：绩效考核系数β=80%-（70-季度考核得分） ×2%；</w:t>
      </w: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rPr>
        <w:t>（4）当 60 分&gt;季度考核得分值， 暂停支付委托运营费，待运营 方进行改善后，组织第二次考核，考核通过绩效考核系数β取值 60%，第二次考核不通过则不支付当季度运营费；</w:t>
      </w: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rPr>
        <w:t>若未来项目运营期内，运营方连续三次或者累计五个季度考核得分低于 60 分，则直接视为运营方违约，水务局有权按照合同条款提前终止协议。</w:t>
      </w: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lang w:eastAsia="zh-CN"/>
        </w:rPr>
        <w:t>（</w:t>
      </w:r>
      <w:r>
        <w:rPr>
          <w:rFonts w:hint="eastAsia" w:ascii="楷体" w:hAnsi="楷体" w:eastAsia="楷体" w:cs="楷体"/>
          <w:b w:val="0"/>
          <w:bCs/>
          <w:kern w:val="0"/>
          <w:sz w:val="32"/>
          <w:szCs w:val="32"/>
          <w:lang w:val="en-US" w:eastAsia="zh-CN"/>
        </w:rPr>
        <w:t>六</w:t>
      </w:r>
      <w:r>
        <w:rPr>
          <w:rFonts w:hint="eastAsia" w:ascii="楷体" w:hAnsi="楷体" w:eastAsia="楷体" w:cs="楷体"/>
          <w:b w:val="0"/>
          <w:bCs/>
          <w:kern w:val="0"/>
          <w:sz w:val="32"/>
          <w:szCs w:val="32"/>
          <w:lang w:eastAsia="zh-CN"/>
        </w:rPr>
        <w:t>）</w:t>
      </w:r>
      <w:r>
        <w:rPr>
          <w:rFonts w:hint="eastAsia" w:ascii="楷体" w:hAnsi="楷体" w:eastAsia="楷体" w:cs="楷体"/>
          <w:b w:val="0"/>
          <w:bCs/>
          <w:kern w:val="0"/>
          <w:sz w:val="32"/>
          <w:szCs w:val="32"/>
        </w:rPr>
        <w:t>其他奖惩办法</w:t>
      </w:r>
    </w:p>
    <w:p>
      <w:pPr>
        <w:ind w:left="-140" w:leftChars="-50" w:firstLine="646" w:firstLineChars="202"/>
        <w:jc w:val="both"/>
        <w:rPr>
          <w:rFonts w:hint="eastAsia" w:ascii="楷体" w:hAnsi="楷体" w:eastAsia="楷体" w:cs="楷体"/>
          <w:b w:val="0"/>
          <w:bCs/>
          <w:kern w:val="0"/>
          <w:sz w:val="32"/>
          <w:szCs w:val="32"/>
        </w:rPr>
      </w:pPr>
      <w:r>
        <w:rPr>
          <w:rFonts w:hint="eastAsia" w:ascii="楷体" w:hAnsi="楷体" w:eastAsia="楷体" w:cs="楷体"/>
          <w:b w:val="0"/>
          <w:bCs/>
          <w:kern w:val="0"/>
          <w:sz w:val="32"/>
          <w:szCs w:val="32"/>
        </w:rPr>
        <w:t>1</w:t>
      </w:r>
      <w:r>
        <w:rPr>
          <w:rFonts w:hint="eastAsia" w:ascii="楷体" w:hAnsi="楷体" w:eastAsia="楷体" w:cs="楷体"/>
          <w:b w:val="0"/>
          <w:bCs/>
          <w:kern w:val="0"/>
          <w:sz w:val="32"/>
          <w:szCs w:val="32"/>
          <w:lang w:eastAsia="zh-CN"/>
        </w:rPr>
        <w:t>.</w:t>
      </w:r>
      <w:r>
        <w:rPr>
          <w:rFonts w:hint="eastAsia" w:ascii="楷体" w:hAnsi="楷体" w:eastAsia="楷体" w:cs="楷体"/>
          <w:b w:val="0"/>
          <w:bCs/>
          <w:kern w:val="0"/>
          <w:sz w:val="32"/>
          <w:szCs w:val="32"/>
        </w:rPr>
        <w:t>如遇台风、洪涝灾害等，运营方需无条件服从管理单位的要求，突击安排人员或加班，抗灾救险，涉及的相关费用由相关单位自行负责。如遇到组织不力，造成不良后果，每发生一次，最低扣款 2万元。</w:t>
      </w:r>
    </w:p>
    <w:p>
      <w:pPr>
        <w:pStyle w:val="5"/>
        <w:numPr>
          <w:ilvl w:val="0"/>
          <w:numId w:val="0"/>
        </w:numPr>
        <w:ind w:firstLine="640" w:firstLineChars="200"/>
        <w:rPr>
          <w:rFonts w:hint="eastAsia" w:ascii="楷体" w:hAnsi="楷体" w:eastAsia="楷体" w:cs="楷体"/>
          <w:b w:val="0"/>
          <w:bCs/>
          <w:kern w:val="0"/>
          <w:sz w:val="32"/>
          <w:szCs w:val="32"/>
        </w:rPr>
      </w:pPr>
      <w:r>
        <w:rPr>
          <w:rFonts w:hint="eastAsia" w:ascii="楷体" w:hAnsi="楷体" w:eastAsia="楷体" w:cs="楷体"/>
          <w:b w:val="0"/>
          <w:bCs/>
          <w:kern w:val="0"/>
          <w:sz w:val="32"/>
          <w:szCs w:val="32"/>
        </w:rPr>
        <w:t>2</w:t>
      </w:r>
      <w:r>
        <w:rPr>
          <w:rFonts w:hint="eastAsia" w:ascii="楷体" w:hAnsi="楷体" w:eastAsia="楷体" w:cs="楷体"/>
          <w:b w:val="0"/>
          <w:bCs/>
          <w:kern w:val="0"/>
          <w:sz w:val="32"/>
          <w:szCs w:val="32"/>
          <w:lang w:eastAsia="zh-CN"/>
        </w:rPr>
        <w:t>.</w:t>
      </w:r>
      <w:r>
        <w:rPr>
          <w:rFonts w:hint="eastAsia" w:ascii="楷体" w:hAnsi="楷体" w:eastAsia="楷体" w:cs="楷体"/>
          <w:b w:val="0"/>
          <w:bCs/>
          <w:kern w:val="0"/>
          <w:sz w:val="32"/>
          <w:szCs w:val="32"/>
        </w:rPr>
        <w:t>实施机构拥有项目运营绩效考评办法及付费机制解释权，由实施机构作为牵头单位， 与运营方经协商更新项目运营绩效考评办法。</w:t>
      </w:r>
    </w:p>
    <w:p>
      <w:pPr>
        <w:pStyle w:val="5"/>
        <w:numPr>
          <w:ilvl w:val="0"/>
          <w:numId w:val="0"/>
        </w:numPr>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五、商务要求</w:t>
      </w:r>
    </w:p>
    <w:p>
      <w:pPr>
        <w:bidi w:val="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1.服务地点：澄迈县；</w:t>
      </w:r>
    </w:p>
    <w:p>
      <w:pPr>
        <w:bidi w:val="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2.合同履行期限（服务期）：自合同签订之日起3年；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color w:val="000000" w:themeColor="text1"/>
          <w:sz w:val="32"/>
          <w:szCs w:val="32"/>
          <w:lang w:val="en-US" w:eastAsia="zh-CN"/>
          <w14:textFill>
            <w14:solidFill>
              <w14:schemeClr w14:val="tx1"/>
            </w14:solidFill>
          </w14:textFill>
        </w:rPr>
        <w:t>3.付款方式：</w:t>
      </w:r>
      <w:r>
        <w:rPr>
          <w:rFonts w:hint="eastAsia" w:ascii="楷体" w:hAnsi="楷体" w:eastAsia="楷体" w:cs="楷体"/>
          <w:color w:val="000000" w:themeColor="text1"/>
          <w:kern w:val="0"/>
          <w:sz w:val="32"/>
          <w:szCs w:val="32"/>
          <w:lang w:val="en-US" w:eastAsia="zh-CN" w:bidi="ar"/>
          <w14:textFill>
            <w14:solidFill>
              <w14:schemeClr w14:val="tx1"/>
            </w14:solidFill>
          </w14:textFill>
        </w:rPr>
        <w:t>为了保证运营方管理资金充足，确保服务的正常运转，每季度考核结束后，采购人按考核结果向中标人结清每季度委托运营费，具体付款要求以合同签订为准。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b/>
          <w:bCs/>
          <w:color w:val="auto"/>
          <w:sz w:val="32"/>
          <w:szCs w:val="32"/>
          <w:lang w:val="en-US" w:eastAsia="zh-CN"/>
        </w:rPr>
        <w:t>六、其他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1.其他未尽事宜以合同约定为准。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投标人须以保证优质的服务质量为目标，不得恶意低价竞标。评标委员会认为投标人的报价明显低于其他通过符合性审查的中标人的报价，有可能影响服务质量或者不能诚信履约的，将要求其在评标现场合理的时间内提供书面说明，必要时提交相.关证明材料；投标人不能证明其报价合理性的，评标委员会将其作为无效投标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3.违约责任：如项目实施过程中出现中标人不按响应文件或合同内容要求执行，无法满足于项目服务标准要求、降低质量标准、超过服务期、采购人有权终止合同，中标人对此造成的损失负全责。</w:t>
      </w:r>
    </w:p>
    <w:p>
      <w:pPr>
        <w:ind w:left="-140" w:leftChars="-50" w:firstLine="568" w:firstLineChars="202"/>
        <w:jc w:val="both"/>
        <w:rPr>
          <w:rFonts w:hint="eastAsia" w:ascii="仿宋" w:hAnsi="仿宋" w:eastAsia="仿宋"/>
          <w:b/>
          <w:kern w:val="0"/>
        </w:rPr>
        <w:sectPr>
          <w:footerReference r:id="rId6" w:type="default"/>
          <w:pgSz w:w="11907" w:h="16839"/>
          <w:pgMar w:top="1431" w:right="1555" w:bottom="1383" w:left="1785" w:header="0" w:footer="1147" w:gutter="0"/>
          <w:pgNumType w:fmt="decimal"/>
          <w:cols w:space="720" w:num="1"/>
        </w:sectPr>
      </w:pPr>
    </w:p>
    <w:p>
      <w:pPr>
        <w:widowControl/>
        <w:spacing w:line="240" w:lineRule="auto"/>
        <w:ind w:firstLine="0" w:firstLineChars="0"/>
        <w:jc w:val="both"/>
      </w:pPr>
      <w:r>
        <w:drawing>
          <wp:inline distT="0" distB="0" distL="114300" distR="114300">
            <wp:extent cx="8735695" cy="53905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8735695" cy="5390515"/>
                    </a:xfrm>
                    <a:prstGeom prst="rect">
                      <a:avLst/>
                    </a:prstGeom>
                    <a:noFill/>
                    <a:ln>
                      <a:noFill/>
                    </a:ln>
                  </pic:spPr>
                </pic:pic>
              </a:graphicData>
            </a:graphic>
          </wp:inline>
        </w:drawing>
      </w:r>
    </w:p>
    <w:p>
      <w:pPr>
        <w:widowControl/>
        <w:spacing w:line="240" w:lineRule="auto"/>
        <w:ind w:firstLine="0" w:firstLineChars="0"/>
        <w:jc w:val="both"/>
      </w:pPr>
      <w:r>
        <w:drawing>
          <wp:inline distT="0" distB="0" distL="114300" distR="114300">
            <wp:extent cx="8856345" cy="4980940"/>
            <wp:effectExtent l="0" t="0" r="825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8856345" cy="4980940"/>
                    </a:xfrm>
                    <a:prstGeom prst="rect">
                      <a:avLst/>
                    </a:prstGeom>
                    <a:noFill/>
                    <a:ln>
                      <a:noFill/>
                    </a:ln>
                  </pic:spPr>
                </pic:pic>
              </a:graphicData>
            </a:graphic>
          </wp:inline>
        </w:drawing>
      </w:r>
    </w:p>
    <w:p>
      <w:pPr>
        <w:widowControl/>
        <w:spacing w:line="240" w:lineRule="auto"/>
        <w:ind w:firstLine="0" w:firstLineChars="0"/>
        <w:jc w:val="both"/>
      </w:pPr>
    </w:p>
    <w:p>
      <w:pPr>
        <w:widowControl/>
        <w:spacing w:line="240" w:lineRule="auto"/>
        <w:ind w:firstLine="0" w:firstLineChars="0"/>
        <w:jc w:val="both"/>
        <w:rPr>
          <w:rFonts w:hint="eastAsia"/>
          <w:lang w:val="en-US" w:eastAsia="zh-CN"/>
        </w:rPr>
      </w:pPr>
      <w:r>
        <w:rPr>
          <w:rFonts w:hint="eastAsia"/>
          <w:lang w:val="en-US" w:eastAsia="zh-CN"/>
        </w:rPr>
        <w:drawing>
          <wp:inline distT="0" distB="0" distL="114300" distR="114300">
            <wp:extent cx="8858250" cy="4767580"/>
            <wp:effectExtent l="0" t="0" r="0" b="1397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1"/>
                    <a:stretch>
                      <a:fillRect/>
                    </a:stretch>
                  </pic:blipFill>
                  <pic:spPr>
                    <a:xfrm>
                      <a:off x="0" y="0"/>
                      <a:ext cx="8858250" cy="4767580"/>
                    </a:xfrm>
                    <a:prstGeom prst="rect">
                      <a:avLst/>
                    </a:prstGeom>
                  </pic:spPr>
                </pic:pic>
              </a:graphicData>
            </a:graphic>
          </wp:inline>
        </w:drawing>
      </w:r>
    </w:p>
    <w:sectPr>
      <w:footerReference r:id="rId7" w:type="default"/>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01"/>
      <w:rPr>
        <w:rFonts w:ascii="宋体" w:hAnsi="宋体" w:eastAsia="宋体" w:cs="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01"/>
      <w:rPr>
        <w:rFonts w:ascii="宋体" w:hAnsi="宋体" w:eastAsia="宋体" w:cs="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0" w:leftChars="0" w:firstLine="0" w:firstLineChars="0"/>
      <w:rPr>
        <w:rFonts w:ascii="宋体" w:hAnsi="宋体" w:eastAsia="宋体" w:cs="宋体"/>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86151"/>
    <w:multiLevelType w:val="singleLevel"/>
    <w:tmpl w:val="EA8861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Njc5MjE2MGJkNTA4ZjYxMGM3YTNiOTJmM2RiMGEifQ=="/>
  </w:docVars>
  <w:rsids>
    <w:rsidRoot w:val="00172A27"/>
    <w:rsid w:val="01717969"/>
    <w:rsid w:val="01C43BC8"/>
    <w:rsid w:val="03C34DA2"/>
    <w:rsid w:val="03E72B61"/>
    <w:rsid w:val="041A6755"/>
    <w:rsid w:val="073A70F4"/>
    <w:rsid w:val="09264516"/>
    <w:rsid w:val="0B8710C9"/>
    <w:rsid w:val="115B60A1"/>
    <w:rsid w:val="115E49D4"/>
    <w:rsid w:val="12130C2E"/>
    <w:rsid w:val="12445976"/>
    <w:rsid w:val="12727D38"/>
    <w:rsid w:val="164A6CD9"/>
    <w:rsid w:val="1D1E690E"/>
    <w:rsid w:val="1DBC53CB"/>
    <w:rsid w:val="226A0D65"/>
    <w:rsid w:val="23073B84"/>
    <w:rsid w:val="238A77D5"/>
    <w:rsid w:val="257F4F67"/>
    <w:rsid w:val="28465695"/>
    <w:rsid w:val="28A137D2"/>
    <w:rsid w:val="28E736B1"/>
    <w:rsid w:val="296600D4"/>
    <w:rsid w:val="2C5F332D"/>
    <w:rsid w:val="2E756E38"/>
    <w:rsid w:val="32563D7B"/>
    <w:rsid w:val="36370E76"/>
    <w:rsid w:val="36475BB9"/>
    <w:rsid w:val="36981EDB"/>
    <w:rsid w:val="388C36FB"/>
    <w:rsid w:val="3A941DF0"/>
    <w:rsid w:val="3B9C2AE9"/>
    <w:rsid w:val="3E9F7A61"/>
    <w:rsid w:val="3F9C38E8"/>
    <w:rsid w:val="43394480"/>
    <w:rsid w:val="43F24A44"/>
    <w:rsid w:val="46067475"/>
    <w:rsid w:val="4781205B"/>
    <w:rsid w:val="47CA1BB9"/>
    <w:rsid w:val="47DC300A"/>
    <w:rsid w:val="482D289F"/>
    <w:rsid w:val="49A22CE4"/>
    <w:rsid w:val="49CC3D98"/>
    <w:rsid w:val="49F349E5"/>
    <w:rsid w:val="4BF06D45"/>
    <w:rsid w:val="4C526437"/>
    <w:rsid w:val="51894768"/>
    <w:rsid w:val="52317E52"/>
    <w:rsid w:val="5361394D"/>
    <w:rsid w:val="54040A02"/>
    <w:rsid w:val="54063F0A"/>
    <w:rsid w:val="545E2569"/>
    <w:rsid w:val="54C94F38"/>
    <w:rsid w:val="57177051"/>
    <w:rsid w:val="57B36157"/>
    <w:rsid w:val="59070F8D"/>
    <w:rsid w:val="5B9763EF"/>
    <w:rsid w:val="5C7017BD"/>
    <w:rsid w:val="5CE84AF5"/>
    <w:rsid w:val="60664A3D"/>
    <w:rsid w:val="658E402B"/>
    <w:rsid w:val="661A3845"/>
    <w:rsid w:val="67614133"/>
    <w:rsid w:val="6BE345DF"/>
    <w:rsid w:val="6C384E91"/>
    <w:rsid w:val="6C513706"/>
    <w:rsid w:val="6C7A311A"/>
    <w:rsid w:val="6CA34594"/>
    <w:rsid w:val="6F5C41B3"/>
    <w:rsid w:val="6FB47484"/>
    <w:rsid w:val="72F969D5"/>
    <w:rsid w:val="746A1E3C"/>
    <w:rsid w:val="76A77B74"/>
    <w:rsid w:val="7A8E1E86"/>
    <w:rsid w:val="7B164183"/>
    <w:rsid w:val="7BD101D8"/>
    <w:rsid w:val="7D335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643" w:firstLineChars="200"/>
      <w:jc w:val="both"/>
    </w:pPr>
    <w:rPr>
      <w:rFonts w:ascii="仿宋" w:hAnsi="仿宋" w:eastAsia="仿宋" w:cs="仿宋"/>
      <w:kern w:val="2"/>
      <w:sz w:val="28"/>
      <w:szCs w:val="28"/>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spacing w:line="360" w:lineRule="auto"/>
      <w:ind w:firstLine="420"/>
    </w:pPr>
    <w:rPr>
      <w:rFonts w:ascii="宋体" w:hAnsi="宋体"/>
    </w:rPr>
  </w:style>
  <w:style w:type="paragraph" w:styleId="5">
    <w:name w:val="Body Text"/>
    <w:basedOn w:val="1"/>
    <w:autoRedefine/>
    <w:unhideWhenUsed/>
    <w:qFormat/>
    <w:uiPriority w:val="0"/>
    <w:pPr>
      <w:spacing w:after="120"/>
    </w:pPr>
    <w:rPr>
      <w:rFonts w:ascii="Times New Roman" w:eastAsia="宋体"/>
      <w:sz w:val="24"/>
      <w:szCs w:val="2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autoRedefine/>
    <w:unhideWhenUsed/>
    <w:qFormat/>
    <w:uiPriority w:val="39"/>
    <w:pPr>
      <w:ind w:left="210"/>
      <w:jc w:val="left"/>
    </w:pPr>
    <w:rPr>
      <w:smallCaps/>
      <w:sz w:val="20"/>
      <w:szCs w:val="20"/>
    </w:rPr>
  </w:style>
  <w:style w:type="character" w:customStyle="1" w:styleId="11">
    <w:name w:val="NormalCharacter"/>
    <w:autoRedefine/>
    <w:semiHidden/>
    <w:qFormat/>
    <w:uiPriority w:val="0"/>
  </w:style>
  <w:style w:type="paragraph" w:customStyle="1" w:styleId="12">
    <w:name w:val="Table Text"/>
    <w:basedOn w:val="1"/>
    <w:autoRedefine/>
    <w:semiHidden/>
    <w:qFormat/>
    <w:uiPriority w:val="0"/>
    <w:rPr>
      <w:rFonts w:ascii="仿宋" w:hAnsi="仿宋" w:eastAsia="仿宋" w:cs="仿宋"/>
      <w:sz w:val="24"/>
      <w:szCs w:val="24"/>
      <w:lang w:val="en-US" w:eastAsia="en-US"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正文v"/>
    <w:basedOn w:val="1"/>
    <w:autoRedefine/>
    <w:qFormat/>
    <w:uiPriority w:val="0"/>
    <w:pPr>
      <w:spacing w:before="50" w:beforeLines="50" w:after="50" w:afterLines="50"/>
    </w:pPr>
    <w:rPr>
      <w:rFonts w:ascii="Times New Roman" w:eastAsia="仿宋"/>
      <w:szCs w:val="22"/>
    </w:rPr>
  </w:style>
  <w:style w:type="table" w:customStyle="1" w:styleId="15">
    <w:name w:val="网格型6"/>
    <w:basedOn w:val="9"/>
    <w:autoRedefine/>
    <w:qFormat/>
    <w:uiPriority w:val="39"/>
    <w:rPr>
      <w:rFonts w:ascii="等线" w:hAnsi="等线" w:eastAsia="等线"/>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7984</Words>
  <Characters>9103</Characters>
  <Lines>1</Lines>
  <Paragraphs>1</Paragraphs>
  <TotalTime>21</TotalTime>
  <ScaleCrop>false</ScaleCrop>
  <LinksUpToDate>false</LinksUpToDate>
  <CharactersWithSpaces>9103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2022-10-19T06:33:00Z</dcterms:created>
  <dc:creator>Administrator</dc:creator>
  <cp:lastModifiedBy> </cp:lastModifiedBy>
  <cp:lastPrinted>2023-08-23T01:08:00Z</cp:lastPrinted>
  <dcterms:modified xsi:type="dcterms:W3CDTF">2024-04-15T02:10:26Z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B742CD10A85443218C5B1B0E659B3AB4_13</vt:lpwstr>
  </property>
</Properties>
</file>