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37" w:tblpY="389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05"/>
        <w:gridCol w:w="2613"/>
        <w:gridCol w:w="2591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评分因素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参考评分标准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报价得分（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满足谈判文件要求且最后报价最低的供应商报价为评标基准价，其报价得分为满分。其他供应商的价格得分统一按照下列公式计算：投标报价得分=(评标基准价／最后投标报价)×30（小数点后保留2位小数）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cs="宋体"/>
                <w:sz w:val="21"/>
                <w:szCs w:val="21"/>
              </w:rPr>
              <w:t>评分标准（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内容完整性和编制水平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备注： 若分项有缺项的，该分项为0分。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施工方案和技术措施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1-10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质量管理体系与措施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安全管理体系与措施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环境保护管理体系与措施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工程进度计划与措施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拟投入资源配备计划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在节能减排、绿色施工、工艺创新方面，具体措施落实可行。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商务标评分标准（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业绩（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供应商自20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年1月1日起在全国范围内提供过类似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的，每提供1份合同或其他有效证明文件得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分。提供合同或其他有效证明文件扫描件，原件备查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工期达到文件要求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具体措施结合本项目实际情况，客观可行，能够确保落实得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FF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优惠服务承诺内容全面、详尽、合理、完全满足项目要求的，得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优惠服务承诺内容不全面或者不详尽的，得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 优惠服务承诺内容不合理或者不能满足项目要求的，得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WQwZDZjMDc5NGU0ZmZhZDIxNDdlNzY1MTllMjAifQ=="/>
  </w:docVars>
  <w:rsids>
    <w:rsidRoot w:val="2B0D4185"/>
    <w:rsid w:val="2B0D4185"/>
    <w:rsid w:val="4C1B01B2"/>
    <w:rsid w:val="723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next w:val="3"/>
    <w:autoRedefine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customStyle="1" w:styleId="7">
    <w:name w:val="Default"/>
    <w:next w:val="8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8">
    <w:name w:val="表格文字"/>
    <w:basedOn w:val="1"/>
    <w:next w:val="3"/>
    <w:autoRedefine/>
    <w:qFormat/>
    <w:uiPriority w:val="99"/>
    <w:pPr>
      <w:adjustRightInd w:val="0"/>
      <w:spacing w:line="420" w:lineRule="atLeast"/>
      <w:jc w:val="left"/>
      <w:textAlignment w:val="baseline"/>
    </w:pPr>
  </w:style>
  <w:style w:type="paragraph" w:customStyle="1" w:styleId="9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2023-10-07T08:33:00Z</dcterms:created>
  <dc:creator>邓飞</dc:creator>
  <cp:lastModifiedBy>邓飞</cp:lastModifiedBy>
  <dcterms:modified xsi:type="dcterms:W3CDTF">2024-03-19T00:58:12Z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317589501C77483883C9AE010414E321_11</vt:lpwstr>
  </property>
</Properties>
</file>