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415" w:lineRule="auto"/>
        <w:jc w:val="center"/>
        <w:rPr>
          <w:rFonts w:ascii="宋体" w:hAnsi="宋体" w:eastAsia="宋体"/>
          <w:b w:val="0"/>
          <w:color w:val="auto"/>
          <w:highlight w:val="none"/>
          <w14:shadow w14:blurRad="0" w14:dist="0" w14:dir="0" w14:sx="0" w14:sy="0" w14:kx="0" w14:ky="0" w14:algn="none">
            <w14:srgbClr w14:val="000000"/>
          </w14:shadow>
        </w:rPr>
      </w:pPr>
      <w:r>
        <w:rPr>
          <w:rFonts w:hint="eastAsia" w:ascii="宋体" w:hAnsi="宋体" w:eastAsia="宋体"/>
          <w:b w:val="0"/>
          <w:color w:val="auto"/>
          <w:highlight w:val="none"/>
          <w14:shadow w14:blurRad="0" w14:dist="0" w14:dir="0" w14:sx="0" w14:sy="0" w14:kx="0" w14:ky="0" w14:algn="none">
            <w14:srgbClr w14:val="000000"/>
          </w14:shadow>
        </w:rPr>
        <w:t>评审办法</w:t>
      </w:r>
    </w:p>
    <w:p>
      <w:pPr>
        <w:snapToGrid w:val="0"/>
        <w:spacing w:line="360" w:lineRule="auto"/>
        <w:ind w:firstLine="480" w:firstLineChars="200"/>
        <w:contextualSpacing/>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1. 评审方法</w:t>
      </w:r>
    </w:p>
    <w:p>
      <w:pPr>
        <w:pStyle w:val="5"/>
        <w:snapToGrid w:val="0"/>
        <w:spacing w:after="0" w:line="360" w:lineRule="auto"/>
        <w:ind w:left="0" w:leftChars="0" w:firstLine="480" w:firstLineChars="200"/>
        <w:contextualSpacing/>
        <w:jc w:val="left"/>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本次评审采用综合评分法。询比小组将按综合评分表中规定的各项分值进行打分并计算出各供应商的综合得分，按得分由高到低推荐成交候选供应商排序的评审方法。</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2. 评审标准</w:t>
      </w:r>
    </w:p>
    <w:p>
      <w:pPr>
        <w:snapToGrid w:val="0"/>
        <w:spacing w:line="360" w:lineRule="auto"/>
        <w:ind w:firstLine="480" w:firstLineChars="200"/>
        <w:contextualSpacing/>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2.1资格</w:t>
      </w:r>
      <w:r>
        <w:rPr>
          <w:rFonts w:hint="eastAsia" w:ascii="宋体" w:hAnsi="宋体" w:eastAsia="宋体"/>
          <w:bCs/>
          <w:color w:val="auto"/>
          <w:sz w:val="24"/>
          <w:szCs w:val="24"/>
          <w:highlight w:val="none"/>
          <w14:shadow w14:blurRad="0" w14:dist="0" w14:dir="0" w14:sx="0" w14:sy="0" w14:kx="0" w14:ky="0" w14:algn="none">
            <w14:srgbClr w14:val="000000"/>
          </w14:shadow>
        </w:rPr>
        <w:t>评审标准：详见附件一《资格性评审表》；</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2.2 有效性、完整性和响应程度审查标准 ：详见附件二《有效性、完整性和响应程度审查表》；</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2.2 详细评审标准：详见附件三《综合评分表》。</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3.评审程序</w:t>
      </w:r>
    </w:p>
    <w:p>
      <w:pPr>
        <w:snapToGrid w:val="0"/>
        <w:spacing w:line="360" w:lineRule="auto"/>
        <w:ind w:firstLine="480" w:firstLineChars="200"/>
        <w:contextualSpacing/>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3.1</w:t>
      </w:r>
      <w:r>
        <w:rPr>
          <w:rFonts w:hint="eastAsia" w:ascii="宋体" w:hAnsi="宋体" w:eastAsia="宋体"/>
          <w:bCs/>
          <w:color w:val="auto"/>
          <w:sz w:val="24"/>
          <w:szCs w:val="24"/>
          <w:highlight w:val="none"/>
          <w14:shadow w14:blurRad="0" w14:dist="0" w14:dir="0" w14:sx="0" w14:sy="0" w14:kx="0" w14:ky="0" w14:algn="none">
            <w14:srgbClr w14:val="000000"/>
          </w14:shadow>
        </w:rPr>
        <w:t>资格性评审</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只有通过资格性评审，才能进入</w:t>
      </w:r>
      <w:r>
        <w:rPr>
          <w:rFonts w:hint="eastAsia" w:ascii="宋体" w:hAnsi="宋体" w:eastAsia="宋体"/>
          <w:color w:val="auto"/>
          <w:sz w:val="24"/>
          <w:szCs w:val="24"/>
          <w:highlight w:val="none"/>
          <w14:shadow w14:blurRad="0" w14:dist="0" w14:dir="0" w14:sx="0" w14:sy="0" w14:kx="0" w14:ky="0" w14:algn="none">
            <w14:srgbClr w14:val="000000"/>
          </w14:shadow>
        </w:rPr>
        <w:t>下一步评审；</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3.2有效性、完整性和响应程度审查</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只有通过</w:t>
      </w:r>
      <w:r>
        <w:rPr>
          <w:rFonts w:hint="eastAsia" w:ascii="宋体" w:hAnsi="宋体" w:eastAsia="宋体"/>
          <w:color w:val="auto"/>
          <w:sz w:val="24"/>
          <w:szCs w:val="24"/>
          <w:highlight w:val="none"/>
          <w14:shadow w14:blurRad="0" w14:dist="0" w14:dir="0" w14:sx="0" w14:sy="0" w14:kx="0" w14:ky="0" w14:algn="none">
            <w14:srgbClr w14:val="000000"/>
          </w14:shadow>
        </w:rPr>
        <w:t>有效性、完整性和响应程度审查</w:t>
      </w:r>
      <w:r>
        <w:rPr>
          <w:rFonts w:hint="eastAsia" w:ascii="宋体" w:hAnsi="宋体" w:eastAsia="宋体"/>
          <w:bCs/>
          <w:color w:val="auto"/>
          <w:sz w:val="24"/>
          <w:szCs w:val="24"/>
          <w:highlight w:val="none"/>
          <w14:shadow w14:blurRad="0" w14:dist="0" w14:dir="0" w14:sx="0" w14:sy="0" w14:kx="0" w14:ky="0" w14:algn="none">
            <w14:srgbClr w14:val="000000"/>
          </w14:shadow>
        </w:rPr>
        <w:t>，才能进入</w:t>
      </w:r>
      <w:r>
        <w:rPr>
          <w:rFonts w:hint="eastAsia" w:ascii="宋体" w:hAnsi="宋体" w:eastAsia="宋体"/>
          <w:color w:val="auto"/>
          <w:sz w:val="24"/>
          <w:szCs w:val="24"/>
          <w:highlight w:val="none"/>
          <w14:shadow w14:blurRad="0" w14:dist="0" w14:dir="0" w14:sx="0" w14:sy="0" w14:kx="0" w14:ky="0" w14:algn="none">
            <w14:srgbClr w14:val="000000"/>
          </w14:shadow>
        </w:rPr>
        <w:t>下一步评审；</w:t>
      </w:r>
    </w:p>
    <w:p>
      <w:pPr>
        <w:snapToGrid w:val="0"/>
        <w:spacing w:line="360" w:lineRule="auto"/>
        <w:ind w:firstLine="480" w:firstLineChars="200"/>
        <w:contextualSpacing/>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3.3</w:t>
      </w:r>
      <w:r>
        <w:rPr>
          <w:rFonts w:hint="eastAsia" w:ascii="宋体" w:hAnsi="宋体" w:eastAsia="宋体"/>
          <w:color w:val="auto"/>
          <w:sz w:val="24"/>
          <w:szCs w:val="24"/>
          <w:highlight w:val="none"/>
          <w14:shadow w14:blurRad="0" w14:dist="0" w14:dir="0" w14:sx="0" w14:sy="0" w14:kx="0" w14:ky="0" w14:algn="none">
            <w14:srgbClr w14:val="000000"/>
          </w14:shadow>
        </w:rPr>
        <w:t>详细评审</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3.3.1询比小组成员按附件三《综合评分表》规定的评分因素进行综合评分。</w:t>
      </w:r>
    </w:p>
    <w:p>
      <w:pPr>
        <w:snapToGrid w:val="0"/>
        <w:spacing w:line="360" w:lineRule="auto"/>
        <w:ind w:firstLine="480" w:firstLineChars="200"/>
        <w:contextualSpacing/>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3.3.3价格分评审办法</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满足询比文件要求且最后报价最低的供应商的价格为基准价。</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报价得分=（基准价/供应商报价）×价格权值×100 (扣减分值中间值用插入法, 小数点后保留两位)。</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3.4统分原则</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3.4.1询比小组应首先对各供应商响应文件进行评审，各分档评分中间采用插入法评分（小数点保留二位），由各小组成员自主评分并签字确认。</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3.4.2报价分值按公式计算，小数点后保留两位。</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3.4.3统计分数原则：所有询比小组成员打分的算术平均值为供应商的最后得分（保留小数点后两位）。</w:t>
      </w:r>
    </w:p>
    <w:p>
      <w:pPr>
        <w:pStyle w:val="4"/>
        <w:snapToGrid w:val="0"/>
        <w:spacing w:line="360" w:lineRule="auto"/>
        <w:ind w:firstLine="480" w:firstLineChars="200"/>
        <w:contextualSpacing/>
        <w:jc w:val="left"/>
        <w:rPr>
          <w:rFonts w:hAnsi="宋体" w:eastAsia="宋体"/>
          <w:color w:val="auto"/>
          <w:sz w:val="24"/>
          <w:szCs w:val="24"/>
          <w:highlight w:val="none"/>
          <w14:shadow w14:blurRad="0" w14:dist="0" w14:dir="0" w14:sx="0" w14:sy="0" w14:kx="0" w14:ky="0" w14:algn="none">
            <w14:srgbClr w14:val="000000"/>
          </w14:shadow>
        </w:rPr>
      </w:pPr>
      <w:r>
        <w:rPr>
          <w:rFonts w:hint="eastAsia" w:hAnsi="宋体" w:eastAsia="宋体"/>
          <w:color w:val="auto"/>
          <w:sz w:val="24"/>
          <w:szCs w:val="24"/>
          <w:highlight w:val="none"/>
          <w14:shadow w14:blurRad="0" w14:dist="0" w14:dir="0" w14:sx="0" w14:sy="0" w14:kx="0" w14:ky="0" w14:algn="none">
            <w14:srgbClr w14:val="000000"/>
          </w14:shadow>
        </w:rPr>
        <w:t>3.4.4将综合评分从高到低排序，得分相同的，按最后报价由低到高顺序排列。得分且询比报价相同的，按技术优劣顺序排列。</w:t>
      </w:r>
    </w:p>
    <w:p>
      <w:pPr>
        <w:pStyle w:val="5"/>
        <w:adjustRightInd w:val="0"/>
        <w:snapToGrid w:val="0"/>
        <w:spacing w:line="360" w:lineRule="auto"/>
        <w:ind w:left="0" w:leftChars="0" w:firstLine="480" w:firstLineChars="200"/>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附件一：资格性评审表</w:t>
      </w:r>
    </w:p>
    <w:tbl>
      <w:tblPr>
        <w:tblStyle w:val="6"/>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67"/>
        <w:gridCol w:w="560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adjustRightInd w:val="0"/>
              <w:snapToGrid w:val="0"/>
              <w:spacing w:line="400" w:lineRule="atLeast"/>
              <w:jc w:val="center"/>
              <w:rPr>
                <w:rFonts w:eastAsia="宋体"/>
                <w:color w:val="auto"/>
                <w:szCs w:val="21"/>
                <w:highlight w:val="none"/>
                <w14:shadow w14:blurRad="0" w14:dist="0" w14:dir="0" w14:sx="0" w14:sy="0" w14:kx="0" w14:ky="0" w14:algn="none">
                  <w14:srgbClr w14:val="000000"/>
                </w14:shadow>
              </w:rPr>
            </w:pPr>
            <w:r>
              <w:rPr>
                <w:rFonts w:hint="eastAsia" w:ascii="宋体" w:hAnsi="宋体" w:eastAsia="宋体"/>
                <w:color w:val="auto"/>
                <w:highlight w:val="none"/>
                <w14:shadow w14:blurRad="0" w14:dist="0" w14:dir="0" w14:sx="0" w14:sy="0" w14:kx="0" w14:ky="0" w14:algn="none">
                  <w14:srgbClr w14:val="000000"/>
                </w14:shadow>
              </w:rPr>
              <w:t>评审</w:t>
            </w:r>
          </w:p>
          <w:p>
            <w:pPr>
              <w:autoSpaceDE w:val="0"/>
              <w:autoSpaceDN w:val="0"/>
              <w:adjustRightInd w:val="0"/>
              <w:snapToGrid w:val="0"/>
              <w:spacing w:line="400" w:lineRule="atLeast"/>
              <w:jc w:val="center"/>
              <w:rPr>
                <w:rFonts w:eastAsia="宋体"/>
                <w:color w:val="auto"/>
                <w:highlight w:val="none"/>
                <w14:shadow w14:blurRad="0" w14:dist="0" w14:dir="0" w14:sx="0" w14:sy="0" w14:kx="0" w14:ky="0" w14:algn="none">
                  <w14:srgbClr w14:val="000000"/>
                </w14:shadow>
              </w:rPr>
            </w:pPr>
            <w:r>
              <w:rPr>
                <w:rFonts w:hint="eastAsia" w:ascii="宋体" w:hAnsi="宋体" w:eastAsia="宋体"/>
                <w:color w:val="auto"/>
                <w:highlight w:val="none"/>
                <w14:shadow w14:blurRad="0" w14:dist="0" w14:dir="0" w14:sx="0" w14:sy="0" w14:kx="0" w14:ky="0" w14:algn="none">
                  <w14:srgbClr w14:val="000000"/>
                </w14:shadow>
              </w:rPr>
              <w:t>内容</w:t>
            </w:r>
          </w:p>
        </w:tc>
        <w:tc>
          <w:tcPr>
            <w:tcW w:w="196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eastAsia="宋体"/>
                <w:color w:val="auto"/>
                <w:highlight w:val="none"/>
                <w14:shadow w14:blurRad="0" w14:dist="0" w14:dir="0" w14:sx="0" w14:sy="0" w14:kx="0" w14:ky="0" w14:algn="none">
                  <w14:srgbClr w14:val="000000"/>
                </w14:shadow>
              </w:rPr>
            </w:pPr>
            <w:r>
              <w:rPr>
                <w:rFonts w:hint="eastAsia" w:ascii="宋体" w:hAnsi="宋体" w:eastAsia="宋体"/>
                <w:color w:val="auto"/>
                <w:highlight w:val="none"/>
                <w14:shadow w14:blurRad="0" w14:dist="0" w14:dir="0" w14:sx="0" w14:sy="0" w14:kx="0" w14:ky="0" w14:algn="none">
                  <w14:srgbClr w14:val="000000"/>
                </w14:shadow>
              </w:rPr>
              <w:t>评审项目</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eastAsia="宋体"/>
                <w:color w:val="auto"/>
                <w:highlight w:val="none"/>
                <w14:shadow w14:blurRad="0" w14:dist="0" w14:dir="0" w14:sx="0" w14:sy="0" w14:kx="0" w14:ky="0" w14:algn="none">
                  <w14:srgbClr w14:val="000000"/>
                </w14:shadow>
              </w:rPr>
            </w:pPr>
            <w:r>
              <w:rPr>
                <w:rFonts w:hint="eastAsia" w:ascii="宋体" w:hAnsi="宋体" w:eastAsia="宋体"/>
                <w:color w:val="auto"/>
                <w:highlight w:val="none"/>
                <w14:shadow w14:blurRad="0" w14:dist="0" w14:dir="0" w14:sx="0" w14:sy="0" w14:kx="0" w14:ky="0" w14:algn="none">
                  <w14:srgbClr w14:val="000000"/>
                </w14:shadow>
              </w:rPr>
              <w:t>评审标准</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eastAsia="宋体"/>
                <w:color w:val="auto"/>
                <w:highlight w:val="none"/>
                <w14:shadow w14:blurRad="0" w14:dist="0" w14:dir="0" w14:sx="0" w14:sy="0" w14:kx="0" w14:ky="0" w14:algn="none">
                  <w14:srgbClr w14:val="000000"/>
                </w14:shadow>
              </w:rPr>
            </w:pPr>
            <w:r>
              <w:rPr>
                <w:rFonts w:hint="eastAsia" w:ascii="宋体" w:hAnsi="宋体" w:eastAsia="宋体"/>
                <w:color w:val="auto"/>
                <w:highlight w:val="none"/>
                <w14:shadow w14:blurRad="0" w14:dist="0" w14:dir="0" w14:sx="0" w14:sy="0" w14:kx="0" w14:ky="0" w14:algn="none">
                  <w14:srgbClr w14:val="000000"/>
                </w14:shadow>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1" w:type="dxa"/>
            <w:vMerge w:val="restart"/>
            <w:tcBorders>
              <w:top w:val="nil"/>
              <w:left w:val="single" w:color="auto" w:sz="4" w:space="0"/>
              <w:right w:val="single" w:color="auto" w:sz="4" w:space="0"/>
            </w:tcBorders>
            <w:vAlign w:val="center"/>
          </w:tcPr>
          <w:p>
            <w:pPr>
              <w:widowControl/>
              <w:jc w:val="center"/>
              <w:rPr>
                <w:rFonts w:eastAsia="宋体"/>
                <w:color w:val="auto"/>
                <w:szCs w:val="21"/>
                <w:highlight w:val="none"/>
                <w14:shadow w14:blurRad="0" w14:dist="0" w14:dir="0" w14:sx="0" w14:sy="0" w14:kx="0" w14:ky="0" w14:algn="none">
                  <w14:srgbClr w14:val="000000"/>
                </w14:shadow>
              </w:rPr>
            </w:pPr>
            <w:r>
              <w:rPr>
                <w:rFonts w:hint="eastAsia" w:eastAsia="宋体"/>
                <w:color w:val="auto"/>
                <w:szCs w:val="21"/>
                <w:highlight w:val="none"/>
                <w14:shadow w14:blurRad="0" w14:dist="0" w14:dir="0" w14:sx="0" w14:sy="0" w14:kx="0" w14:ky="0" w14:algn="none">
                  <w14:srgbClr w14:val="000000"/>
                </w14:shadow>
              </w:rPr>
              <w:t>资格性评审</w:t>
            </w: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rFonts w:eastAsia="宋体"/>
                <w:bCs/>
                <w:color w:val="auto"/>
                <w:kern w:val="0"/>
                <w:highlight w:val="none"/>
                <w14:shadow w14:blurRad="0" w14:dist="0" w14:dir="0" w14:sx="0" w14:sy="0" w14:kx="0" w14:ky="0" w14:algn="none">
                  <w14:srgbClr w14:val="000000"/>
                </w14:shadow>
              </w:rPr>
            </w:pPr>
            <w:r>
              <w:rPr>
                <w:rFonts w:hint="eastAsia" w:ascii="宋体" w:hAnsi="宋体" w:eastAsia="宋体"/>
                <w:bCs/>
                <w:color w:val="auto"/>
                <w:kern w:val="0"/>
                <w:highlight w:val="none"/>
                <w14:shadow w14:blurRad="0" w14:dist="0" w14:dir="0" w14:sx="0" w14:sy="0" w14:kx="0" w14:ky="0" w14:algn="none">
                  <w14:srgbClr w14:val="000000"/>
                </w14:shadow>
              </w:rPr>
              <w:t>营业执照</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eastAsia="宋体"/>
                <w:bCs/>
                <w:color w:val="auto"/>
                <w:kern w:val="0"/>
                <w:highlight w:val="none"/>
                <w14:shadow w14:blurRad="0" w14:dist="0" w14:dir="0" w14:sx="0" w14:sy="0" w14:kx="0" w14:ky="0" w14:algn="none">
                  <w14:srgbClr w14:val="000000"/>
                </w14:shadow>
              </w:rPr>
            </w:pPr>
            <w:r>
              <w:rPr>
                <w:rFonts w:hint="eastAsia" w:ascii="宋体" w:hAnsi="宋体" w:eastAsia="宋体"/>
                <w:bCs/>
                <w:color w:val="auto"/>
                <w:kern w:val="0"/>
                <w:highlight w:val="none"/>
                <w14:shadow w14:blurRad="0" w14:dist="0" w14:dir="0" w14:sx="0" w14:sy="0" w14:kx="0" w14:ky="0" w14:algn="none">
                  <w14:srgbClr w14:val="000000"/>
                </w14:shadow>
              </w:rPr>
              <w:t>在中国境内注册，具有独立承担民事责任的能力，具备有效的营业执照；</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eastAsia="宋体"/>
                <w:bCs/>
                <w:color w:val="auto"/>
                <w:highlight w:val="none"/>
                <w14:shadow w14:blurRad="0" w14:dist="0" w14:dir="0" w14:sx="0" w14:sy="0" w14:kx="0" w14:ky="0" w14:algn="none">
                  <w14:srgbClr w14:val="000000"/>
                </w14:shadow>
              </w:rPr>
            </w:pPr>
            <w:r>
              <w:rPr>
                <w:rFonts w:hint="eastAsia" w:ascii="宋体" w:hAnsi="宋体" w:eastAsia="宋体"/>
                <w:bCs/>
                <w:color w:val="auto"/>
                <w:highlight w:val="none"/>
                <w14:shadow w14:blurRad="0" w14:dist="0" w14:dir="0" w14:sx="0" w14:sy="0" w14:kx="0" w14:ky="0" w14:algn="none">
                  <w14:srgbClr w14:val="000000"/>
                </w14:shadow>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1" w:type="dxa"/>
            <w:vMerge w:val="continue"/>
            <w:tcBorders>
              <w:left w:val="single" w:color="auto" w:sz="4" w:space="0"/>
              <w:right w:val="single" w:color="auto" w:sz="4" w:space="0"/>
            </w:tcBorders>
            <w:vAlign w:val="center"/>
          </w:tcPr>
          <w:p>
            <w:pPr>
              <w:widowControl/>
              <w:jc w:val="left"/>
              <w:rPr>
                <w:rFonts w:eastAsia="宋体"/>
                <w:color w:val="auto"/>
                <w:szCs w:val="21"/>
                <w:highlight w:val="none"/>
                <w14:shadow w14:blurRad="0" w14:dist="0" w14:dir="0" w14:sx="0" w14:sy="0" w14:kx="0" w14:ky="0" w14:algn="none">
                  <w14:srgbClr w14:val="000000"/>
                </w14:shadow>
              </w:rPr>
            </w:pP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rFonts w:eastAsia="宋体"/>
                <w:bCs/>
                <w:color w:val="auto"/>
                <w:kern w:val="0"/>
                <w:highlight w:val="none"/>
                <w14:shadow w14:blurRad="0" w14:dist="0" w14:dir="0" w14:sx="0" w14:sy="0" w14:kx="0" w14:ky="0" w14:algn="none">
                  <w14:srgbClr w14:val="000000"/>
                </w14:shadow>
              </w:rPr>
            </w:pPr>
            <w:r>
              <w:rPr>
                <w:rFonts w:hint="eastAsia" w:ascii="宋体" w:hAnsi="宋体" w:eastAsia="宋体"/>
                <w:bCs/>
                <w:color w:val="auto"/>
                <w:kern w:val="0"/>
                <w:highlight w:val="none"/>
                <w14:shadow w14:blurRad="0" w14:dist="0" w14:dir="0" w14:sx="0" w14:sy="0" w14:kx="0" w14:ky="0" w14:algn="none">
                  <w14:srgbClr w14:val="000000"/>
                </w14:shadow>
              </w:rPr>
              <w:t>承诺函</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eastAsia="宋体"/>
                <w:bCs/>
                <w:color w:val="auto"/>
                <w:kern w:val="0"/>
                <w:highlight w:val="none"/>
                <w14:shadow w14:blurRad="0" w14:dist="0" w14:dir="0" w14:sx="0" w14:sy="0" w14:kx="0" w14:ky="0" w14:algn="none">
                  <w14:srgbClr w14:val="000000"/>
                </w14:shadow>
              </w:rPr>
            </w:pPr>
            <w:r>
              <w:rPr>
                <w:rFonts w:hint="eastAsia" w:ascii="宋体" w:hAnsi="宋体" w:eastAsia="宋体"/>
                <w:bCs/>
                <w:color w:val="auto"/>
                <w:kern w:val="0"/>
                <w:highlight w:val="none"/>
                <w14:shadow w14:blurRad="0" w14:dist="0" w14:dir="0" w14:sx="0" w14:sy="0" w14:kx="0" w14:ky="0" w14:algn="none">
                  <w14:srgbClr w14:val="000000"/>
                </w14:shadow>
              </w:rPr>
              <w:t>供应商自行承诺符合《中华人民共和国政府采购法》第二十二条规定及《中华人民共和国政府采购法实施条例》第十七条的相关要求；</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eastAsia="宋体"/>
                <w:bCs/>
                <w:color w:val="auto"/>
                <w:highlight w:val="none"/>
                <w14:shadow w14:blurRad="0" w14:dist="0" w14:dir="0" w14:sx="0" w14:sy="0" w14:kx="0" w14:ky="0" w14:algn="none">
                  <w14:srgbClr w14:val="000000"/>
                </w14:shadow>
              </w:rPr>
            </w:pPr>
            <w:r>
              <w:rPr>
                <w:rFonts w:hint="eastAsia" w:ascii="宋体" w:hAnsi="宋体" w:eastAsia="宋体"/>
                <w:bCs/>
                <w:color w:val="auto"/>
                <w:highlight w:val="none"/>
                <w14:shadow w14:blurRad="0" w14:dist="0" w14:dir="0" w14:sx="0" w14:sy="0" w14:kx="0" w14:ky="0" w14:algn="none">
                  <w14:srgbClr w14:val="000000"/>
                </w14:shadow>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vMerge w:val="continue"/>
            <w:tcBorders>
              <w:left w:val="single" w:color="auto" w:sz="4" w:space="0"/>
              <w:right w:val="single" w:color="auto" w:sz="4" w:space="0"/>
            </w:tcBorders>
            <w:vAlign w:val="center"/>
          </w:tcPr>
          <w:p>
            <w:pPr>
              <w:widowControl/>
              <w:jc w:val="left"/>
              <w:rPr>
                <w:rFonts w:eastAsia="宋体"/>
                <w:color w:val="auto"/>
                <w:szCs w:val="21"/>
                <w:highlight w:val="none"/>
                <w14:shadow w14:blurRad="0" w14:dist="0" w14:dir="0" w14:sx="0" w14:sy="0" w14:kx="0" w14:ky="0" w14:algn="none">
                  <w14:srgbClr w14:val="000000"/>
                </w14:shadow>
              </w:rPr>
            </w:pPr>
          </w:p>
        </w:tc>
        <w:tc>
          <w:tcPr>
            <w:tcW w:w="1967" w:type="dxa"/>
            <w:tcBorders>
              <w:left w:val="nil"/>
              <w:right w:val="single" w:color="auto" w:sz="4" w:space="0"/>
            </w:tcBorders>
            <w:vAlign w:val="center"/>
          </w:tcPr>
          <w:p>
            <w:pPr>
              <w:adjustRightInd w:val="0"/>
              <w:snapToGrid w:val="0"/>
              <w:spacing w:line="400" w:lineRule="atLeast"/>
              <w:jc w:val="center"/>
              <w:rPr>
                <w:rFonts w:ascii="宋体" w:hAnsi="宋体" w:eastAsia="宋体"/>
                <w:bCs/>
                <w:color w:val="auto"/>
                <w:kern w:val="0"/>
                <w:highlight w:val="none"/>
                <w14:shadow w14:blurRad="0" w14:dist="0" w14:dir="0" w14:sx="0" w14:sy="0" w14:kx="0" w14:ky="0" w14:algn="none">
                  <w14:srgbClr w14:val="000000"/>
                </w14:shadow>
              </w:rPr>
            </w:pPr>
            <w:r>
              <w:rPr>
                <w:rFonts w:hint="eastAsia" w:ascii="宋体" w:hAnsi="宋体" w:eastAsia="宋体"/>
                <w:bCs/>
                <w:color w:val="auto"/>
                <w:kern w:val="0"/>
                <w:highlight w:val="none"/>
                <w14:shadow w14:blurRad="0" w14:dist="0" w14:dir="0" w14:sx="0" w14:sy="0" w14:kx="0" w14:ky="0" w14:algn="none">
                  <w14:srgbClr w14:val="000000"/>
                </w14:shadow>
              </w:rPr>
              <w:t>声明</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ascii="宋体" w:hAnsi="宋体" w:eastAsia="宋体"/>
                <w:bCs/>
                <w:color w:val="auto"/>
                <w:kern w:val="0"/>
                <w:highlight w:val="none"/>
                <w14:shadow w14:blurRad="0" w14:dist="0" w14:dir="0" w14:sx="0" w14:sy="0" w14:kx="0" w14:ky="0" w14:algn="none">
                  <w14:srgbClr w14:val="000000"/>
                </w14:shadow>
              </w:rPr>
            </w:pPr>
            <w:r>
              <w:rPr>
                <w:rFonts w:hint="eastAsia" w:ascii="宋体" w:hAnsi="宋体" w:eastAsia="宋体"/>
                <w:bCs/>
                <w:color w:val="auto"/>
                <w:kern w:val="0"/>
                <w:highlight w:val="none"/>
                <w14:shadow w14:blurRad="0" w14:dist="0" w14:dir="0" w14:sx="0" w14:sy="0" w14:kx="0" w14:ky="0" w14:algn="none">
                  <w14:srgbClr w14:val="000000"/>
                </w14:shadow>
              </w:rPr>
              <w:t xml:space="preserve">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 </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eastAsia="宋体"/>
                <w:bCs/>
                <w:color w:val="auto"/>
                <w:highlight w:val="none"/>
                <w14:shadow w14:blurRad="0" w14:dist="0" w14:dir="0" w14:sx="0" w14:sy="0" w14:kx="0" w14:ky="0" w14:algn="none">
                  <w14:srgbClr w14:val="000000"/>
                </w14:shadow>
              </w:rPr>
            </w:pPr>
            <w:r>
              <w:rPr>
                <w:rFonts w:hint="eastAsia" w:ascii="宋体" w:hAnsi="宋体" w:eastAsia="宋体"/>
                <w:bCs/>
                <w:color w:val="auto"/>
                <w:highlight w:val="none"/>
                <w14:shadow w14:blurRad="0" w14:dist="0" w14:dir="0" w14:sx="0" w14:sy="0" w14:kx="0" w14:ky="0" w14:algn="none">
                  <w14:srgbClr w14:val="000000"/>
                </w14:shadow>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vMerge w:val="continue"/>
            <w:tcBorders>
              <w:left w:val="single" w:color="auto" w:sz="4" w:space="0"/>
              <w:bottom w:val="single" w:color="auto" w:sz="4" w:space="0"/>
              <w:right w:val="single" w:color="auto" w:sz="4" w:space="0"/>
            </w:tcBorders>
            <w:vAlign w:val="center"/>
          </w:tcPr>
          <w:p>
            <w:pPr>
              <w:widowControl/>
              <w:jc w:val="left"/>
              <w:rPr>
                <w:rFonts w:eastAsia="宋体"/>
                <w:color w:val="auto"/>
                <w:szCs w:val="21"/>
                <w:highlight w:val="none"/>
                <w14:shadow w14:blurRad="0" w14:dist="0" w14:dir="0" w14:sx="0" w14:sy="0" w14:kx="0" w14:ky="0" w14:algn="none">
                  <w14:srgbClr w14:val="000000"/>
                </w14:shadow>
              </w:rPr>
            </w:pPr>
          </w:p>
        </w:tc>
        <w:tc>
          <w:tcPr>
            <w:tcW w:w="1967" w:type="dxa"/>
            <w:tcBorders>
              <w:left w:val="nil"/>
              <w:bottom w:val="single" w:color="auto" w:sz="4" w:space="0"/>
              <w:right w:val="single" w:color="auto" w:sz="4" w:space="0"/>
            </w:tcBorders>
            <w:vAlign w:val="center"/>
          </w:tcPr>
          <w:p>
            <w:pPr>
              <w:adjustRightInd w:val="0"/>
              <w:snapToGrid w:val="0"/>
              <w:spacing w:line="400" w:lineRule="atLeast"/>
              <w:jc w:val="center"/>
              <w:rPr>
                <w:rFonts w:hint="eastAsia" w:ascii="宋体" w:hAnsi="宋体" w:eastAsia="宋体"/>
                <w:bCs/>
                <w:color w:val="auto"/>
                <w:kern w:val="0"/>
                <w:highlight w:val="none"/>
                <w14:shadow w14:blurRad="0" w14:dist="0" w14:dir="0" w14:sx="0" w14:sy="0" w14:kx="0" w14:ky="0" w14:algn="none">
                  <w14:srgbClr w14:val="000000"/>
                </w14:shadow>
              </w:rPr>
            </w:pPr>
            <w:r>
              <w:rPr>
                <w:rFonts w:hint="eastAsia" w:ascii="宋体" w:hAnsi="宋体" w:eastAsia="宋体"/>
                <w:bCs/>
                <w:color w:val="auto"/>
                <w:kern w:val="0"/>
                <w:highlight w:val="none"/>
                <w14:shadow w14:blurRad="0" w14:dist="0" w14:dir="0" w14:sx="0" w14:sy="0" w14:kx="0" w14:ky="0" w14:algn="none">
                  <w14:srgbClr w14:val="000000"/>
                </w14:shadow>
              </w:rPr>
              <w:t>特定资格要求</w:t>
            </w:r>
          </w:p>
        </w:tc>
        <w:tc>
          <w:tcPr>
            <w:tcW w:w="56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hint="eastAsia" w:ascii="宋体" w:hAnsi="宋体" w:eastAsia="宋体"/>
                <w:b w:val="0"/>
                <w:bCs/>
                <w:color w:val="auto"/>
                <w:kern w:val="0"/>
                <w:highlight w:val="none"/>
                <w14:shadow w14:blurRad="0" w14:dist="0" w14:dir="0" w14:sx="0" w14:sy="0" w14:kx="0" w14:ky="0" w14:algn="none">
                  <w14:srgbClr w14:val="000000"/>
                </w14:shadow>
              </w:rPr>
            </w:pPr>
            <w:r>
              <w:rPr>
                <w:rFonts w:hint="eastAsia" w:ascii="宋体" w:hAnsi="宋体" w:eastAsia="宋体"/>
                <w:b w:val="0"/>
                <w:bCs/>
                <w:color w:val="auto"/>
                <w:kern w:val="0"/>
                <w:highlight w:val="none"/>
                <w14:shadow w14:blurRad="0" w14:dist="0" w14:dir="0" w14:sx="0" w14:sy="0" w14:kx="0" w14:ky="0" w14:algn="none">
                  <w14:srgbClr w14:val="000000"/>
                </w14:shadow>
              </w:rPr>
              <w:t>供应商如果是代理商或经销商且所投产品为医疗器械，须提供医疗器械经营许可/备案证，所投产品制造商医疗器械生产许可证（制造商工商注册地在中华人民共和国境外的，不做此要求）、所投产品的医疗器械注册证及附件；供应商如果是制造商且所投产品为医疗器械，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 的要求提供，其他不在《医疗器械分类目录》内的不作强行要求）</w:t>
            </w:r>
          </w:p>
        </w:tc>
        <w:tc>
          <w:tcPr>
            <w:tcW w:w="169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宋体" w:hAnsi="宋体" w:eastAsia="宋体"/>
                <w:bCs/>
                <w:color w:val="auto"/>
                <w:highlight w:val="none"/>
                <w14:shadow w14:blurRad="0" w14:dist="0" w14:dir="0" w14:sx="0" w14:sy="0" w14:kx="0" w14:ky="0" w14:algn="none">
                  <w14:srgbClr w14:val="000000"/>
                </w14:shadow>
              </w:rPr>
            </w:pPr>
            <w:r>
              <w:rPr>
                <w:rFonts w:hint="eastAsia" w:ascii="宋体" w:hAnsi="宋体" w:eastAsia="宋体"/>
                <w:bCs/>
                <w:color w:val="auto"/>
                <w:highlight w:val="none"/>
                <w14:shadow w14:blurRad="0" w14:dist="0" w14:dir="0" w14:sx="0" w14:sy="0" w14:kx="0" w14:ky="0" w14:algn="none">
                  <w14:srgbClr w14:val="000000"/>
                </w14:shadow>
              </w:rPr>
              <w:t>审核响应文件</w:t>
            </w:r>
          </w:p>
        </w:tc>
      </w:tr>
    </w:tbl>
    <w:p>
      <w:pPr>
        <w:adjustRightInd w:val="0"/>
        <w:snapToGrid w:val="0"/>
        <w:spacing w:line="360" w:lineRule="auto"/>
        <w:jc w:val="left"/>
        <w:rPr>
          <w:rFonts w:hint="eastAsia" w:ascii="宋体" w:hAnsi="宋体" w:eastAsia="宋体"/>
          <w:bCs/>
          <w:color w:val="auto"/>
          <w:sz w:val="24"/>
          <w:szCs w:val="24"/>
          <w:highlight w:val="none"/>
          <w14:shadow w14:blurRad="0" w14:dist="0" w14:dir="0" w14:sx="0" w14:sy="0" w14:kx="0" w14:ky="0" w14:algn="none">
            <w14:srgbClr w14:val="000000"/>
          </w14:shadow>
        </w:rPr>
      </w:pPr>
    </w:p>
    <w:p>
      <w:pPr>
        <w:adjustRightInd w:val="0"/>
        <w:snapToGrid w:val="0"/>
        <w:spacing w:line="360" w:lineRule="auto"/>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附件二：</w:t>
      </w:r>
      <w:r>
        <w:rPr>
          <w:rFonts w:hint="eastAsia" w:ascii="宋体" w:hAnsi="宋体" w:eastAsia="宋体"/>
          <w:color w:val="auto"/>
          <w:sz w:val="24"/>
          <w:szCs w:val="24"/>
          <w:highlight w:val="none"/>
          <w14:shadow w14:blurRad="0" w14:dist="0" w14:dir="0" w14:sx="0" w14:sy="0" w14:kx="0" w14:ky="0" w14:algn="none">
            <w14:srgbClr w14:val="000000"/>
          </w14:shadow>
        </w:rPr>
        <w:t>有效性、完整性和响应程度</w:t>
      </w:r>
      <w:r>
        <w:rPr>
          <w:rFonts w:hint="eastAsia" w:ascii="宋体" w:hAnsi="宋体" w:eastAsia="宋体"/>
          <w:bCs/>
          <w:color w:val="auto"/>
          <w:sz w:val="24"/>
          <w:szCs w:val="24"/>
          <w:highlight w:val="none"/>
          <w14:shadow w14:blurRad="0" w14:dist="0" w14:dir="0" w14:sx="0" w14:sy="0" w14:kx="0" w14:ky="0" w14:algn="none">
            <w14:srgbClr w14:val="000000"/>
          </w14:shadow>
        </w:rPr>
        <w:t>检查表</w:t>
      </w:r>
    </w:p>
    <w:p>
      <w:pPr>
        <w:adjustRightInd w:val="0"/>
        <w:snapToGrid w:val="0"/>
        <w:spacing w:line="240" w:lineRule="atLeast"/>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项目名称：</w:t>
      </w:r>
      <w:r>
        <w:rPr>
          <w:rFonts w:hint="eastAsia" w:ascii="宋体" w:hAnsi="宋体" w:eastAsia="宋体"/>
          <w:bCs/>
          <w:color w:val="auto"/>
          <w:sz w:val="24"/>
          <w:szCs w:val="24"/>
          <w:highlight w:val="none"/>
          <w:u w:val="single"/>
          <w14:shadow w14:blurRad="0" w14:dist="0" w14:dir="0" w14:sx="0" w14:sy="0" w14:kx="0" w14:ky="0" w14:algn="none">
            <w14:srgbClr w14:val="000000"/>
          </w14:shadow>
        </w:rPr>
        <w:t xml:space="preserve">                        </w:t>
      </w:r>
    </w:p>
    <w:p>
      <w:pPr>
        <w:adjustRightInd w:val="0"/>
        <w:snapToGrid w:val="0"/>
        <w:spacing w:line="240" w:lineRule="atLeast"/>
        <w:jc w:val="left"/>
        <w:rPr>
          <w:rFonts w:ascii="宋体" w:hAnsi="宋体" w:eastAsia="宋体"/>
          <w:bCs/>
          <w:color w:val="auto"/>
          <w:sz w:val="24"/>
          <w:szCs w:val="24"/>
          <w:highlight w:val="none"/>
          <w:u w:val="singl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评审地点：</w:t>
      </w:r>
      <w:r>
        <w:rPr>
          <w:rFonts w:hint="eastAsia" w:ascii="宋体" w:hAnsi="宋体" w:eastAsia="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eastAsia="宋体"/>
          <w:bCs/>
          <w:color w:val="auto"/>
          <w:sz w:val="24"/>
          <w:szCs w:val="24"/>
          <w:highlight w:val="none"/>
          <w14:shadow w14:blurRad="0" w14:dist="0" w14:dir="0" w14:sx="0" w14:sy="0" w14:kx="0" w14:ky="0" w14:algn="none">
            <w14:srgbClr w14:val="000000"/>
          </w14:shadow>
        </w:rPr>
        <w:t xml:space="preserve">              日期：</w:t>
      </w:r>
      <w:r>
        <w:rPr>
          <w:rFonts w:hint="eastAsia" w:ascii="宋体" w:hAnsi="宋体" w:eastAsia="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eastAsia="宋体"/>
          <w:bCs/>
          <w:color w:val="auto"/>
          <w:sz w:val="24"/>
          <w:szCs w:val="24"/>
          <w:highlight w:val="none"/>
          <w14:shadow w14:blurRad="0" w14:dist="0" w14:dir="0" w14:sx="0" w14:sy="0" w14:kx="0" w14:ky="0" w14:algn="none">
            <w14:srgbClr w14:val="000000"/>
          </w14:shadow>
        </w:rPr>
        <w:t>年</w:t>
      </w:r>
      <w:r>
        <w:rPr>
          <w:rFonts w:hint="eastAsia" w:ascii="宋体" w:hAnsi="宋体" w:eastAsia="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eastAsia="宋体"/>
          <w:bCs/>
          <w:color w:val="auto"/>
          <w:sz w:val="24"/>
          <w:szCs w:val="24"/>
          <w:highlight w:val="none"/>
          <w14:shadow w14:blurRad="0" w14:dist="0" w14:dir="0" w14:sx="0" w14:sy="0" w14:kx="0" w14:ky="0" w14:algn="none">
            <w14:srgbClr w14:val="000000"/>
          </w14:shadow>
        </w:rPr>
        <w:t>月</w:t>
      </w:r>
      <w:r>
        <w:rPr>
          <w:rFonts w:hint="eastAsia" w:ascii="宋体" w:hAnsi="宋体" w:eastAsia="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eastAsia="宋体"/>
          <w:bCs/>
          <w:color w:val="auto"/>
          <w:sz w:val="24"/>
          <w:szCs w:val="24"/>
          <w:highlight w:val="none"/>
          <w14:shadow w14:blurRad="0" w14:dist="0" w14:dir="0" w14:sx="0" w14:sy="0" w14:kx="0" w14:ky="0" w14:algn="none">
            <w14:srgbClr w14:val="000000"/>
          </w14:shadow>
        </w:rPr>
        <w:t>日</w:t>
      </w:r>
    </w:p>
    <w:tbl>
      <w:tblPr>
        <w:tblStyle w:val="6"/>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66"/>
        <w:gridCol w:w="567"/>
        <w:gridCol w:w="709"/>
        <w:gridCol w:w="567"/>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629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审 查 内 容</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供应商</w:t>
            </w:r>
          </w:p>
        </w:tc>
        <w:tc>
          <w:tcPr>
            <w:tcW w:w="1615"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询比小组成员签字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62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single" w:color="auto" w:sz="6"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1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有效性、完整性和响应程度检查表</w:t>
            </w: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未按照询比文件规定要求签署、盖章的；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6"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1615" w:type="dxa"/>
            <w:vMerge w:val="restart"/>
            <w:tcBorders>
              <w:top w:val="single" w:color="auto" w:sz="6" w:space="0"/>
              <w:left w:val="single" w:color="auto" w:sz="4" w:space="0"/>
              <w:bottom w:val="single" w:color="auto" w:sz="4" w:space="0"/>
              <w:right w:val="single" w:color="auto" w:sz="4" w:space="0"/>
            </w:tcBorders>
          </w:tcPr>
          <w:p>
            <w:pPr>
              <w:spacing w:line="312" w:lineRule="auto"/>
              <w:jc w:val="center"/>
              <w:rPr>
                <w:rFonts w:ascii="宋体" w:hAnsi="宋体" w:eastAsia="宋体"/>
                <w:bCs/>
                <w:color w:val="auto"/>
                <w:sz w:val="24"/>
                <w:szCs w:val="24"/>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lang w:val="en-US" w:eastAsia="zh-CN"/>
                <w14:shadow w14:blurRad="0" w14:dist="0" w14:dir="0" w14:sx="0" w14:sy="0" w14:kx="0" w14:ky="0" w14:algn="none">
                  <w14:srgbClr w14:val="000000"/>
                </w14:shadow>
              </w:rPr>
              <w:t>服务期限</w:t>
            </w:r>
            <w:r>
              <w:rPr>
                <w:rFonts w:hint="eastAsia" w:ascii="宋体" w:hAnsi="宋体" w:eastAsia="宋体"/>
                <w:bCs/>
                <w:color w:val="auto"/>
                <w:sz w:val="24"/>
                <w:szCs w:val="24"/>
                <w:highlight w:val="none"/>
                <w14:shadow w14:blurRad="0" w14:dist="0" w14:dir="0" w14:sx="0" w14:sy="0" w14:kx="0" w14:ky="0" w14:algn="none">
                  <w14:srgbClr w14:val="000000"/>
                </w14:shadow>
              </w:rPr>
              <w:t>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eastAsia="宋体"/>
                <w:bCs/>
                <w:color w:val="auto"/>
                <w:sz w:val="24"/>
                <w:szCs w:val="24"/>
                <w:highlight w:val="none"/>
                <w:lang w:eastAsia="zh-CN"/>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采购内容及报价不满足询比文件要求</w:t>
            </w:r>
            <w:r>
              <w:rPr>
                <w:rFonts w:hint="eastAsia" w:ascii="宋体" w:hAnsi="宋体" w:eastAsia="宋体"/>
                <w:bCs/>
                <w:color w:val="auto"/>
                <w:sz w:val="24"/>
                <w:szCs w:val="24"/>
                <w:highlight w:val="none"/>
                <w:lang w:eastAsia="zh-CN"/>
                <w14:shadow w14:blurRad="0" w14:dist="0" w14:dir="0" w14:sx="0" w14:sy="0" w14:kx="0" w14:ky="0" w14:algn="none">
                  <w14:srgbClr w14:val="000000"/>
                </w14:shadow>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eastAsia="宋体"/>
                <w:bCs/>
                <w:color w:val="auto"/>
                <w:sz w:val="24"/>
                <w:szCs w:val="24"/>
                <w:highlight w:val="none"/>
                <w:lang w:eastAsia="zh-CN"/>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响应文件附有采购人不能接受的附加条件</w:t>
            </w:r>
            <w:r>
              <w:rPr>
                <w:rFonts w:hint="eastAsia" w:ascii="宋体" w:hAnsi="宋体" w:eastAsia="宋体"/>
                <w:bCs/>
                <w:color w:val="auto"/>
                <w:sz w:val="24"/>
                <w:szCs w:val="24"/>
                <w:highlight w:val="none"/>
                <w:lang w:eastAsia="zh-CN"/>
                <w14:shadow w14:blurRad="0" w14:dist="0" w14:dir="0" w14:sx="0" w14:sy="0" w14:kx="0" w14:ky="0" w14:algn="none">
                  <w14:srgbClr w14:val="000000"/>
                </w14:shadow>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不符合法律、法规和询比文件中规定的其它实质性要求的；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nil"/>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6295"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评审结论</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eastAsia="宋体"/>
                <w:bCs/>
                <w:color w:val="auto"/>
                <w:sz w:val="24"/>
                <w:szCs w:val="24"/>
                <w:highlight w:val="none"/>
                <w14:shadow w14:blurRad="0" w14:dist="0" w14:dir="0" w14:sx="0" w14:sy="0" w14:kx="0" w14:ky="0" w14:algn="none">
                  <w14:srgbClr w14:val="000000"/>
                </w14:shadow>
              </w:rPr>
            </w:pPr>
          </w:p>
        </w:tc>
        <w:tc>
          <w:tcPr>
            <w:tcW w:w="1615"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eastAsia="宋体"/>
                <w:bCs/>
                <w:color w:val="auto"/>
                <w:sz w:val="24"/>
                <w:szCs w:val="24"/>
                <w:highlight w:val="none"/>
                <w14:shadow w14:blurRad="0" w14:dist="0" w14:dir="0" w14:sx="0" w14:sy="0" w14:kx="0" w14:ky="0" w14:algn="none">
                  <w14:srgbClr w14:val="000000"/>
                </w14:shadow>
              </w:rPr>
            </w:pPr>
          </w:p>
        </w:tc>
      </w:tr>
    </w:tbl>
    <w:p>
      <w:pPr>
        <w:spacing w:line="312" w:lineRule="auto"/>
        <w:jc w:val="left"/>
        <w:rPr>
          <w:rFonts w:ascii="宋体" w:hAnsi="宋体" w:eastAsia="宋体"/>
          <w:bCs/>
          <w:color w:val="auto"/>
          <w:szCs w:val="21"/>
          <w:highlight w:val="none"/>
          <w14:shadow w14:blurRad="0" w14:dist="0" w14:dir="0" w14:sx="0" w14:sy="0" w14:kx="0" w14:ky="0" w14:algn="none">
            <w14:srgbClr w14:val="000000"/>
          </w14:shadow>
        </w:rPr>
      </w:pPr>
      <w:r>
        <w:rPr>
          <w:rFonts w:hint="eastAsia" w:ascii="宋体" w:hAnsi="宋体" w:eastAsia="宋体"/>
          <w:bCs/>
          <w:color w:val="auto"/>
          <w:highlight w:val="none"/>
          <w14:shadow w14:blurRad="0" w14:dist="0" w14:dir="0" w14:sx="0" w14:sy="0" w14:kx="0" w14:ky="0" w14:algn="none">
            <w14:srgbClr w14:val="000000"/>
          </w14:shadow>
        </w:rPr>
        <w:t xml:space="preserve"> </w:t>
      </w:r>
    </w:p>
    <w:p>
      <w:pPr>
        <w:spacing w:line="312" w:lineRule="auto"/>
        <w:ind w:firstLine="480" w:firstLineChars="200"/>
        <w:jc w:val="left"/>
        <w:rPr>
          <w:rFonts w:ascii="宋体" w:hAnsi="宋体" w:eastAsia="宋体"/>
          <w:bCs/>
          <w:color w:val="auto"/>
          <w:sz w:val="24"/>
          <w:szCs w:val="24"/>
          <w:highlight w:val="none"/>
          <w14:shadow w14:blurRad="0" w14:dist="0" w14:dir="0" w14:sx="0" w14:sy="0" w14:kx="0" w14:ky="0" w14:algn="none">
            <w14:srgbClr w14:val="000000"/>
          </w14:shadow>
        </w:rPr>
      </w:pPr>
      <w:r>
        <w:rPr>
          <w:rFonts w:hint="eastAsia" w:ascii="宋体" w:hAnsi="宋体" w:eastAsia="宋体"/>
          <w:bCs/>
          <w:color w:val="auto"/>
          <w:sz w:val="24"/>
          <w:szCs w:val="24"/>
          <w:highlight w:val="none"/>
          <w14:shadow w14:blurRad="0" w14:dist="0" w14:dir="0" w14:sx="0" w14:sy="0" w14:kx="0" w14:ky="0" w14:algn="none">
            <w14:srgbClr w14:val="000000"/>
          </w14:shadow>
        </w:rPr>
        <w:t>注：上述评审内容对应填写“合格”或“不合格”，评审结论对应填写“不通过”或“通过”，响应文件属上述情况之一的，询比小组将在有效性、完整性和响应程度评审时作为无效标处理。</w:t>
      </w:r>
    </w:p>
    <w:p>
      <w:pPr>
        <w:spacing w:line="360" w:lineRule="auto"/>
        <w:jc w:val="left"/>
        <w:rPr>
          <w:rFonts w:ascii="宋体" w:hAnsi="宋体" w:eastAsia="宋体"/>
          <w:color w:val="auto"/>
          <w:sz w:val="24"/>
          <w:szCs w:val="24"/>
          <w:highlight w:val="none"/>
          <w14:shadow w14:blurRad="0" w14:dist="0" w14:dir="0" w14:sx="0" w14:sy="0" w14:kx="0" w14:ky="0" w14:algn="none">
            <w14:srgbClr w14:val="000000"/>
          </w14:shadow>
        </w:rPr>
      </w:pPr>
      <w:r>
        <w:rPr>
          <w:rFonts w:hint="eastAsia" w:ascii="宋体" w:hAnsi="宋体" w:eastAsia="宋体"/>
          <w:color w:val="auto"/>
          <w:sz w:val="24"/>
          <w:szCs w:val="24"/>
          <w:highlight w:val="none"/>
          <w14:shadow w14:blurRad="0" w14:dist="0" w14:dir="0" w14:sx="0" w14:sy="0" w14:kx="0" w14:ky="0" w14:algn="none">
            <w14:srgbClr w14:val="000000"/>
          </w14:shadow>
        </w:rPr>
        <w:t>附件三</w:t>
      </w:r>
      <w:r>
        <w:rPr>
          <w:rFonts w:hint="eastAsia" w:eastAsia="宋体" w:cs="Calibri"/>
          <w:color w:val="auto"/>
          <w:sz w:val="24"/>
          <w:szCs w:val="24"/>
          <w:highlight w:val="none"/>
          <w14:shadow w14:blurRad="0" w14:dist="0" w14:dir="0" w14:sx="0" w14:sy="0" w14:kx="0" w14:ky="0" w14:algn="none">
            <w14:srgbClr w14:val="000000"/>
          </w14:shadow>
        </w:rPr>
        <w:t>:</w:t>
      </w:r>
      <w:r>
        <w:rPr>
          <w:rFonts w:hint="eastAsia" w:ascii="宋体" w:hAnsi="宋体" w:eastAsia="宋体"/>
          <w:color w:val="auto"/>
          <w:sz w:val="24"/>
          <w:szCs w:val="24"/>
          <w:highlight w:val="none"/>
          <w14:shadow w14:blurRad="0" w14:dist="0" w14:dir="0" w14:sx="0" w14:sy="0" w14:kx="0" w14:ky="0" w14:algn="none">
            <w14:srgbClr w14:val="000000"/>
          </w14:shadow>
        </w:rPr>
        <w:t>综合评分表</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53"/>
        <w:gridCol w:w="698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val="0"/>
              <w:spacing w:before="157" w:beforeLines="50" w:line="360" w:lineRule="auto"/>
              <w:contextualSpacing/>
              <w:jc w:val="center"/>
              <w:textAlignment w:val="auto"/>
              <w:rPr>
                <w:rFonts w:hAnsi="宋体" w:eastAsia="宋体" w:cs="宋体"/>
                <w:color w:val="auto"/>
                <w:kern w:val="2"/>
                <w:sz w:val="21"/>
                <w:highlight w:val="none"/>
                <w14:shadow w14:blurRad="0" w14:dist="0" w14:dir="0" w14:sx="0" w14:sy="0" w14:kx="0" w14:ky="0" w14:algn="none">
                  <w14:srgbClr w14:val="000000"/>
                </w14:shadow>
              </w:rPr>
            </w:pPr>
            <w:r>
              <w:rPr>
                <w:rFonts w:hint="eastAsia" w:hAnsi="宋体" w:eastAsia="宋体" w:cs="宋体"/>
                <w:color w:val="auto"/>
                <w:kern w:val="2"/>
                <w:sz w:val="21"/>
                <w:highlight w:val="none"/>
                <w14:shadow w14:blurRad="0" w14:dist="0" w14:dir="0" w14:sx="0" w14:sy="0" w14:kx="0" w14:ky="0" w14:algn="none">
                  <w14:srgbClr w14:val="000000"/>
                </w14:shadow>
              </w:rPr>
              <w:t>评分因素</w:t>
            </w:r>
          </w:p>
        </w:tc>
        <w:tc>
          <w:tcPr>
            <w:tcW w:w="953"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val="0"/>
              <w:spacing w:before="157" w:beforeLines="50" w:beforeAutospacing="0" w:after="0" w:afterAutospacing="0" w:line="360" w:lineRule="auto"/>
              <w:contextualSpacing/>
              <w:jc w:val="center"/>
              <w:textAlignment w:val="auto"/>
              <w:rPr>
                <w:rFonts w:eastAsia="宋体"/>
                <w:color w:val="auto"/>
                <w:sz w:val="21"/>
                <w:szCs w:val="21"/>
                <w:highlight w:val="none"/>
                <w14:shadow w14:blurRad="0" w14:dist="0" w14:dir="0" w14:sx="0" w14:sy="0" w14:kx="0" w14:ky="0" w14:algn="none">
                  <w14:srgbClr w14:val="000000"/>
                </w14:shadow>
              </w:rPr>
            </w:pPr>
            <w:r>
              <w:rPr>
                <w:rFonts w:hint="eastAsia" w:eastAsia="宋体"/>
                <w:color w:val="auto"/>
                <w:sz w:val="21"/>
                <w:szCs w:val="21"/>
                <w:highlight w:val="none"/>
                <w14:shadow w14:blurRad="0" w14:dist="0" w14:dir="0" w14:sx="0" w14:sy="0" w14:kx="0" w14:ky="0" w14:algn="none">
                  <w14:srgbClr w14:val="000000"/>
                </w14:shadow>
              </w:rPr>
              <w:t>分数</w:t>
            </w:r>
          </w:p>
        </w:tc>
        <w:tc>
          <w:tcPr>
            <w:tcW w:w="6985"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E/>
              <w:autoSpaceDN/>
              <w:bidi w:val="0"/>
              <w:adjustRightInd/>
              <w:snapToGrid w:val="0"/>
              <w:spacing w:before="157" w:beforeLines="50" w:beforeAutospacing="0" w:after="0" w:afterAutospacing="0" w:line="360" w:lineRule="auto"/>
              <w:contextualSpacing/>
              <w:jc w:val="center"/>
              <w:textAlignment w:val="auto"/>
              <w:rPr>
                <w:rFonts w:eastAsia="宋体"/>
                <w:color w:val="auto"/>
                <w:sz w:val="21"/>
                <w:szCs w:val="21"/>
                <w:highlight w:val="none"/>
                <w14:shadow w14:blurRad="0" w14:dist="0" w14:dir="0" w14:sx="0" w14:sy="0" w14:kx="0" w14:ky="0" w14:algn="none">
                  <w14:srgbClr w14:val="000000"/>
                </w14:shadow>
              </w:rPr>
            </w:pPr>
            <w:r>
              <w:rPr>
                <w:rFonts w:hint="eastAsia" w:eastAsia="宋体"/>
                <w:color w:val="auto"/>
                <w:sz w:val="21"/>
                <w:szCs w:val="21"/>
                <w:highlight w:val="none"/>
                <w14:shadow w14:blurRad="0" w14:dist="0" w14:dir="0" w14:sx="0" w14:sy="0" w14:kx="0" w14:ky="0" w14:algn="none">
                  <w14:srgbClr w14:val="000000"/>
                </w14:shadow>
              </w:rPr>
              <w:t>评分规则及说明</w:t>
            </w:r>
          </w:p>
        </w:tc>
        <w:tc>
          <w:tcPr>
            <w:tcW w:w="709"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157" w:beforeLines="50" w:beforeAutospacing="0" w:after="0" w:afterAutospacing="0" w:line="360" w:lineRule="auto"/>
              <w:contextualSpacing/>
              <w:jc w:val="center"/>
              <w:textAlignment w:val="auto"/>
              <w:rPr>
                <w:rFonts w:eastAsia="宋体"/>
                <w:color w:val="auto"/>
                <w:sz w:val="21"/>
                <w:szCs w:val="21"/>
                <w:highlight w:val="none"/>
                <w14:shadow w14:blurRad="0" w14:dist="0" w14:dir="0" w14:sx="0" w14:sy="0" w14:kx="0" w14:ky="0" w14:algn="none">
                  <w14:srgbClr w14:val="000000"/>
                </w14:shadow>
              </w:rPr>
            </w:pPr>
            <w:r>
              <w:rPr>
                <w:rFonts w:hint="eastAsia" w:eastAsia="宋体"/>
                <w:color w:val="auto"/>
                <w:sz w:val="21"/>
                <w:szCs w:val="21"/>
                <w:highlight w:val="none"/>
                <w14:shadow w14:blurRad="0" w14:dist="0" w14:dir="0" w14:sx="0" w14:sy="0" w14:kx="0" w14:ky="0" w14:algn="none">
                  <w14:srgbClr w14:val="000000"/>
                </w14:shadow>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val="0"/>
              <w:spacing w:line="336" w:lineRule="auto"/>
              <w:contextualSpacing/>
              <w:jc w:val="center"/>
              <w:textAlignment w:val="auto"/>
              <w:rPr>
                <w:rFonts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价格</w:t>
            </w:r>
          </w:p>
        </w:tc>
        <w:tc>
          <w:tcPr>
            <w:tcW w:w="953"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jc w:val="center"/>
              <w:textAlignment w:val="auto"/>
              <w:rPr>
                <w:rFonts w:hint="default"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30分</w:t>
            </w: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4" w:lineRule="auto"/>
              <w:contextualSpacing/>
              <w:textAlignment w:val="auto"/>
              <w:rPr>
                <w:rFonts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满足询比文件要求且报价最低的供应商的价格为基准价。</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报价得分=（基准价/供应商报价）×30</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(扣减分值中间值用插入法,小数点后保留两位)。</w:t>
            </w:r>
          </w:p>
        </w:tc>
        <w:tc>
          <w:tcPr>
            <w:tcW w:w="709"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textAlignment w:val="auto"/>
              <w:rPr>
                <w:rFonts w:eastAsia="宋体"/>
                <w:color w:val="auto"/>
                <w:sz w:val="21"/>
                <w:szCs w:val="21"/>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jc w:val="center"/>
              <w:textAlignment w:val="auto"/>
              <w:rPr>
                <w:rFonts w:hint="default"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产品来源渠道</w:t>
            </w:r>
          </w:p>
        </w:tc>
        <w:tc>
          <w:tcPr>
            <w:tcW w:w="953" w:type="dxa"/>
            <w:tcBorders>
              <w:top w:val="single" w:color="auto" w:sz="4" w:space="0"/>
              <w:left w:val="nil"/>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default"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20分</w:t>
            </w:r>
          </w:p>
        </w:tc>
        <w:tc>
          <w:tcPr>
            <w:tcW w:w="6985" w:type="dxa"/>
            <w:tcBorders>
              <w:top w:val="single" w:color="auto" w:sz="4" w:space="0"/>
              <w:left w:val="nil"/>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供应商提供完整有效的供货来源渠道证明材料，如厂家授权、质量检验报告，营业执照、相关许可证，合作协议及双方对安全和质量保证的强有力的合作声明及相关的法律责任等；</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第一档（20分）：所供产品质量要求完全满足釆购要求，产品来源明确、 相关证明资料齐全，描述清晰、完整的；</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第二档（17分）：所供产品质量要求满足釆购要求，产品来源明确、 相关证明资料齐全；</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第三档（14分）所供产品质量要求满足釆购要求，所投产品来源基本明确，相关证明资料基本齐全；</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第四档（9分）所供产品质量要求满足釆购要求，所投产品来源不明确，相关证明资料不齐全；</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第五档(4分）所投产品技术要求基本满足釆购要求，未提供相关证明资料或证明资料缺失较多；</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未提供产品来源渠道的不得分。</w:t>
            </w:r>
          </w:p>
        </w:tc>
        <w:tc>
          <w:tcPr>
            <w:tcW w:w="709"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textAlignment w:val="auto"/>
              <w:rPr>
                <w:rFonts w:eastAsia="宋体"/>
                <w:color w:val="auto"/>
                <w:sz w:val="21"/>
                <w:szCs w:val="21"/>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val="0"/>
              <w:spacing w:line="336" w:lineRule="auto"/>
              <w:contextualSpacing/>
              <w:jc w:val="center"/>
              <w:textAlignment w:val="auto"/>
              <w:rPr>
                <w:rFonts w:hint="default"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hAnsi="宋体" w:eastAsia="宋体" w:cs="宋体"/>
                <w:color w:val="auto"/>
                <w:kern w:val="2"/>
                <w:sz w:val="21"/>
                <w:szCs w:val="22"/>
                <w:highlight w:val="none"/>
                <w:lang w:val="en-US" w:eastAsia="zh-CN" w:bidi="ar-SA"/>
                <w14:shadow w14:blurRad="0" w14:dist="0" w14:dir="0" w14:sx="0" w14:sy="0" w14:kx="0" w14:ky="0" w14:algn="none">
                  <w14:srgbClr w14:val="000000"/>
                </w14:shadow>
              </w:rPr>
              <w:t>质量承诺与保障措施</w:t>
            </w:r>
          </w:p>
        </w:tc>
        <w:tc>
          <w:tcPr>
            <w:tcW w:w="953"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jc w:val="center"/>
              <w:textAlignment w:val="auto"/>
              <w:rPr>
                <w:rFonts w:hint="default"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eastAsia="宋体" w:cs="宋体"/>
                <w:color w:val="auto"/>
                <w:kern w:val="2"/>
                <w:sz w:val="21"/>
                <w:szCs w:val="22"/>
                <w:highlight w:val="none"/>
                <w:lang w:val="en-US" w:eastAsia="zh-CN" w:bidi="ar-SA"/>
                <w14:shadow w14:blurRad="0" w14:dist="0" w14:dir="0" w14:sx="0" w14:sy="0" w14:kx="0" w14:ky="0" w14:algn="none">
                  <w14:srgbClr w14:val="000000"/>
                </w14:shadow>
              </w:rPr>
              <w:t>15分</w:t>
            </w:r>
          </w:p>
        </w:tc>
        <w:tc>
          <w:tcPr>
            <w:tcW w:w="6985" w:type="dxa"/>
            <w:tcBorders>
              <w:top w:val="single" w:color="auto" w:sz="4" w:space="0"/>
              <w:left w:val="nil"/>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第一档（15分）：质量承诺内容详细、具体、科学、合理可行，针对性强，对产品质量有具体、详细、针对性较强的保证措施及处罚措施的；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第二档（12分）：质量承诺内容完整、具体、有一定的针对性，对产品质量有具体、详细的保证措施及处罚措施的；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第三档（9分）：质量承诺内容基本完整、有一定的针对性，对产品质量有简单的保证措施及处罚措施的；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第四档（4分）：质量承诺内容粗略、不具体，有一定的针对性，对产品质量有保证措施及处罚措施的；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default"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无</w:t>
            </w:r>
            <w:r>
              <w:rPr>
                <w:rFonts w:hint="eastAsia" w:hAnsi="宋体" w:eastAsia="宋体" w:cs="宋体"/>
                <w:color w:val="auto"/>
                <w:kern w:val="2"/>
                <w:sz w:val="21"/>
                <w:szCs w:val="22"/>
                <w:highlight w:val="none"/>
                <w:lang w:val="en-US" w:eastAsia="zh-CN" w:bidi="ar-SA"/>
                <w14:shadow w14:blurRad="0" w14:dist="0" w14:dir="0" w14:sx="0" w14:sy="0" w14:kx="0" w14:ky="0" w14:algn="none">
                  <w14:srgbClr w14:val="000000"/>
                </w14:shadow>
              </w:rPr>
              <w:t>质量承诺与保障措施不得分。</w:t>
            </w:r>
          </w:p>
        </w:tc>
        <w:tc>
          <w:tcPr>
            <w:tcW w:w="709"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textAlignment w:val="auto"/>
              <w:rPr>
                <w:rFonts w:eastAsia="宋体"/>
                <w:color w:val="auto"/>
                <w:sz w:val="21"/>
                <w:szCs w:val="21"/>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val="0"/>
              <w:spacing w:line="336" w:lineRule="auto"/>
              <w:contextualSpacing/>
              <w:jc w:val="center"/>
              <w:textAlignment w:val="auto"/>
              <w:rPr>
                <w:rFonts w:hint="eastAsia"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hAnsi="宋体" w:eastAsia="宋体" w:cs="宋体"/>
                <w:color w:val="auto"/>
                <w:kern w:val="2"/>
                <w:sz w:val="21"/>
                <w:szCs w:val="22"/>
                <w:highlight w:val="none"/>
                <w:lang w:val="en-US" w:eastAsia="zh-CN" w:bidi="ar-SA"/>
                <w14:shadow w14:blurRad="0" w14:dist="0" w14:dir="0" w14:sx="0" w14:sy="0" w14:kx="0" w14:ky="0" w14:algn="none">
                  <w14:srgbClr w14:val="000000"/>
                </w14:shadow>
              </w:rPr>
              <w:t>配送方案</w:t>
            </w:r>
          </w:p>
        </w:tc>
        <w:tc>
          <w:tcPr>
            <w:tcW w:w="953"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jc w:val="center"/>
              <w:textAlignment w:val="auto"/>
              <w:rPr>
                <w:rFonts w:hint="default"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eastAsia="宋体" w:cs="宋体"/>
                <w:color w:val="auto"/>
                <w:kern w:val="2"/>
                <w:sz w:val="21"/>
                <w:szCs w:val="22"/>
                <w:highlight w:val="none"/>
                <w:lang w:val="en-US" w:eastAsia="zh-CN" w:bidi="ar-SA"/>
                <w14:shadow w14:blurRad="0" w14:dist="0" w14:dir="0" w14:sx="0" w14:sy="0" w14:kx="0" w14:ky="0" w14:algn="none">
                  <w14:srgbClr w14:val="000000"/>
                </w14:shadow>
              </w:rPr>
              <w:t>15分</w:t>
            </w:r>
          </w:p>
        </w:tc>
        <w:tc>
          <w:tcPr>
            <w:tcW w:w="6985" w:type="dxa"/>
            <w:tcBorders>
              <w:top w:val="single" w:color="auto" w:sz="4" w:space="0"/>
              <w:left w:val="nil"/>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一档（15分）：按照采购人的配送要求进行配送，具有专用仓库、专职的配送人员、专用的车辆、固定的物流链，人员持证上岗，车辆证件齐全，配送方案（产品供应方案、退换货方案）完善合理、具体可行、针对性强，并有具体保障措施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二档（12分）：按照采购人的配送要求进行配送，具有专用仓库、专职的配送人员、专用的车辆、固定的物流链，人员持证上岗，车辆证件齐全，配送方案（产品供应方案、退换货方案）基本合理、可行、有一定针对性的，并有具体保障措施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三档（9分）：基本能满足采购人的配送要求，具有专用仓库、专职的配送人员、专用的车辆、固定的物流链，人员持证上岗，车辆证件齐全，配送方案（产品供应方案、退换货方案）基本合理但缺乏针对性，配送服务保障措施不具体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四档（4分）：基本能满足采购人的配送要求，具有专用仓库、配送人员、车辆、固定的物流链，人员持证上岗，车辆证件齐全，配送方案（产品供应方案、退换货方案）基本合理性、针对性较差，无配送服务保障措施的。</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无配送方案不得分。</w:t>
            </w:r>
          </w:p>
        </w:tc>
        <w:tc>
          <w:tcPr>
            <w:tcW w:w="709"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textAlignment w:val="auto"/>
              <w:rPr>
                <w:rFonts w:eastAsia="宋体"/>
                <w:color w:val="auto"/>
                <w:sz w:val="21"/>
                <w:szCs w:val="21"/>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val="0"/>
              <w:spacing w:line="336" w:lineRule="auto"/>
              <w:contextualSpacing/>
              <w:jc w:val="center"/>
              <w:textAlignment w:val="auto"/>
              <w:rPr>
                <w:rFonts w:hint="default" w:ascii="宋体" w:hAnsi="宋体" w:eastAsia="宋体" w:cs="宋体"/>
                <w:color w:val="auto"/>
                <w:sz w:val="24"/>
                <w:highlight w:val="none"/>
                <w:lang w:val="en-US" w:eastAsia="zh-CN"/>
              </w:rPr>
            </w:pPr>
            <w:r>
              <w:rPr>
                <w:rFonts w:hint="eastAsia" w:hAnsi="宋体" w:eastAsia="宋体" w:cs="宋体"/>
                <w:color w:val="auto"/>
                <w:kern w:val="2"/>
                <w:sz w:val="21"/>
                <w:szCs w:val="22"/>
                <w:highlight w:val="none"/>
                <w:lang w:val="en-US" w:eastAsia="zh-CN" w:bidi="ar-SA"/>
                <w14:shadow w14:blurRad="0" w14:dist="0" w14:dir="0" w14:sx="0" w14:sy="0" w14:kx="0" w14:ky="0" w14:algn="none">
                  <w14:srgbClr w14:val="000000"/>
                </w14:shadow>
              </w:rPr>
              <w:t>售后服务</w:t>
            </w:r>
          </w:p>
        </w:tc>
        <w:tc>
          <w:tcPr>
            <w:tcW w:w="953"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jc w:val="center"/>
              <w:textAlignment w:val="auto"/>
              <w:rPr>
                <w:rFonts w:hint="default"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eastAsia="宋体" w:cs="宋体"/>
                <w:color w:val="auto"/>
                <w:kern w:val="2"/>
                <w:sz w:val="21"/>
                <w:szCs w:val="22"/>
                <w:highlight w:val="none"/>
                <w:lang w:val="en-US" w:eastAsia="zh-CN" w:bidi="ar-SA"/>
                <w14:shadow w14:blurRad="0" w14:dist="0" w14:dir="0" w14:sx="0" w14:sy="0" w14:kx="0" w14:ky="0" w14:algn="none">
                  <w14:srgbClr w14:val="000000"/>
                </w14:shadow>
              </w:rPr>
              <w:t>10分</w:t>
            </w:r>
          </w:p>
        </w:tc>
        <w:tc>
          <w:tcPr>
            <w:tcW w:w="6985" w:type="dxa"/>
            <w:tcBorders>
              <w:top w:val="single" w:color="auto" w:sz="4" w:space="0"/>
              <w:left w:val="nil"/>
              <w:bottom w:val="single" w:color="auto" w:sz="4" w:space="0"/>
              <w:right w:val="single" w:color="auto" w:sz="4" w:space="0"/>
            </w:tcBorders>
            <w:vAlign w:val="center"/>
          </w:tcPr>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第一档（10分）：售后服务方案标准规范、完善、具体，服务机构、服务人员详细，能切实解决使用过程中可能发生的问题，承诺详细具体、合理可行、保障措施具体完善，有相应的处罚措施；</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第二档（7分）：售后服务方案标准规范、完善、具体，有服务机构、服务人员，能解决使用过程中可能发生的问题，承诺合理、保障措施具体的，有相应的处罚措施；</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第三档（3分）：售后服务方案简单，有服务机构、服务人员，基本能解决使用过程中可能发生的问题，但承诺粗略、保障措施基本可行，有处罚措施但不具体或无相应处罚措施；</w:t>
            </w:r>
          </w:p>
          <w:p>
            <w:pPr>
              <w:pStyle w:val="10"/>
              <w:keepNext w:val="0"/>
              <w:keepLines w:val="0"/>
              <w:pageBreakBefore w:val="0"/>
              <w:kinsoku/>
              <w:wordWrap/>
              <w:overflowPunct/>
              <w:topLinePunct w:val="0"/>
              <w:autoSpaceDE/>
              <w:autoSpaceDN/>
              <w:bidi w:val="0"/>
              <w:adjustRightInd/>
              <w:snapToGrid w:val="0"/>
              <w:spacing w:before="0" w:beforeAutospacing="0" w:after="0" w:afterAutospacing="0" w:line="324" w:lineRule="auto"/>
              <w:contextualSpacing/>
              <w:textAlignment w:val="auto"/>
              <w:rPr>
                <w:rFonts w:hint="default"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pPr>
            <w:r>
              <w:rPr>
                <w:rFonts w:hint="eastAsia" w:ascii="宋体" w:hAnsi="宋体" w:eastAsia="宋体" w:cs="宋体"/>
                <w:color w:val="auto"/>
                <w:kern w:val="2"/>
                <w:sz w:val="21"/>
                <w:szCs w:val="22"/>
                <w:highlight w:val="none"/>
                <w:lang w:val="en-US" w:eastAsia="zh-CN" w:bidi="ar-SA"/>
                <w14:shadow w14:blurRad="0" w14:dist="0" w14:dir="0" w14:sx="0" w14:sy="0" w14:kx="0" w14:ky="0" w14:algn="none">
                  <w14:srgbClr w14:val="000000"/>
                </w14:shadow>
              </w:rPr>
              <w:t>无售后服务不得分。</w:t>
            </w:r>
          </w:p>
        </w:tc>
        <w:tc>
          <w:tcPr>
            <w:tcW w:w="709"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textAlignment w:val="auto"/>
              <w:rPr>
                <w:rFonts w:eastAsia="宋体"/>
                <w:color w:val="auto"/>
                <w:sz w:val="21"/>
                <w:szCs w:val="21"/>
                <w:highlight w:val="none"/>
                <w14:shadow w14:blurRad="0" w14:dist="0" w14:dir="0" w14:sx="0" w14:sy="0" w14:kx="0" w14:ky="0" w14:algn="none">
                  <w14:srgbClr w14:val="000000"/>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val="0"/>
              <w:spacing w:line="336" w:lineRule="auto"/>
              <w:contextualSpacing/>
              <w:jc w:val="center"/>
              <w:textAlignment w:val="auto"/>
              <w:rPr>
                <w:rFonts w:hAnsi="宋体" w:eastAsia="宋体" w:cs="宋体"/>
                <w:color w:val="auto"/>
                <w:kern w:val="2"/>
                <w:sz w:val="21"/>
                <w:highlight w:val="none"/>
                <w14:shadow w14:blurRad="0" w14:dist="0" w14:dir="0" w14:sx="0" w14:sy="0" w14:kx="0" w14:ky="0" w14:algn="none">
                  <w14:srgbClr w14:val="000000"/>
                </w14:shadow>
              </w:rPr>
            </w:pPr>
            <w:r>
              <w:rPr>
                <w:rFonts w:hint="eastAsia" w:hAnsi="宋体" w:eastAsia="宋体" w:cs="宋体"/>
                <w:color w:val="auto"/>
                <w:kern w:val="2"/>
                <w:sz w:val="21"/>
                <w:highlight w:val="none"/>
                <w14:shadow w14:blurRad="0" w14:dist="0" w14:dir="0" w14:sx="0" w14:sy="0" w14:kx="0" w14:ky="0" w14:algn="none">
                  <w14:srgbClr w14:val="000000"/>
                </w14:shadow>
              </w:rPr>
              <w:t>业绩</w:t>
            </w:r>
          </w:p>
        </w:tc>
        <w:tc>
          <w:tcPr>
            <w:tcW w:w="953"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jc w:val="center"/>
              <w:textAlignment w:val="auto"/>
              <w:rPr>
                <w:rFonts w:hint="eastAsia" w:eastAsia="宋体"/>
                <w:color w:val="auto"/>
                <w:sz w:val="21"/>
                <w:szCs w:val="21"/>
                <w:highlight w:val="none"/>
                <w:lang w:val="en-US" w:eastAsia="zh-CN"/>
                <w14:shadow w14:blurRad="0" w14:dist="0" w14:dir="0" w14:sx="0" w14:sy="0" w14:kx="0" w14:ky="0" w14:algn="none">
                  <w14:srgbClr w14:val="000000"/>
                </w14:shadow>
              </w:rPr>
            </w:pPr>
            <w:r>
              <w:rPr>
                <w:rFonts w:hint="eastAsia" w:eastAsia="宋体"/>
                <w:color w:val="auto"/>
                <w:sz w:val="21"/>
                <w:szCs w:val="21"/>
                <w:highlight w:val="none"/>
                <w:lang w:val="en-US" w:eastAsia="zh-CN"/>
                <w14:shadow w14:blurRad="0" w14:dist="0" w14:dir="0" w14:sx="0" w14:sy="0" w14:kx="0" w14:ky="0" w14:algn="none">
                  <w14:srgbClr w14:val="000000"/>
                </w14:shadow>
              </w:rPr>
              <w:t>10分</w:t>
            </w:r>
          </w:p>
        </w:tc>
        <w:tc>
          <w:tcPr>
            <w:tcW w:w="69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24" w:lineRule="auto"/>
              <w:contextualSpacing/>
              <w:jc w:val="left"/>
              <w:textAlignment w:val="auto"/>
              <w:rPr>
                <w:rFonts w:ascii="宋体" w:hAnsi="宋体" w:eastAsia="宋体" w:cs="宋体"/>
                <w:color w:val="auto"/>
                <w:szCs w:val="21"/>
                <w:highlight w:val="none"/>
                <w:shd w:val="clear" w:color="auto" w:fill="FFFFFF"/>
                <w14:shadow w14:blurRad="0" w14:dist="0" w14:dir="0" w14:sx="0" w14:sy="0" w14:kx="0" w14:ky="0" w14:algn="none">
                  <w14:srgbClr w14:val="000000"/>
                </w14:shadow>
              </w:rPr>
            </w:pPr>
            <w:r>
              <w:rPr>
                <w:rFonts w:hint="eastAsia" w:ascii="宋体" w:hAnsi="宋体" w:eastAsia="宋体" w:cs="宋体"/>
                <w:color w:val="auto"/>
                <w:highlight w:val="none"/>
                <w:shd w:val="clear" w:color="auto" w:fill="FFFFFF"/>
                <w14:shadow w14:blurRad="0" w14:dist="0" w14:dir="0" w14:sx="0" w14:sy="0" w14:kx="0" w14:ky="0" w14:algn="none">
                  <w14:srgbClr w14:val="000000"/>
                </w14:shadow>
              </w:rPr>
              <w:t>提供类似</w:t>
            </w:r>
            <w:r>
              <w:rPr>
                <w:rFonts w:hint="eastAsia" w:ascii="宋体" w:hAnsi="宋体" w:eastAsia="宋体" w:cs="宋体"/>
                <w:color w:val="auto"/>
                <w:highlight w:val="none"/>
                <w:shd w:val="clear" w:color="auto" w:fill="FFFFFF"/>
                <w:lang w:val="en-US" w:eastAsia="zh-CN"/>
                <w14:shadow w14:blurRad="0" w14:dist="0" w14:dir="0" w14:sx="0" w14:sy="0" w14:kx="0" w14:ky="0" w14:algn="none">
                  <w14:srgbClr w14:val="000000"/>
                </w14:shadow>
              </w:rPr>
              <w:t>项目</w:t>
            </w:r>
            <w:r>
              <w:rPr>
                <w:rFonts w:hint="eastAsia" w:ascii="宋体" w:hAnsi="宋体" w:eastAsia="宋体" w:cs="宋体"/>
                <w:color w:val="auto"/>
                <w:highlight w:val="none"/>
                <w:shd w:val="clear" w:color="auto" w:fill="FFFFFF"/>
                <w14:shadow w14:blurRad="0" w14:dist="0" w14:dir="0" w14:sx="0" w14:sy="0" w14:kx="0" w14:ky="0" w14:algn="none">
                  <w14:srgbClr w14:val="000000"/>
                </w14:shadow>
              </w:rPr>
              <w:t>业绩，每提供一个得</w:t>
            </w:r>
            <w:r>
              <w:rPr>
                <w:rFonts w:hint="eastAsia" w:ascii="宋体" w:hAnsi="宋体" w:eastAsia="宋体" w:cs="宋体"/>
                <w:color w:val="auto"/>
                <w:highlight w:val="none"/>
                <w:shd w:val="clear" w:color="auto" w:fill="FFFFFF"/>
                <w:lang w:val="en-US" w:eastAsia="zh-CN"/>
                <w14:shadow w14:blurRad="0" w14:dist="0" w14:dir="0" w14:sx="0" w14:sy="0" w14:kx="0" w14:ky="0" w14:algn="none">
                  <w14:srgbClr w14:val="000000"/>
                </w14:shadow>
              </w:rPr>
              <w:t>2</w:t>
            </w:r>
            <w:r>
              <w:rPr>
                <w:rFonts w:hint="eastAsia" w:ascii="宋体" w:hAnsi="宋体" w:eastAsia="宋体" w:cs="宋体"/>
                <w:color w:val="auto"/>
                <w:highlight w:val="none"/>
                <w:shd w:val="clear" w:color="auto" w:fill="FFFFFF"/>
                <w14:shadow w14:blurRad="0" w14:dist="0" w14:dir="0" w14:sx="0" w14:sy="0" w14:kx="0" w14:ky="0" w14:algn="none">
                  <w14:srgbClr w14:val="000000"/>
                </w14:shadow>
              </w:rPr>
              <w:t>分，满分为</w:t>
            </w:r>
            <w:r>
              <w:rPr>
                <w:rFonts w:hint="eastAsia" w:ascii="宋体" w:hAnsi="宋体" w:eastAsia="宋体" w:cs="宋体"/>
                <w:color w:val="auto"/>
                <w:highlight w:val="none"/>
                <w:shd w:val="clear" w:color="auto" w:fill="FFFFFF"/>
                <w:lang w:val="en-US" w:eastAsia="zh-CN"/>
                <w14:shadow w14:blurRad="0" w14:dist="0" w14:dir="0" w14:sx="0" w14:sy="0" w14:kx="0" w14:ky="0" w14:algn="none">
                  <w14:srgbClr w14:val="000000"/>
                </w14:shadow>
              </w:rPr>
              <w:t>10</w:t>
            </w:r>
            <w:r>
              <w:rPr>
                <w:rFonts w:hint="eastAsia" w:ascii="宋体" w:hAnsi="宋体" w:eastAsia="宋体" w:cs="宋体"/>
                <w:color w:val="auto"/>
                <w:highlight w:val="none"/>
                <w:shd w:val="clear" w:color="auto" w:fill="FFFFFF"/>
                <w14:shadow w14:blurRad="0" w14:dist="0" w14:dir="0" w14:sx="0" w14:sy="0" w14:kx="0" w14:ky="0" w14:algn="none">
                  <w14:srgbClr w14:val="000000"/>
                </w14:shadow>
              </w:rPr>
              <w:t>分；</w:t>
            </w:r>
          </w:p>
          <w:p>
            <w:pPr>
              <w:keepNext w:val="0"/>
              <w:keepLines w:val="0"/>
              <w:pageBreakBefore w:val="0"/>
              <w:kinsoku/>
              <w:wordWrap/>
              <w:overflowPunct/>
              <w:topLinePunct w:val="0"/>
              <w:autoSpaceDE/>
              <w:autoSpaceDN/>
              <w:bidi w:val="0"/>
              <w:adjustRightInd/>
              <w:snapToGrid w:val="0"/>
              <w:spacing w:line="324" w:lineRule="auto"/>
              <w:contextualSpacing/>
              <w:jc w:val="left"/>
              <w:textAlignment w:val="auto"/>
              <w:rPr>
                <w:rFonts w:ascii="宋体" w:hAnsi="宋体" w:eastAsia="宋体" w:cs="宋体"/>
                <w:color w:val="auto"/>
                <w:highlight w:val="none"/>
                <w:shd w:val="clear" w:color="auto" w:fill="FFFFFF"/>
                <w14:shadow w14:blurRad="0" w14:dist="0" w14:dir="0" w14:sx="0" w14:sy="0" w14:kx="0" w14:ky="0" w14:algn="none">
                  <w14:srgbClr w14:val="000000"/>
                </w14:shadow>
              </w:rPr>
            </w:pPr>
            <w:r>
              <w:rPr>
                <w:rFonts w:hint="eastAsia" w:ascii="宋体" w:hAnsi="宋体" w:eastAsia="宋体" w:cs="宋体"/>
                <w:color w:val="auto"/>
                <w:highlight w:val="none"/>
                <w:shd w:val="clear" w:color="auto" w:fill="FFFFFF"/>
                <w14:shadow w14:blurRad="0" w14:dist="0" w14:dir="0" w14:sx="0" w14:sy="0" w14:kx="0" w14:ky="0" w14:algn="none">
                  <w14:srgbClr w14:val="000000"/>
                </w14:shadow>
              </w:rPr>
              <w:t>注：响应文件需附成交通知书或合同书扫描件，否则不得分。</w:t>
            </w:r>
          </w:p>
        </w:tc>
        <w:tc>
          <w:tcPr>
            <w:tcW w:w="709"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val="0"/>
              <w:spacing w:before="0" w:beforeAutospacing="0" w:after="0" w:afterAutospacing="0" w:line="336" w:lineRule="auto"/>
              <w:contextualSpacing/>
              <w:textAlignment w:val="auto"/>
              <w:rPr>
                <w:rFonts w:eastAsia="宋体"/>
                <w:color w:val="auto"/>
                <w:sz w:val="21"/>
                <w:szCs w:val="21"/>
                <w:highlight w:val="none"/>
                <w14:shadow w14:blurRad="0" w14:dist="0" w14:dir="0" w14:sx="0" w14:sy="0" w14:kx="0" w14:ky="0" w14:algn="none">
                  <w14:srgbClr w14:val="000000"/>
                </w14:shadow>
              </w:rPr>
            </w:pP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5E73618F"/>
    <w:rsid w:val="08C03E77"/>
    <w:rsid w:val="1D4D3F65"/>
    <w:rsid w:val="25333452"/>
    <w:rsid w:val="2A10423A"/>
    <w:rsid w:val="47235C4E"/>
    <w:rsid w:val="4AF555F3"/>
    <w:rsid w:val="53640FD4"/>
    <w:rsid w:val="54825CC6"/>
    <w:rsid w:val="5E73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rPr>
  </w:style>
  <w:style w:type="paragraph" w:styleId="4">
    <w:name w:val="Plain Text"/>
    <w:basedOn w:val="1"/>
    <w:qFormat/>
    <w:uiPriority w:val="99"/>
    <w:rPr>
      <w:rFonts w:ascii="宋体" w:hAnsi="Courier New"/>
      <w:kern w:val="0"/>
      <w:sz w:val="20"/>
      <w:szCs w:val="21"/>
      <w:lang w:val="zh-CN"/>
    </w:rPr>
  </w:style>
  <w:style w:type="paragraph" w:styleId="5">
    <w:name w:val="Body Text Indent 2"/>
    <w:basedOn w:val="1"/>
    <w:qFormat/>
    <w:uiPriority w:val="0"/>
    <w:pPr>
      <w:spacing w:after="120" w:line="480" w:lineRule="auto"/>
      <w:ind w:left="420" w:leftChars="200"/>
    </w:pPr>
    <w:rPr>
      <w:rFonts w:ascii="Times New Roman" w:hAnsi="Times New Roman"/>
      <w:lang w:val="zh-CN"/>
    </w:rPr>
  </w:style>
  <w:style w:type="paragraph" w:customStyle="1" w:styleId="8">
    <w:name w:val="msoplaintext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msoplaintextcxspla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msonormal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msonormalcxsplast"/>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2024-02-26T08:08:00Z</dcterms:created>
  <dc:creator>WPS_1529111518</dc:creator>
  <cp:lastModifiedBy>WPS_1529111518</cp:lastModifiedBy>
  <dcterms:modified xsi:type="dcterms:W3CDTF">2024-02-26T08:09:48Z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9AADFE2EF1494B7C8FC539BC40B5B9B8_11</vt:lpwstr>
  </property>
</Properties>
</file>