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宋体" w:hAnsi="宋体" w:cs="宋体"/>
          <w:b/>
          <w:bCs/>
          <w:color w:val="auto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8"/>
          <w:highlight w:val="none"/>
        </w:rPr>
        <w:t>评审标准</w:t>
      </w:r>
    </w:p>
    <w:p>
      <w:pPr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0" w:name="_GoBack"/>
      <w:bookmarkEnd w:id="0"/>
    </w:p>
    <w:tbl>
      <w:tblPr>
        <w:tblStyle w:val="4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91"/>
        <w:gridCol w:w="1700"/>
        <w:gridCol w:w="4273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2166" w:type="dxa"/>
            <w:gridSpan w:val="2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条款号</w:t>
            </w:r>
          </w:p>
        </w:tc>
        <w:tc>
          <w:tcPr>
            <w:tcW w:w="1700" w:type="dxa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评审因素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分值构成（100）</w:t>
            </w:r>
          </w:p>
        </w:tc>
        <w:tc>
          <w:tcPr>
            <w:tcW w:w="709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技术部分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2.1</w:t>
            </w:r>
          </w:p>
        </w:tc>
        <w:tc>
          <w:tcPr>
            <w:tcW w:w="13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评分标准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092" w:type="dxa"/>
            <w:gridSpan w:val="3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满足磋商文件要求且最后报价最低的供应商报价为磋商基准价，其报价得分为满分。其他供应商的价格得分统一按照下列公式计算：磋商报价得分=(磋商基准价／最后磋商报价)×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（小数点后保留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restart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2.2</w:t>
            </w:r>
          </w:p>
        </w:tc>
        <w:tc>
          <w:tcPr>
            <w:tcW w:w="139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技术部分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审查内容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施工方案与技术措施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质量管理体系与措施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安全管理体系与措施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文明施工、环境保护管理体系及施工现场扬尘治理措施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工程进度计划与措施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拟投入资源配备计划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施工进度表或施工网络图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新工艺、新技术、新设备、新材料的采用程度，其在确保质量、降低成本、缩短工期、减轻劳动强度、提高工效等方面的作用。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在节能减排、绿色施工、工艺创新方面，具体措施落实可行。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848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备注：以上项目若有缺项或不能满足施工要求或与该工程要求不相符，该项为0分；得分=所有评委计分后算术平均值。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5" w:type="dxa"/>
            <w:vMerge w:val="restart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.3</w:t>
            </w:r>
          </w:p>
        </w:tc>
        <w:tc>
          <w:tcPr>
            <w:tcW w:w="1391" w:type="dxa"/>
            <w:vMerge w:val="restart"/>
            <w:noWrap/>
            <w:vAlign w:val="center"/>
          </w:tcPr>
          <w:p>
            <w:pPr>
              <w:pageBreakBefore w:val="0"/>
              <w:kinsoku/>
              <w:bidi w:val="0"/>
              <w:spacing w:beforeAutospacing="0" w:afterAutospacing="0" w:line="240" w:lineRule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综合标评标分值（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1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业绩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年1月1日以来企业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签订的类似业绩每个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得2分，最多得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注：以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合同签订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时间为准，响应性文件附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合同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pageBreakBefore w:val="0"/>
              <w:kinsoku/>
              <w:bidi w:val="0"/>
              <w:spacing w:beforeAutospacing="0" w:afterAutospacing="0" w:line="240" w:lineRule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优惠条件的承诺（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392" w:type="dxa"/>
            <w:gridSpan w:val="2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优惠承诺应是书面的符合工程实际情况，确保依法依规，优惠合理，详实可行。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根据各供应商优惠条件承诺综合评比、比较后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优惠合理，详实可行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服务承诺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、服务承诺目标明确、具体、可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，0～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、供应商在项目实施完成后所承诺的责任、服务内容；0～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、保证不拖欠农民工工资的承诺；0～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215"/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注：供应商最后得分=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报价部分得分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+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技术部分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得分+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综合部分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得分。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Mzk1ZTkzNWU3ZTQzOWU4ZjMxMTFjNGEwNTg5NjQifQ=="/>
  </w:docVars>
  <w:rsids>
    <w:rsidRoot w:val="671876BC"/>
    <w:rsid w:val="6718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700" w:lineRule="exact"/>
      <w:ind w:left="960"/>
    </w:pPr>
    <w:rPr>
      <w:sz w:val="44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6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2024-03-11T08:45:00Z</dcterms:created>
  <dc:creator>救赎</dc:creator>
  <cp:lastModifiedBy>救赎</cp:lastModifiedBy>
  <dcterms:modified xsi:type="dcterms:W3CDTF">2024-03-11T08:46:51Z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400EBF639EC746C6B1C8C958F4173393_11</vt:lpwstr>
  </property>
</Properties>
</file>