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rPr>
          <w:color w:val="auto"/>
          <w:highlight w:val="none"/>
        </w:rPr>
      </w:pPr>
      <w:r>
        <w:rPr>
          <w:color w:val="auto"/>
          <w:highlight w:val="none"/>
        </w:rPr>
        <w:t xml:space="preserve"> </w:t>
      </w:r>
    </w:p>
    <w:p>
      <w:pPr>
        <w:pStyle w:val="10"/>
        <w:spacing w:line="360" w:lineRule="auto"/>
        <w:rPr>
          <w:color w:val="auto"/>
          <w:highlight w:val="none"/>
        </w:rPr>
      </w:pPr>
    </w:p>
    <w:p>
      <w:pPr>
        <w:spacing w:line="360" w:lineRule="auto"/>
        <w:jc w:val="right"/>
        <w:rPr>
          <w:rFonts w:hint="eastAsia" w:ascii="宋体" w:hAnsi="宋体" w:eastAsia="宋体"/>
          <w:b/>
          <w:bCs/>
          <w:color w:val="auto"/>
          <w:sz w:val="36"/>
          <w:highlight w:val="none"/>
          <w:lang w:eastAsia="zh-CN"/>
        </w:rPr>
      </w:pPr>
      <w:r>
        <w:rPr>
          <w:rFonts w:hint="eastAsia" w:ascii="宋体" w:hAnsi="宋体"/>
          <w:b/>
          <w:bCs/>
          <w:color w:val="auto"/>
          <w:sz w:val="36"/>
          <w:highlight w:val="none"/>
          <w:lang w:eastAsia="zh-CN"/>
        </w:rPr>
        <w:t>YZLZDL-2024019号</w:t>
      </w:r>
    </w:p>
    <w:p>
      <w:pPr>
        <w:spacing w:line="360" w:lineRule="auto"/>
        <w:jc w:val="center"/>
        <w:rPr>
          <w:rFonts w:hint="eastAsia" w:ascii="宋体" w:hAnsi="宋体"/>
          <w:b/>
          <w:bCs/>
          <w:color w:val="auto"/>
          <w:sz w:val="36"/>
          <w:highlight w:val="none"/>
        </w:rPr>
      </w:pPr>
    </w:p>
    <w:p>
      <w:pPr>
        <w:spacing w:line="360" w:lineRule="auto"/>
        <w:jc w:val="center"/>
        <w:rPr>
          <w:rFonts w:hint="eastAsia" w:ascii="宋体" w:hAnsi="宋体"/>
          <w:b/>
          <w:bCs/>
          <w:color w:val="auto"/>
          <w:sz w:val="36"/>
          <w:highlight w:val="none"/>
          <w:lang w:eastAsia="zh-CN"/>
        </w:rPr>
      </w:pPr>
      <w:r>
        <w:rPr>
          <w:rFonts w:hint="eastAsia" w:ascii="宋体" w:hAnsi="宋体"/>
          <w:b/>
          <w:bCs/>
          <w:color w:val="auto"/>
          <w:sz w:val="36"/>
          <w:highlight w:val="none"/>
          <w:lang w:eastAsia="zh-CN"/>
        </w:rPr>
        <w:t>扬州市长江运河管理处信息化运维服务项目</w:t>
      </w:r>
    </w:p>
    <w:p>
      <w:pPr>
        <w:spacing w:line="360" w:lineRule="auto"/>
        <w:jc w:val="center"/>
        <w:rPr>
          <w:rFonts w:hint="eastAsia" w:ascii="宋体" w:hAnsi="宋体"/>
          <w:b/>
          <w:bCs/>
          <w:color w:val="auto"/>
          <w:sz w:val="36"/>
          <w:highlight w:val="none"/>
        </w:rPr>
      </w:pPr>
      <w:r>
        <w:rPr>
          <w:rFonts w:hint="eastAsia" w:ascii="宋体" w:hAnsi="宋体"/>
          <w:b/>
          <w:bCs/>
          <w:color w:val="auto"/>
          <w:sz w:val="36"/>
          <w:highlight w:val="none"/>
        </w:rPr>
        <w:t>谈判文件</w:t>
      </w:r>
    </w:p>
    <w:p>
      <w:pPr>
        <w:spacing w:line="360" w:lineRule="auto"/>
        <w:jc w:val="center"/>
        <w:rPr>
          <w:rFonts w:hint="eastAsia" w:ascii="宋体" w:hAnsi="宋体"/>
          <w:color w:val="auto"/>
          <w:sz w:val="36"/>
          <w:highlight w:val="none"/>
        </w:rPr>
      </w:pPr>
    </w:p>
    <w:p>
      <w:pPr>
        <w:pStyle w:val="10"/>
        <w:spacing w:line="360" w:lineRule="auto"/>
        <w:rPr>
          <w:color w:val="auto"/>
          <w:highlight w:val="none"/>
        </w:rPr>
      </w:pPr>
    </w:p>
    <w:p>
      <w:pPr>
        <w:spacing w:line="360" w:lineRule="auto"/>
        <w:jc w:val="center"/>
        <w:rPr>
          <w:rFonts w:ascii="宋体" w:hAnsi="宋体"/>
          <w:color w:val="auto"/>
          <w:sz w:val="36"/>
          <w:highlight w:val="none"/>
        </w:rPr>
      </w:pPr>
      <w:r>
        <w:rPr>
          <w:rFonts w:ascii="宋体" w:hAnsi="宋体" w:cs="宋体"/>
          <w:color w:val="auto"/>
          <w:sz w:val="24"/>
          <w:szCs w:val="24"/>
          <w:highlight w:val="none"/>
        </w:rPr>
        <w:drawing>
          <wp:inline distT="0" distB="0" distL="114300" distR="114300">
            <wp:extent cx="5207000" cy="3474720"/>
            <wp:effectExtent l="0" t="0" r="12700"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a:stretch>
                      <a:fillRect/>
                    </a:stretch>
                  </pic:blipFill>
                  <pic:spPr>
                    <a:xfrm>
                      <a:off x="0" y="0"/>
                      <a:ext cx="5207000" cy="3474720"/>
                    </a:xfrm>
                    <a:prstGeom prst="rect">
                      <a:avLst/>
                    </a:prstGeom>
                    <a:noFill/>
                    <a:ln>
                      <a:noFill/>
                    </a:ln>
                  </pic:spPr>
                </pic:pic>
              </a:graphicData>
            </a:graphic>
          </wp:inline>
        </w:drawing>
      </w:r>
    </w:p>
    <w:p>
      <w:pPr>
        <w:spacing w:line="360" w:lineRule="auto"/>
        <w:jc w:val="center"/>
        <w:rPr>
          <w:rFonts w:ascii="宋体" w:hAnsi="宋体"/>
          <w:color w:val="auto"/>
          <w:sz w:val="36"/>
          <w:highlight w:val="none"/>
        </w:rPr>
      </w:pPr>
    </w:p>
    <w:p>
      <w:pPr>
        <w:spacing w:line="360" w:lineRule="auto"/>
        <w:jc w:val="center"/>
        <w:rPr>
          <w:rFonts w:ascii="宋体" w:hAnsi="宋体"/>
          <w:color w:val="auto"/>
          <w:sz w:val="36"/>
          <w:highlight w:val="none"/>
        </w:rPr>
      </w:pPr>
    </w:p>
    <w:p>
      <w:pPr>
        <w:spacing w:line="360" w:lineRule="auto"/>
        <w:jc w:val="center"/>
        <w:rPr>
          <w:rFonts w:hint="eastAsia" w:ascii="宋体" w:hAnsi="宋体" w:eastAsia="宋体"/>
          <w:color w:val="000000"/>
          <w:sz w:val="32"/>
          <w:szCs w:val="32"/>
          <w:highlight w:val="none"/>
          <w:lang w:eastAsia="zh-CN"/>
        </w:rPr>
      </w:pPr>
      <w:r>
        <w:rPr>
          <w:rFonts w:hint="eastAsia" w:ascii="宋体" w:hAnsi="宋体"/>
          <w:color w:val="000000"/>
          <w:sz w:val="32"/>
          <w:szCs w:val="32"/>
          <w:highlight w:val="none"/>
        </w:rPr>
        <w:t>采购人：</w:t>
      </w:r>
      <w:r>
        <w:rPr>
          <w:rFonts w:hint="eastAsia" w:ascii="宋体" w:hAnsi="宋体"/>
          <w:color w:val="000000"/>
          <w:sz w:val="32"/>
          <w:szCs w:val="32"/>
          <w:highlight w:val="none"/>
          <w:lang w:eastAsia="zh-CN"/>
        </w:rPr>
        <w:t>扬州市长江运河管理处</w:t>
      </w:r>
    </w:p>
    <w:p>
      <w:pPr>
        <w:spacing w:line="360" w:lineRule="auto"/>
        <w:jc w:val="center"/>
        <w:rPr>
          <w:rFonts w:hint="eastAsia" w:ascii="宋体" w:hAnsi="宋体"/>
          <w:color w:val="000000"/>
          <w:sz w:val="32"/>
          <w:szCs w:val="32"/>
          <w:highlight w:val="none"/>
        </w:rPr>
      </w:pPr>
      <w:r>
        <w:rPr>
          <w:rFonts w:hint="eastAsia" w:ascii="宋体" w:hAnsi="宋体"/>
          <w:color w:val="000000"/>
          <w:sz w:val="32"/>
          <w:szCs w:val="32"/>
          <w:highlight w:val="none"/>
        </w:rPr>
        <w:t>采购代理机构：扬州览众建设工程咨询服务有限公司</w:t>
      </w:r>
    </w:p>
    <w:p>
      <w:pPr>
        <w:spacing w:line="360" w:lineRule="auto"/>
        <w:jc w:val="center"/>
        <w:rPr>
          <w:rFonts w:hint="eastAsia" w:ascii="宋体" w:hAnsi="宋体" w:eastAsia="宋体"/>
          <w:b/>
          <w:bCs/>
          <w:color w:val="auto"/>
          <w:sz w:val="36"/>
          <w:highlight w:val="none"/>
          <w:lang w:val="en-US" w:eastAsia="zh-CN"/>
        </w:rPr>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olor w:val="000000"/>
          <w:sz w:val="32"/>
          <w:szCs w:val="32"/>
          <w:highlight w:val="none"/>
        </w:rPr>
        <w:t>发放日期：202</w:t>
      </w:r>
      <w:r>
        <w:rPr>
          <w:rFonts w:hint="eastAsia" w:ascii="宋体" w:hAnsi="宋体"/>
          <w:color w:val="000000"/>
          <w:sz w:val="32"/>
          <w:szCs w:val="32"/>
          <w:highlight w:val="none"/>
          <w:lang w:val="en-US" w:eastAsia="zh-CN"/>
        </w:rPr>
        <w:t>4</w:t>
      </w:r>
      <w:r>
        <w:rPr>
          <w:rFonts w:hint="eastAsia" w:ascii="宋体" w:hAnsi="宋体"/>
          <w:color w:val="000000"/>
          <w:sz w:val="32"/>
          <w:szCs w:val="32"/>
          <w:highlight w:val="none"/>
        </w:rPr>
        <w:t>年</w:t>
      </w:r>
      <w:r>
        <w:rPr>
          <w:rFonts w:hint="eastAsia" w:ascii="宋体" w:hAnsi="宋体"/>
          <w:color w:val="000000"/>
          <w:sz w:val="32"/>
          <w:szCs w:val="32"/>
          <w:highlight w:val="none"/>
          <w:lang w:val="en-US" w:eastAsia="zh-CN"/>
        </w:rPr>
        <w:t>3</w:t>
      </w:r>
      <w:r>
        <w:rPr>
          <w:rFonts w:hint="eastAsia" w:ascii="宋体" w:hAnsi="宋体"/>
          <w:color w:val="000000"/>
          <w:sz w:val="32"/>
          <w:szCs w:val="32"/>
          <w:highlight w:val="none"/>
        </w:rPr>
        <w:t>月</w:t>
      </w:r>
      <w:r>
        <w:rPr>
          <w:rFonts w:hint="eastAsia" w:ascii="宋体" w:hAnsi="宋体"/>
          <w:color w:val="000000"/>
          <w:sz w:val="32"/>
          <w:szCs w:val="32"/>
          <w:highlight w:val="none"/>
          <w:lang w:val="en-US" w:eastAsia="zh-CN"/>
        </w:rPr>
        <w:t>7日</w:t>
      </w:r>
    </w:p>
    <w:p>
      <w:pPr>
        <w:spacing w:line="360" w:lineRule="auto"/>
        <w:jc w:val="center"/>
        <w:rPr>
          <w:rFonts w:hint="eastAsia" w:ascii="宋体" w:hAnsi="宋体"/>
          <w:color w:val="auto"/>
          <w:sz w:val="32"/>
          <w:highlight w:val="none"/>
        </w:rPr>
      </w:pPr>
      <w:r>
        <w:rPr>
          <w:rFonts w:hint="eastAsia" w:ascii="宋体" w:hAnsi="宋体"/>
          <w:color w:val="auto"/>
          <w:sz w:val="32"/>
          <w:highlight w:val="none"/>
        </w:rPr>
        <w:t>目</w:t>
      </w:r>
      <w:r>
        <w:rPr>
          <w:rFonts w:ascii="宋体" w:hAnsi="宋体"/>
          <w:color w:val="auto"/>
          <w:sz w:val="32"/>
          <w:highlight w:val="none"/>
        </w:rPr>
        <w:t xml:space="preserve"> 录</w:t>
      </w:r>
    </w:p>
    <w:p>
      <w:pPr>
        <w:spacing w:line="360" w:lineRule="auto"/>
        <w:jc w:val="center"/>
        <w:rPr>
          <w:rFonts w:ascii="宋体" w:hAnsi="宋体"/>
          <w:color w:val="auto"/>
          <w:sz w:val="32"/>
          <w:highlight w:val="none"/>
        </w:rPr>
      </w:pPr>
    </w:p>
    <w:p>
      <w:pPr>
        <w:pStyle w:val="19"/>
        <w:tabs>
          <w:tab w:val="right" w:leader="dot" w:pos="8306"/>
        </w:tabs>
        <w:spacing w:line="360" w:lineRule="auto"/>
        <w:rPr>
          <w:color w:val="auto"/>
          <w:highlight w:val="none"/>
        </w:rPr>
      </w:pPr>
      <w:r>
        <w:rPr>
          <w:rFonts w:ascii="宋体" w:hAnsi="宋体"/>
          <w:color w:val="auto"/>
          <w:sz w:val="28"/>
          <w:highlight w:val="none"/>
        </w:rPr>
        <w:fldChar w:fldCharType="begin"/>
      </w:r>
      <w:r>
        <w:rPr>
          <w:rFonts w:ascii="宋体" w:hAnsi="宋体"/>
          <w:color w:val="auto"/>
          <w:sz w:val="28"/>
          <w:highlight w:val="none"/>
        </w:rPr>
        <w:instrText xml:space="preserve">TOC \o "1-3" \h \u </w:instrText>
      </w:r>
      <w:r>
        <w:rPr>
          <w:rFonts w:ascii="宋体" w:hAnsi="宋体"/>
          <w:color w:val="auto"/>
          <w:sz w:val="28"/>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_Toc18972 </w:instrText>
      </w:r>
      <w:r>
        <w:rPr>
          <w:rFonts w:ascii="宋体" w:hAnsi="宋体"/>
          <w:color w:val="auto"/>
          <w:highlight w:val="none"/>
        </w:rPr>
        <w:fldChar w:fldCharType="separate"/>
      </w:r>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谈判</w:t>
      </w:r>
      <w:r>
        <w:rPr>
          <w:rFonts w:ascii="宋体" w:hAnsi="宋体"/>
          <w:color w:val="auto"/>
          <w:highlight w:val="none"/>
        </w:rPr>
        <w:t>采购邀请</w:t>
      </w:r>
      <w:r>
        <w:rPr>
          <w:color w:val="auto"/>
          <w:highlight w:val="none"/>
        </w:rPr>
        <w:tab/>
      </w:r>
      <w:r>
        <w:rPr>
          <w:color w:val="auto"/>
          <w:highlight w:val="none"/>
        </w:rPr>
        <w:fldChar w:fldCharType="begin"/>
      </w:r>
      <w:r>
        <w:rPr>
          <w:color w:val="auto"/>
          <w:highlight w:val="none"/>
        </w:rPr>
        <w:instrText xml:space="preserve"> PAGEREF _Toc18972 </w:instrText>
      </w:r>
      <w:r>
        <w:rPr>
          <w:color w:val="auto"/>
          <w:highlight w:val="none"/>
        </w:rPr>
        <w:fldChar w:fldCharType="separate"/>
      </w:r>
      <w:r>
        <w:rPr>
          <w:color w:val="auto"/>
          <w:highlight w:val="none"/>
        </w:rPr>
        <w:t>- 3 -</w:t>
      </w:r>
      <w:r>
        <w:rPr>
          <w:color w:val="auto"/>
          <w:highlight w:val="none"/>
        </w:rPr>
        <w:fldChar w:fldCharType="end"/>
      </w:r>
      <w:r>
        <w:rPr>
          <w:rFonts w:ascii="宋体" w:hAnsi="宋体"/>
          <w:color w:val="auto"/>
          <w:highlight w:val="none"/>
        </w:rPr>
        <w:fldChar w:fldCharType="end"/>
      </w:r>
    </w:p>
    <w:p>
      <w:pPr>
        <w:pStyle w:val="19"/>
        <w:tabs>
          <w:tab w:val="right" w:leader="dot" w:pos="8306"/>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_Toc25072 </w:instrText>
      </w:r>
      <w:r>
        <w:rPr>
          <w:rFonts w:ascii="宋体" w:hAnsi="宋体"/>
          <w:color w:val="auto"/>
          <w:highlight w:val="none"/>
        </w:rPr>
        <w:fldChar w:fldCharType="separate"/>
      </w:r>
      <w:r>
        <w:rPr>
          <w:rFonts w:hint="eastAsia" w:ascii="宋体" w:hAnsi="宋体"/>
          <w:color w:val="auto"/>
          <w:highlight w:val="none"/>
        </w:rPr>
        <w:t>第二章 谈判须知</w:t>
      </w:r>
      <w:r>
        <w:rPr>
          <w:color w:val="auto"/>
          <w:highlight w:val="none"/>
        </w:rPr>
        <w:tab/>
      </w:r>
      <w:r>
        <w:rPr>
          <w:color w:val="auto"/>
          <w:highlight w:val="none"/>
        </w:rPr>
        <w:fldChar w:fldCharType="begin"/>
      </w:r>
      <w:r>
        <w:rPr>
          <w:color w:val="auto"/>
          <w:highlight w:val="none"/>
        </w:rPr>
        <w:instrText xml:space="preserve"> PAGEREF _Toc25072 </w:instrText>
      </w:r>
      <w:r>
        <w:rPr>
          <w:color w:val="auto"/>
          <w:highlight w:val="none"/>
        </w:rPr>
        <w:fldChar w:fldCharType="separate"/>
      </w:r>
      <w:r>
        <w:rPr>
          <w:color w:val="auto"/>
          <w:highlight w:val="none"/>
        </w:rPr>
        <w:t>- 6 -</w:t>
      </w:r>
      <w:r>
        <w:rPr>
          <w:color w:val="auto"/>
          <w:highlight w:val="none"/>
        </w:rPr>
        <w:fldChar w:fldCharType="end"/>
      </w:r>
      <w:r>
        <w:rPr>
          <w:rFonts w:ascii="宋体" w:hAnsi="宋体"/>
          <w:color w:val="auto"/>
          <w:highlight w:val="none"/>
        </w:rPr>
        <w:fldChar w:fldCharType="end"/>
      </w:r>
    </w:p>
    <w:p>
      <w:pPr>
        <w:pStyle w:val="19"/>
        <w:tabs>
          <w:tab w:val="right" w:leader="dot" w:pos="8306"/>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_Toc755 </w:instrText>
      </w:r>
      <w:r>
        <w:rPr>
          <w:rFonts w:ascii="宋体" w:hAnsi="宋体"/>
          <w:color w:val="auto"/>
          <w:highlight w:val="none"/>
        </w:rPr>
        <w:fldChar w:fldCharType="separate"/>
      </w:r>
      <w:r>
        <w:rPr>
          <w:rFonts w:hint="eastAsia" w:ascii="宋体" w:hAnsi="宋体"/>
          <w:color w:val="auto"/>
          <w:highlight w:val="none"/>
        </w:rPr>
        <w:t>第三章 合同条款及格式</w:t>
      </w:r>
      <w:r>
        <w:rPr>
          <w:color w:val="auto"/>
          <w:highlight w:val="none"/>
        </w:rPr>
        <w:tab/>
      </w:r>
      <w:r>
        <w:rPr>
          <w:color w:val="auto"/>
          <w:highlight w:val="none"/>
        </w:rPr>
        <w:fldChar w:fldCharType="begin"/>
      </w:r>
      <w:r>
        <w:rPr>
          <w:color w:val="auto"/>
          <w:highlight w:val="none"/>
        </w:rPr>
        <w:instrText xml:space="preserve"> PAGEREF _Toc755 </w:instrText>
      </w:r>
      <w:r>
        <w:rPr>
          <w:color w:val="auto"/>
          <w:highlight w:val="none"/>
        </w:rPr>
        <w:fldChar w:fldCharType="separate"/>
      </w:r>
      <w:r>
        <w:rPr>
          <w:color w:val="auto"/>
          <w:highlight w:val="none"/>
        </w:rPr>
        <w:t>- 16 -</w:t>
      </w:r>
      <w:r>
        <w:rPr>
          <w:color w:val="auto"/>
          <w:highlight w:val="none"/>
        </w:rPr>
        <w:fldChar w:fldCharType="end"/>
      </w:r>
      <w:r>
        <w:rPr>
          <w:rFonts w:ascii="宋体" w:hAnsi="宋体"/>
          <w:color w:val="auto"/>
          <w:highlight w:val="none"/>
        </w:rPr>
        <w:fldChar w:fldCharType="end"/>
      </w:r>
    </w:p>
    <w:p>
      <w:pPr>
        <w:pStyle w:val="19"/>
        <w:tabs>
          <w:tab w:val="right" w:leader="dot" w:pos="8306"/>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_Toc14380 </w:instrText>
      </w:r>
      <w:r>
        <w:rPr>
          <w:rFonts w:ascii="宋体" w:hAnsi="宋体"/>
          <w:color w:val="auto"/>
          <w:highlight w:val="none"/>
        </w:rPr>
        <w:fldChar w:fldCharType="separate"/>
      </w:r>
      <w:r>
        <w:rPr>
          <w:rFonts w:hint="eastAsia" w:ascii="宋体" w:hAnsi="宋体"/>
          <w:color w:val="auto"/>
          <w:highlight w:val="none"/>
        </w:rPr>
        <w:t>第四章 项目需求</w:t>
      </w:r>
      <w:r>
        <w:rPr>
          <w:color w:val="auto"/>
          <w:highlight w:val="none"/>
        </w:rPr>
        <w:tab/>
      </w:r>
      <w:r>
        <w:rPr>
          <w:color w:val="auto"/>
          <w:highlight w:val="none"/>
        </w:rPr>
        <w:fldChar w:fldCharType="begin"/>
      </w:r>
      <w:r>
        <w:rPr>
          <w:color w:val="auto"/>
          <w:highlight w:val="none"/>
        </w:rPr>
        <w:instrText xml:space="preserve"> PAGEREF _Toc14380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highlight w:val="none"/>
        </w:rPr>
        <w:fldChar w:fldCharType="end"/>
      </w:r>
    </w:p>
    <w:p>
      <w:pPr>
        <w:pStyle w:val="19"/>
        <w:tabs>
          <w:tab w:val="right" w:leader="dot" w:pos="8306"/>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_Toc10440 </w:instrText>
      </w:r>
      <w:r>
        <w:rPr>
          <w:rFonts w:ascii="宋体" w:hAnsi="宋体"/>
          <w:color w:val="auto"/>
          <w:highlight w:val="none"/>
        </w:rPr>
        <w:fldChar w:fldCharType="separate"/>
      </w:r>
      <w:r>
        <w:rPr>
          <w:rFonts w:hint="eastAsia" w:ascii="宋体" w:hAnsi="宋体"/>
          <w:bCs/>
          <w:color w:val="auto"/>
          <w:highlight w:val="none"/>
        </w:rPr>
        <w:t>第五章 评审方法和评审标准</w:t>
      </w:r>
      <w:r>
        <w:rPr>
          <w:color w:val="auto"/>
          <w:highlight w:val="none"/>
        </w:rPr>
        <w:tab/>
      </w:r>
      <w:r>
        <w:rPr>
          <w:color w:val="auto"/>
          <w:highlight w:val="none"/>
        </w:rPr>
        <w:fldChar w:fldCharType="begin"/>
      </w:r>
      <w:r>
        <w:rPr>
          <w:color w:val="auto"/>
          <w:highlight w:val="none"/>
        </w:rPr>
        <w:instrText xml:space="preserve"> PAGEREF _Toc10440 </w:instrText>
      </w:r>
      <w:r>
        <w:rPr>
          <w:color w:val="auto"/>
          <w:highlight w:val="none"/>
        </w:rPr>
        <w:fldChar w:fldCharType="separate"/>
      </w:r>
      <w:r>
        <w:rPr>
          <w:color w:val="auto"/>
          <w:highlight w:val="none"/>
        </w:rPr>
        <w:t>- 21 -</w:t>
      </w:r>
      <w:r>
        <w:rPr>
          <w:color w:val="auto"/>
          <w:highlight w:val="none"/>
        </w:rPr>
        <w:fldChar w:fldCharType="end"/>
      </w:r>
      <w:r>
        <w:rPr>
          <w:rFonts w:ascii="宋体" w:hAnsi="宋体"/>
          <w:color w:val="auto"/>
          <w:highlight w:val="none"/>
        </w:rPr>
        <w:fldChar w:fldCharType="end"/>
      </w:r>
    </w:p>
    <w:p>
      <w:pPr>
        <w:pStyle w:val="19"/>
        <w:tabs>
          <w:tab w:val="right" w:leader="dot" w:pos="8306"/>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_Toc29677 </w:instrText>
      </w:r>
      <w:r>
        <w:rPr>
          <w:rFonts w:ascii="宋体" w:hAnsi="宋体"/>
          <w:color w:val="auto"/>
          <w:highlight w:val="none"/>
        </w:rPr>
        <w:fldChar w:fldCharType="separate"/>
      </w:r>
      <w:r>
        <w:rPr>
          <w:rFonts w:hint="eastAsia" w:ascii="宋体" w:hAnsi="宋体"/>
          <w:bCs/>
          <w:color w:val="auto"/>
          <w:highlight w:val="none"/>
        </w:rPr>
        <w:t>第六章 谈判响应文件格式</w:t>
      </w:r>
      <w:r>
        <w:rPr>
          <w:color w:val="auto"/>
          <w:highlight w:val="none"/>
        </w:rPr>
        <w:tab/>
      </w:r>
      <w:r>
        <w:rPr>
          <w:color w:val="auto"/>
          <w:highlight w:val="none"/>
        </w:rPr>
        <w:fldChar w:fldCharType="begin"/>
      </w:r>
      <w:r>
        <w:rPr>
          <w:color w:val="auto"/>
          <w:highlight w:val="none"/>
        </w:rPr>
        <w:instrText xml:space="preserve"> PAGEREF _Toc29677 </w:instrText>
      </w:r>
      <w:r>
        <w:rPr>
          <w:color w:val="auto"/>
          <w:highlight w:val="none"/>
        </w:rPr>
        <w:fldChar w:fldCharType="separate"/>
      </w:r>
      <w:r>
        <w:rPr>
          <w:color w:val="auto"/>
          <w:highlight w:val="none"/>
        </w:rPr>
        <w:t>- 35 -</w:t>
      </w:r>
      <w:r>
        <w:rPr>
          <w:color w:val="auto"/>
          <w:highlight w:val="none"/>
        </w:rPr>
        <w:fldChar w:fldCharType="end"/>
      </w:r>
      <w:r>
        <w:rPr>
          <w:rFonts w:ascii="宋体" w:hAnsi="宋体"/>
          <w:color w:val="auto"/>
          <w:highlight w:val="none"/>
        </w:rPr>
        <w:fldChar w:fldCharType="end"/>
      </w:r>
    </w:p>
    <w:p>
      <w:pPr>
        <w:spacing w:line="360" w:lineRule="auto"/>
        <w:jc w:val="center"/>
        <w:rPr>
          <w:rFonts w:ascii="宋体" w:hAnsi="宋体"/>
          <w:color w:val="auto"/>
          <w:sz w:val="28"/>
          <w:highlight w:val="none"/>
        </w:rPr>
        <w:sectPr>
          <w:pgSz w:w="11906" w:h="16838"/>
          <w:pgMar w:top="1440" w:right="1800" w:bottom="1440" w:left="1800" w:header="851" w:footer="992" w:gutter="0"/>
          <w:pgNumType w:fmt="numberInDash"/>
          <w:cols w:space="720" w:num="1"/>
          <w:docGrid w:type="lines" w:linePitch="312" w:charSpace="0"/>
        </w:sectPr>
      </w:pPr>
      <w:r>
        <w:rPr>
          <w:rFonts w:ascii="宋体" w:hAnsi="宋体"/>
          <w:color w:val="auto"/>
          <w:highlight w:val="none"/>
        </w:rPr>
        <w:fldChar w:fldCharType="end"/>
      </w:r>
      <w:bookmarkStart w:id="0" w:name="_Toc18972"/>
      <w:bookmarkStart w:id="1" w:name="_Toc497145839"/>
    </w:p>
    <w:p>
      <w:pPr>
        <w:spacing w:line="360" w:lineRule="auto"/>
        <w:jc w:val="center"/>
        <w:rPr>
          <w:rFonts w:ascii="宋体" w:hAnsi="宋体"/>
          <w:color w:val="auto"/>
          <w:sz w:val="36"/>
          <w:highlight w:val="none"/>
        </w:rPr>
      </w:pPr>
      <w:r>
        <w:rPr>
          <w:rFonts w:hint="eastAsia" w:ascii="宋体" w:hAnsi="宋体"/>
          <w:color w:val="auto"/>
          <w:sz w:val="36"/>
          <w:highlight w:val="none"/>
        </w:rPr>
        <w:t>第一章</w:t>
      </w:r>
      <w:r>
        <w:rPr>
          <w:rFonts w:ascii="宋体" w:hAnsi="宋体"/>
          <w:color w:val="auto"/>
          <w:sz w:val="36"/>
          <w:highlight w:val="none"/>
        </w:rPr>
        <w:t xml:space="preserve"> </w:t>
      </w:r>
      <w:r>
        <w:rPr>
          <w:rFonts w:hint="eastAsia" w:ascii="宋体" w:hAnsi="宋体"/>
          <w:color w:val="auto"/>
          <w:sz w:val="36"/>
          <w:highlight w:val="none"/>
        </w:rPr>
        <w:t>谈判</w:t>
      </w:r>
      <w:r>
        <w:rPr>
          <w:rFonts w:ascii="宋体" w:hAnsi="宋体"/>
          <w:color w:val="auto"/>
          <w:sz w:val="36"/>
          <w:highlight w:val="none"/>
        </w:rPr>
        <w:t>采购邀请</w:t>
      </w:r>
      <w:bookmarkEnd w:id="0"/>
      <w:bookmarkEnd w:id="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扬州览众建设工程咨询服务有限公司受</w:t>
      </w:r>
      <w:r>
        <w:rPr>
          <w:rFonts w:hint="eastAsia" w:ascii="宋体" w:hAnsi="宋体" w:cs="宋体"/>
          <w:color w:val="auto"/>
          <w:szCs w:val="21"/>
          <w:highlight w:val="none"/>
          <w:shd w:val="clear" w:color="auto" w:fill="FFFFFF"/>
          <w:lang w:eastAsia="zh-CN"/>
        </w:rPr>
        <w:t>扬州市长江运河管理处</w:t>
      </w:r>
      <w:r>
        <w:rPr>
          <w:rFonts w:hint="eastAsia" w:ascii="宋体" w:hAnsi="宋体"/>
          <w:color w:val="auto"/>
          <w:szCs w:val="21"/>
          <w:highlight w:val="none"/>
        </w:rPr>
        <w:t>的委托，</w:t>
      </w:r>
      <w:r>
        <w:rPr>
          <w:rFonts w:hint="eastAsia" w:ascii="宋体" w:hAnsi="宋体"/>
          <w:bCs/>
          <w:color w:val="auto"/>
          <w:szCs w:val="21"/>
          <w:highlight w:val="none"/>
        </w:rPr>
        <w:t>就其</w:t>
      </w:r>
      <w:bookmarkStart w:id="2" w:name="OLE_LINK16"/>
      <w:bookmarkEnd w:id="2"/>
      <w:r>
        <w:rPr>
          <w:rFonts w:hint="eastAsia" w:ascii="宋体" w:hAnsi="宋体"/>
          <w:color w:val="auto"/>
          <w:szCs w:val="21"/>
          <w:highlight w:val="none"/>
          <w:lang w:eastAsia="zh-CN"/>
        </w:rPr>
        <w:t>扬州市长江运河管理处信息化运维服务项目</w:t>
      </w:r>
      <w:r>
        <w:rPr>
          <w:rFonts w:hint="eastAsia" w:ascii="宋体" w:hAnsi="宋体"/>
          <w:color w:val="auto"/>
          <w:szCs w:val="21"/>
          <w:highlight w:val="none"/>
        </w:rPr>
        <w:t>实施谈判采购，欢迎符合相关条件的供应商参加谈判。</w:t>
      </w:r>
    </w:p>
    <w:p>
      <w:pPr>
        <w:spacing w:line="360" w:lineRule="auto"/>
        <w:ind w:firstLine="422" w:firstLineChars="200"/>
        <w:outlineLvl w:val="0"/>
        <w:rPr>
          <w:rFonts w:ascii="宋体" w:hAnsi="宋体"/>
          <w:b/>
          <w:color w:val="auto"/>
          <w:szCs w:val="21"/>
          <w:highlight w:val="none"/>
        </w:rPr>
      </w:pPr>
      <w:bookmarkStart w:id="3" w:name="_Toc31196"/>
      <w:bookmarkStart w:id="4" w:name="_Toc920"/>
      <w:r>
        <w:rPr>
          <w:rFonts w:hint="eastAsia" w:ascii="宋体" w:hAnsi="宋体"/>
          <w:b/>
          <w:color w:val="auto"/>
          <w:szCs w:val="21"/>
          <w:highlight w:val="none"/>
        </w:rPr>
        <w:t>一、</w:t>
      </w:r>
      <w:r>
        <w:rPr>
          <w:rFonts w:hint="eastAsia" w:ascii="宋体" w:hAnsi="宋体"/>
          <w:b/>
          <w:bCs/>
          <w:color w:val="auto"/>
          <w:szCs w:val="21"/>
          <w:highlight w:val="none"/>
        </w:rPr>
        <w:t>采购项目名称</w:t>
      </w:r>
      <w:r>
        <w:rPr>
          <w:rFonts w:hint="eastAsia" w:ascii="宋体" w:hAnsi="宋体"/>
          <w:b/>
          <w:color w:val="auto"/>
          <w:szCs w:val="21"/>
          <w:highlight w:val="none"/>
        </w:rPr>
        <w:t>及编号</w:t>
      </w:r>
      <w:bookmarkEnd w:id="3"/>
      <w:bookmarkEnd w:id="4"/>
    </w:p>
    <w:p>
      <w:pPr>
        <w:spacing w:line="360" w:lineRule="auto"/>
        <w:ind w:firstLine="420" w:firstLineChars="200"/>
        <w:rPr>
          <w:rFonts w:hint="eastAsia" w:ascii="宋体"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 w:val="24"/>
          <w:highlight w:val="none"/>
        </w:rPr>
        <w:t>：</w:t>
      </w:r>
      <w:r>
        <w:rPr>
          <w:rFonts w:hint="eastAsia" w:ascii="宋体" w:hAnsi="宋体"/>
          <w:color w:val="auto"/>
          <w:szCs w:val="21"/>
          <w:highlight w:val="none"/>
          <w:lang w:eastAsia="zh-CN"/>
        </w:rPr>
        <w:t>扬州市长江运河管理处信息化运维服务项目</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编    号</w:t>
      </w:r>
      <w:r>
        <w:rPr>
          <w:rFonts w:hint="eastAsia" w:ascii="宋体" w:hAnsi="宋体"/>
          <w:color w:val="auto"/>
          <w:sz w:val="24"/>
          <w:highlight w:val="none"/>
        </w:rPr>
        <w:t>：</w:t>
      </w:r>
      <w:r>
        <w:rPr>
          <w:rFonts w:hint="eastAsia" w:ascii="宋体" w:hAnsi="宋体"/>
          <w:color w:val="auto"/>
          <w:szCs w:val="21"/>
          <w:highlight w:val="none"/>
          <w:lang w:eastAsia="zh-CN"/>
        </w:rPr>
        <w:t>YZLZDL-2024019号</w:t>
      </w:r>
    </w:p>
    <w:p>
      <w:pPr>
        <w:tabs>
          <w:tab w:val="left" w:pos="900"/>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二、预算金额</w:t>
      </w:r>
    </w:p>
    <w:p>
      <w:pPr>
        <w:spacing w:line="360" w:lineRule="auto"/>
        <w:ind w:firstLine="422" w:firstLineChars="200"/>
        <w:rPr>
          <w:rFonts w:hint="eastAsia" w:hAnsi="宋体"/>
          <w:b/>
          <w:bCs/>
          <w:color w:val="auto"/>
          <w:szCs w:val="21"/>
          <w:highlight w:val="none"/>
        </w:rPr>
      </w:pPr>
      <w:r>
        <w:rPr>
          <w:rFonts w:hint="eastAsia" w:ascii="宋体" w:hAnsi="宋体"/>
          <w:b/>
          <w:bCs/>
          <w:color w:val="auto"/>
          <w:szCs w:val="21"/>
          <w:highlight w:val="none"/>
        </w:rPr>
        <w:t>本项目预算</w:t>
      </w:r>
      <w:r>
        <w:rPr>
          <w:rFonts w:hint="eastAsia" w:ascii="宋体" w:hAnsi="宋体"/>
          <w:b/>
          <w:bCs/>
          <w:color w:val="auto"/>
          <w:szCs w:val="21"/>
          <w:highlight w:val="none"/>
          <w:lang w:val="en-US" w:eastAsia="zh-CN"/>
        </w:rPr>
        <w:t>48.4919万</w:t>
      </w:r>
      <w:r>
        <w:rPr>
          <w:rFonts w:hint="eastAsia" w:ascii="宋体" w:hAnsi="宋体"/>
          <w:b/>
          <w:bCs/>
          <w:color w:val="auto"/>
          <w:szCs w:val="21"/>
          <w:highlight w:val="none"/>
        </w:rPr>
        <w:t>元，</w:t>
      </w:r>
      <w:r>
        <w:rPr>
          <w:rFonts w:hint="eastAsia" w:ascii="宋体" w:hAnsi="宋体"/>
          <w:b/>
          <w:bCs/>
          <w:color w:val="auto"/>
          <w:szCs w:val="21"/>
          <w:highlight w:val="none"/>
          <w:lang w:eastAsia="zh-CN"/>
        </w:rPr>
        <w:t>最高限价为</w:t>
      </w:r>
      <w:r>
        <w:rPr>
          <w:rFonts w:hint="eastAsia" w:ascii="宋体" w:hAnsi="宋体"/>
          <w:b/>
          <w:bCs/>
          <w:color w:val="auto"/>
          <w:szCs w:val="21"/>
          <w:highlight w:val="none"/>
          <w:lang w:val="en-US" w:eastAsia="zh-CN"/>
        </w:rPr>
        <w:t>46万元，</w:t>
      </w:r>
      <w:r>
        <w:rPr>
          <w:rFonts w:hint="eastAsia" w:hAnsi="宋体"/>
          <w:b/>
          <w:bCs/>
          <w:color w:val="auto"/>
          <w:szCs w:val="21"/>
          <w:highlight w:val="none"/>
        </w:rPr>
        <w:t>报价超过</w:t>
      </w:r>
      <w:r>
        <w:rPr>
          <w:rFonts w:hint="eastAsia" w:hAnsi="宋体"/>
          <w:b/>
          <w:bCs/>
          <w:color w:val="auto"/>
          <w:szCs w:val="21"/>
          <w:highlight w:val="none"/>
          <w:lang w:eastAsia="zh-CN"/>
        </w:rPr>
        <w:t>最高限价</w:t>
      </w:r>
      <w:r>
        <w:rPr>
          <w:rFonts w:hint="eastAsia" w:hAnsi="宋体"/>
          <w:b/>
          <w:bCs/>
          <w:color w:val="auto"/>
          <w:szCs w:val="21"/>
          <w:highlight w:val="none"/>
        </w:rPr>
        <w:t>的为无效报价，按照无效响应处理。</w:t>
      </w:r>
    </w:p>
    <w:p>
      <w:pPr>
        <w:pStyle w:val="10"/>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服务期限：自合同签订之日起</w:t>
      </w:r>
      <w:r>
        <w:rPr>
          <w:rFonts w:hint="eastAsia" w:hAnsi="宋体"/>
          <w:b/>
          <w:bCs/>
          <w:color w:val="auto"/>
          <w:sz w:val="21"/>
          <w:szCs w:val="21"/>
          <w:highlight w:val="none"/>
          <w:lang w:val="en-US" w:eastAsia="zh-CN"/>
        </w:rPr>
        <w:t>一</w:t>
      </w:r>
      <w:r>
        <w:rPr>
          <w:rFonts w:hint="eastAsia" w:hAnsi="宋体"/>
          <w:b/>
          <w:bCs/>
          <w:color w:val="auto"/>
          <w:sz w:val="21"/>
          <w:szCs w:val="21"/>
          <w:highlight w:val="none"/>
        </w:rPr>
        <w:t>年</w:t>
      </w:r>
    </w:p>
    <w:p>
      <w:pPr>
        <w:spacing w:line="360" w:lineRule="auto"/>
        <w:ind w:firstLine="422" w:firstLineChars="200"/>
        <w:rPr>
          <w:rFonts w:hint="eastAsia" w:ascii="宋体" w:hAnsi="宋体"/>
          <w:color w:val="auto"/>
          <w:szCs w:val="21"/>
          <w:highlight w:val="none"/>
          <w:lang w:val="zh-CN"/>
        </w:rPr>
      </w:pPr>
      <w:r>
        <w:rPr>
          <w:rFonts w:hint="eastAsia" w:ascii="宋体" w:hAnsi="宋体"/>
          <w:b/>
          <w:bCs/>
          <w:color w:val="auto"/>
          <w:szCs w:val="21"/>
          <w:highlight w:val="none"/>
          <w:lang w:val="zh-CN"/>
        </w:rPr>
        <w:t>服务需求：详见项目需求</w:t>
      </w:r>
      <w:r>
        <w:rPr>
          <w:rFonts w:hint="eastAsia" w:ascii="宋体" w:hAnsi="宋体"/>
          <w:color w:val="auto"/>
          <w:szCs w:val="21"/>
          <w:highlight w:val="none"/>
          <w:lang w:val="zh-CN"/>
        </w:rPr>
        <w:t>。</w:t>
      </w:r>
    </w:p>
    <w:p>
      <w:pPr>
        <w:spacing w:line="360" w:lineRule="auto"/>
        <w:ind w:firstLine="396" w:firstLineChars="200"/>
        <w:rPr>
          <w:rFonts w:hint="eastAsia"/>
          <w:color w:val="auto"/>
          <w:highlight w:val="none"/>
        </w:rPr>
      </w:pPr>
      <w:r>
        <w:rPr>
          <w:rFonts w:hint="eastAsia" w:ascii="宋体" w:hAnsi="宋体" w:cs="Arial"/>
          <w:color w:val="auto"/>
          <w:spacing w:val="-6"/>
          <w:szCs w:val="21"/>
          <w:highlight w:val="none"/>
        </w:rPr>
        <w:t>（一）</w:t>
      </w:r>
      <w:r>
        <w:rPr>
          <w:rFonts w:ascii="宋体" w:hAnsi="宋体" w:cs="Arial"/>
          <w:color w:val="auto"/>
          <w:spacing w:val="-6"/>
          <w:szCs w:val="21"/>
          <w:highlight w:val="none"/>
        </w:rPr>
        <w:t>符合</w:t>
      </w:r>
      <w:r>
        <w:rPr>
          <w:rFonts w:hint="eastAsia" w:ascii="宋体" w:hAnsi="宋体" w:cs="Arial"/>
          <w:color w:val="auto"/>
          <w:spacing w:val="-6"/>
          <w:szCs w:val="21"/>
          <w:highlight w:val="none"/>
        </w:rPr>
        <w:t>相关法律法规</w:t>
      </w:r>
      <w:r>
        <w:rPr>
          <w:rFonts w:ascii="宋体" w:hAnsi="宋体" w:cs="Arial"/>
          <w:color w:val="auto"/>
          <w:spacing w:val="-6"/>
          <w:szCs w:val="21"/>
          <w:highlight w:val="none"/>
        </w:rPr>
        <w:t>规定</w:t>
      </w:r>
      <w:r>
        <w:rPr>
          <w:rFonts w:hint="eastAsia" w:ascii="宋体" w:hAnsi="宋体" w:cs="Arial"/>
          <w:color w:val="auto"/>
          <w:spacing w:val="-6"/>
          <w:szCs w:val="21"/>
          <w:highlight w:val="none"/>
        </w:rPr>
        <w:t>的条件，并提供下列材料：</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1 谈判响应函</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2 资格声明</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3</w:t>
      </w:r>
      <w:r>
        <w:rPr>
          <w:rFonts w:hint="eastAsia" w:ascii="宋体" w:hAnsi="宋体"/>
          <w:i/>
          <w:iCs/>
          <w:color w:val="auto"/>
          <w:highlight w:val="none"/>
          <w:u w:val="single"/>
        </w:rPr>
        <w:t>若法定代表人参加谈判的，须提供本人身份证复印件</w:t>
      </w:r>
      <w:r>
        <w:rPr>
          <w:rFonts w:hint="eastAsia" w:ascii="宋体" w:hAnsi="宋体"/>
          <w:b/>
          <w:i/>
          <w:iCs/>
          <w:color w:val="auto"/>
          <w:highlight w:val="none"/>
          <w:u w:val="single"/>
        </w:rPr>
        <w:t>(原件备查)</w:t>
      </w:r>
      <w:r>
        <w:rPr>
          <w:rFonts w:hint="eastAsia" w:ascii="宋体" w:hAnsi="宋体"/>
          <w:i/>
          <w:iCs/>
          <w:color w:val="auto"/>
          <w:highlight w:val="none"/>
          <w:u w:val="single"/>
        </w:rPr>
        <w:t>；若授权代表参加的，须提供《法人授权书》原件和被授权代表身份证复印件</w:t>
      </w:r>
      <w:r>
        <w:rPr>
          <w:rFonts w:hint="eastAsia" w:ascii="宋体" w:hAnsi="宋体"/>
          <w:b/>
          <w:i/>
          <w:iCs/>
          <w:color w:val="auto"/>
          <w:highlight w:val="none"/>
          <w:u w:val="single"/>
        </w:rPr>
        <w:t>（原件备查）</w:t>
      </w:r>
      <w:r>
        <w:rPr>
          <w:rFonts w:ascii="宋体" w:hAnsi="宋体"/>
          <w:i/>
          <w:iCs/>
          <w:color w:val="auto"/>
          <w:szCs w:val="21"/>
          <w:highlight w:val="none"/>
          <w:u w:val="single"/>
        </w:rPr>
        <w:t xml:space="preserve">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4 营业执照副本或民办非企业单位登记证书或事业单位法人证书等相关身份证明材料</w:t>
      </w:r>
      <w:r>
        <w:rPr>
          <w:rFonts w:hint="eastAsia" w:ascii="宋体" w:hAnsi="宋体"/>
          <w:b/>
          <w:i/>
          <w:iCs/>
          <w:color w:val="auto"/>
          <w:szCs w:val="21"/>
          <w:highlight w:val="none"/>
          <w:u w:val="single"/>
        </w:rPr>
        <w:t xml:space="preserve">(复印件加盖供应商公章)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5 依法缴纳职工社会保障资金的证明材料</w:t>
      </w:r>
      <w:r>
        <w:rPr>
          <w:rFonts w:hint="eastAsia" w:ascii="宋体" w:hAnsi="宋体"/>
          <w:b/>
          <w:i/>
          <w:iCs/>
          <w:color w:val="auto"/>
          <w:szCs w:val="21"/>
          <w:highlight w:val="none"/>
          <w:u w:val="single"/>
        </w:rPr>
        <w:t>(复印件加盖供应商公章)(税务、银行或社会保险基金管理部门出具的2023年1</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月-202</w:t>
      </w:r>
      <w:r>
        <w:rPr>
          <w:rFonts w:hint="eastAsia" w:ascii="宋体" w:hAnsi="宋体"/>
          <w:b/>
          <w:i/>
          <w:iCs/>
          <w:color w:val="auto"/>
          <w:szCs w:val="21"/>
          <w:highlight w:val="none"/>
          <w:u w:val="single"/>
          <w:lang w:val="en-US" w:eastAsia="zh-CN"/>
        </w:rPr>
        <w:t>4</w:t>
      </w:r>
      <w:r>
        <w:rPr>
          <w:rFonts w:hint="eastAsia" w:ascii="宋体" w:hAnsi="宋体"/>
          <w:b/>
          <w:i/>
          <w:iCs/>
          <w:color w:val="auto"/>
          <w:szCs w:val="21"/>
          <w:highlight w:val="none"/>
          <w:u w:val="single"/>
        </w:rPr>
        <w:t>年</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月三个月内任意一份缴纳职工社会保障资金的缴款凭证或缴款证明)</w:t>
      </w:r>
    </w:p>
    <w:p>
      <w:pPr>
        <w:spacing w:line="360" w:lineRule="auto"/>
        <w:ind w:firstLine="525" w:firstLineChars="250"/>
        <w:rPr>
          <w:rFonts w:ascii="宋体" w:hAnsi="宋体"/>
          <w:b/>
          <w:i/>
          <w:iCs/>
          <w:color w:val="auto"/>
          <w:szCs w:val="21"/>
          <w:highlight w:val="none"/>
          <w:u w:val="single"/>
        </w:rPr>
      </w:pPr>
      <w:r>
        <w:rPr>
          <w:rFonts w:hint="eastAsia" w:ascii="宋体" w:hAnsi="宋体"/>
          <w:i/>
          <w:iCs/>
          <w:color w:val="auto"/>
          <w:szCs w:val="21"/>
          <w:highlight w:val="none"/>
          <w:u w:val="single"/>
        </w:rPr>
        <w:t>6 供应商</w:t>
      </w:r>
      <w:r>
        <w:rPr>
          <w:rFonts w:hint="eastAsia" w:ascii="宋体" w:hAnsi="宋体"/>
          <w:b/>
          <w:i/>
          <w:iCs/>
          <w:color w:val="auto"/>
          <w:szCs w:val="21"/>
          <w:highlight w:val="none"/>
          <w:u w:val="single"/>
        </w:rPr>
        <w:t>2023年1</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月-202</w:t>
      </w:r>
      <w:r>
        <w:rPr>
          <w:rFonts w:hint="eastAsia" w:ascii="宋体" w:hAnsi="宋体"/>
          <w:b/>
          <w:i/>
          <w:iCs/>
          <w:color w:val="auto"/>
          <w:szCs w:val="21"/>
          <w:highlight w:val="none"/>
          <w:u w:val="single"/>
          <w:lang w:val="en-US" w:eastAsia="zh-CN"/>
        </w:rPr>
        <w:t>4</w:t>
      </w:r>
      <w:r>
        <w:rPr>
          <w:rFonts w:hint="eastAsia" w:ascii="宋体" w:hAnsi="宋体"/>
          <w:b/>
          <w:i/>
          <w:iCs/>
          <w:color w:val="auto"/>
          <w:szCs w:val="21"/>
          <w:highlight w:val="none"/>
          <w:u w:val="single"/>
        </w:rPr>
        <w:t>年</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w:t>
      </w:r>
      <w:r>
        <w:rPr>
          <w:rFonts w:hint="eastAsia" w:ascii="宋体" w:hAnsi="宋体"/>
          <w:i/>
          <w:iCs/>
          <w:color w:val="auto"/>
          <w:szCs w:val="21"/>
          <w:highlight w:val="none"/>
          <w:u w:val="single"/>
        </w:rPr>
        <w:t>三个月内任意一份依法纳税的缴款凭证</w:t>
      </w:r>
      <w:r>
        <w:rPr>
          <w:rFonts w:hint="eastAsia" w:ascii="宋体" w:hAnsi="宋体"/>
          <w:b/>
          <w:i/>
          <w:iCs/>
          <w:color w:val="auto"/>
          <w:szCs w:val="21"/>
          <w:highlight w:val="none"/>
          <w:u w:val="single"/>
        </w:rPr>
        <w:t>(复印件加盖供应商公章)</w:t>
      </w:r>
    </w:p>
    <w:p>
      <w:pPr>
        <w:spacing w:line="360" w:lineRule="auto"/>
        <w:ind w:firstLine="525" w:firstLineChars="250"/>
        <w:jc w:val="left"/>
        <w:rPr>
          <w:rFonts w:ascii="宋体" w:hAnsi="宋体"/>
          <w:i/>
          <w:iCs/>
          <w:color w:val="auto"/>
          <w:szCs w:val="21"/>
          <w:highlight w:val="none"/>
          <w:u w:val="single"/>
        </w:rPr>
      </w:pPr>
      <w:r>
        <w:rPr>
          <w:rFonts w:hint="eastAsia" w:ascii="宋体" w:hAnsi="宋体"/>
          <w:i/>
          <w:iCs/>
          <w:color w:val="auto"/>
          <w:szCs w:val="21"/>
          <w:highlight w:val="none"/>
          <w:u w:val="single"/>
        </w:rPr>
        <w:t>7 与第（6）条相对应的纳税申报表或经会计师事务所审计的2022年度财务报告</w:t>
      </w:r>
      <w:r>
        <w:rPr>
          <w:rFonts w:hint="eastAsia" w:ascii="宋体" w:hAnsi="宋体"/>
          <w:b/>
          <w:i/>
          <w:iCs/>
          <w:color w:val="auto"/>
          <w:szCs w:val="21"/>
          <w:highlight w:val="none"/>
          <w:u w:val="single"/>
        </w:rPr>
        <w:t xml:space="preserve"> (复印件加盖供应商公章)</w:t>
      </w:r>
    </w:p>
    <w:p>
      <w:pPr>
        <w:spacing w:line="360" w:lineRule="auto"/>
        <w:ind w:firstLine="420" w:firstLineChars="200"/>
        <w:jc w:val="left"/>
        <w:rPr>
          <w:rFonts w:hint="eastAsia" w:ascii="宋体" w:hAnsi="宋体"/>
          <w:b/>
          <w:bCs/>
          <w:i/>
          <w:iCs/>
          <w:color w:val="auto"/>
          <w:szCs w:val="21"/>
          <w:highlight w:val="none"/>
          <w:u w:val="single"/>
        </w:rPr>
      </w:pPr>
      <w:r>
        <w:rPr>
          <w:rFonts w:hint="eastAsia" w:ascii="宋体" w:hAnsi="宋体"/>
          <w:i/>
          <w:iCs/>
          <w:color w:val="auto"/>
          <w:szCs w:val="21"/>
          <w:highlight w:val="none"/>
          <w:u w:val="single"/>
        </w:rPr>
        <w:t>8 供应商参加本次采购活动前3年内在经营活动中没有重大违法记录的书面声明</w:t>
      </w:r>
      <w:r>
        <w:rPr>
          <w:rFonts w:hint="eastAsia" w:ascii="宋体" w:hAnsi="宋体"/>
          <w:b/>
          <w:bCs/>
          <w:i/>
          <w:iCs/>
          <w:color w:val="auto"/>
          <w:szCs w:val="21"/>
          <w:highlight w:val="none"/>
          <w:u w:val="single"/>
        </w:rPr>
        <w:t>（原件）</w:t>
      </w:r>
    </w:p>
    <w:p>
      <w:pPr>
        <w:spacing w:line="360" w:lineRule="auto"/>
        <w:ind w:firstLine="422" w:firstLineChars="200"/>
        <w:rPr>
          <w:rFonts w:hint="eastAsia"/>
          <w:color w:val="auto"/>
          <w:highlight w:val="none"/>
        </w:rPr>
      </w:pPr>
      <w:r>
        <w:rPr>
          <w:rFonts w:hint="eastAsia" w:ascii="宋体" w:hAnsi="宋体"/>
          <w:b/>
          <w:bCs/>
          <w:color w:val="auto"/>
          <w:szCs w:val="21"/>
          <w:highlight w:val="none"/>
        </w:rPr>
        <w:t>注：若供应商为事业单位等非企业法人，则5、6、7项无需提供。</w:t>
      </w:r>
    </w:p>
    <w:p>
      <w:pPr>
        <w:numPr>
          <w:ilvl w:val="0"/>
          <w:numId w:val="3"/>
        </w:numPr>
        <w:spacing w:line="360" w:lineRule="auto"/>
        <w:ind w:firstLine="420"/>
        <w:rPr>
          <w:rFonts w:hint="eastAsia" w:ascii="宋体" w:hAnsi="宋体"/>
          <w:color w:val="auto"/>
          <w:szCs w:val="21"/>
          <w:highlight w:val="none"/>
        </w:rPr>
      </w:pPr>
      <w:r>
        <w:rPr>
          <w:rFonts w:hint="eastAsia" w:ascii="宋体" w:hAnsi="宋体"/>
          <w:color w:val="auto"/>
          <w:szCs w:val="21"/>
          <w:highlight w:val="none"/>
        </w:rPr>
        <w:t>采购人根据本项目要求规定的特定条件：</w:t>
      </w:r>
      <w:r>
        <w:rPr>
          <w:rFonts w:hint="eastAsia" w:ascii="宋体" w:hAnsi="宋体"/>
          <w:color w:val="auto"/>
          <w:szCs w:val="21"/>
          <w:highlight w:val="none"/>
          <w:lang w:eastAsia="zh-CN"/>
        </w:rPr>
        <w:t>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（三）拒绝下述供应商参加本次采购活动：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（3）供应商被“信用中国”网站（www.creditchina.gov.cn）、</w:t>
      </w:r>
      <w:r>
        <w:rPr>
          <w:rFonts w:hint="eastAsia" w:ascii="宋体" w:hAnsi="宋体" w:cs="宋体"/>
          <w:color w:val="auto"/>
          <w:szCs w:val="21"/>
          <w:highlight w:val="none"/>
        </w:rPr>
        <w:t>“中国政府采购网"(www.ccgp.gov.cn)</w:t>
      </w:r>
      <w:r>
        <w:rPr>
          <w:rFonts w:hint="eastAsia" w:ascii="宋体" w:hAnsi="宋体"/>
          <w:color w:val="auto"/>
          <w:szCs w:val="21"/>
          <w:highlight w:val="none"/>
        </w:rPr>
        <w:t>列入失信被执行人、重大税收违法案件当事人名单、政府采购严重违法失信行为记录名单。</w:t>
      </w:r>
    </w:p>
    <w:p>
      <w:pPr>
        <w:spacing w:line="360" w:lineRule="auto"/>
        <w:ind w:firstLine="422" w:firstLineChars="200"/>
        <w:rPr>
          <w:rFonts w:hint="eastAsia" w:ascii="宋体" w:hAnsi="宋体" w:cs="宋体"/>
          <w:color w:val="auto"/>
          <w:szCs w:val="21"/>
          <w:highlight w:val="none"/>
        </w:rPr>
      </w:pPr>
      <w:bookmarkStart w:id="5" w:name="_Toc497145840"/>
      <w:r>
        <w:rPr>
          <w:rFonts w:hint="eastAsia" w:ascii="宋体" w:hAnsi="宋体" w:cs="宋体"/>
          <w:b/>
          <w:bCs/>
          <w:color w:val="auto"/>
          <w:szCs w:val="21"/>
          <w:highlight w:val="none"/>
        </w:rPr>
        <w:t>三、获取采购文件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日，每天0: 00-23: 59 (北京时间，法定节假日除外)</w:t>
      </w:r>
    </w:p>
    <w:p>
      <w:pPr>
        <w:spacing w:line="360" w:lineRule="auto"/>
        <w:ind w:firstLine="422" w:firstLineChars="200"/>
        <w:rPr>
          <w:rFonts w:hint="eastAsia" w:ascii="宋体" w:hAnsi="宋体" w:cs="宋体"/>
          <w:b/>
          <w:bCs/>
          <w:color w:val="auto"/>
          <w:szCs w:val="21"/>
          <w:highlight w:val="none"/>
        </w:rPr>
      </w:pPr>
      <w:bookmarkStart w:id="6" w:name="_Toc28359015"/>
      <w:bookmarkStart w:id="7" w:name="_Toc28359092"/>
      <w:bookmarkStart w:id="8" w:name="_Toc35393632"/>
      <w:bookmarkStart w:id="9" w:name="_Toc35393801"/>
      <w:r>
        <w:rPr>
          <w:rFonts w:hint="eastAsia" w:ascii="宋体" w:hAnsi="宋体" w:cs="宋体"/>
          <w:b/>
          <w:bCs/>
          <w:color w:val="auto"/>
          <w:szCs w:val="21"/>
          <w:highlight w:val="none"/>
        </w:rPr>
        <w:t>地点：扬州市政府采购服务商城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Arial"/>
          <w:color w:val="auto"/>
          <w:szCs w:val="21"/>
          <w:highlight w:val="none"/>
        </w:rPr>
        <w:t>谈判文件</w:t>
      </w:r>
      <w:r>
        <w:rPr>
          <w:rFonts w:hint="eastAsia" w:ascii="宋体" w:hAnsi="宋体"/>
          <w:color w:val="auto"/>
          <w:szCs w:val="21"/>
          <w:highlight w:val="none"/>
        </w:rPr>
        <w:t>在“</w:t>
      </w:r>
      <w:r>
        <w:rPr>
          <w:rFonts w:hint="eastAsia" w:ascii="宋体" w:hAnsi="宋体" w:cs="Arial"/>
          <w:color w:val="auto"/>
          <w:szCs w:val="21"/>
          <w:highlight w:val="none"/>
        </w:rPr>
        <w:t>扬州市政府采购服务商城”</w:t>
      </w:r>
      <w:r>
        <w:rPr>
          <w:rFonts w:hint="eastAsia" w:ascii="宋体" w:hAnsi="宋体"/>
          <w:color w:val="auto"/>
          <w:szCs w:val="21"/>
          <w:highlight w:val="none"/>
        </w:rPr>
        <w:t>上下载，供应商如确定参加谈判，请在</w:t>
      </w:r>
      <w:r>
        <w:rPr>
          <w:rFonts w:hint="eastAsia" w:ascii="宋体" w:hAnsi="宋体" w:cs="宋体"/>
          <w:color w:val="auto"/>
          <w:szCs w:val="21"/>
          <w:highlight w:val="none"/>
        </w:rPr>
        <w:t>扬州市政府采购服务商城进行报名，并</w:t>
      </w:r>
      <w:r>
        <w:rPr>
          <w:rFonts w:hint="eastAsia" w:ascii="宋体" w:hAnsi="宋体"/>
          <w:color w:val="auto"/>
          <w:szCs w:val="21"/>
          <w:highlight w:val="none"/>
        </w:rPr>
        <w:t>如实填写《供应商参加谈判确认函》并</w:t>
      </w:r>
      <w:bookmarkStart w:id="10" w:name="EBba9c9bd7b5a64bcfb0f2dcb71e0ea086"/>
      <w:r>
        <w:rPr>
          <w:rFonts w:hint="eastAsia" w:ascii="宋体" w:hAnsi="宋体"/>
          <w:color w:val="auto"/>
          <w:szCs w:val="21"/>
          <w:highlight w:val="none"/>
        </w:rPr>
        <w:t>按要求回复（电子邮箱：</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"mailto:1585473795@qq.com" </w:instrText>
      </w:r>
      <w:r>
        <w:rPr>
          <w:rFonts w:hint="eastAsia" w:ascii="宋体" w:hAnsi="宋体"/>
          <w:color w:val="auto"/>
          <w:szCs w:val="21"/>
          <w:highlight w:val="none"/>
        </w:rPr>
        <w:fldChar w:fldCharType="separate"/>
      </w:r>
      <w:r>
        <w:rPr>
          <w:rFonts w:hint="eastAsia" w:ascii="宋体" w:hAnsi="宋体"/>
          <w:color w:val="auto"/>
          <w:szCs w:val="21"/>
          <w:highlight w:val="none"/>
        </w:rPr>
        <w:t>418682631@qq.com</w:t>
      </w:r>
      <w:r>
        <w:rPr>
          <w:rFonts w:hint="eastAsia" w:ascii="宋体" w:hAnsi="宋体"/>
          <w:color w:val="auto"/>
          <w:szCs w:val="21"/>
          <w:highlight w:val="none"/>
        </w:rPr>
        <w:fldChar w:fldCharType="end"/>
      </w:r>
      <w:r>
        <w:rPr>
          <w:rFonts w:hint="eastAsia" w:ascii="宋体" w:hAnsi="宋体"/>
          <w:color w:val="auto"/>
          <w:szCs w:val="21"/>
          <w:highlight w:val="none"/>
        </w:rPr>
        <w:t>，联系电话：18952781590），</w:t>
      </w:r>
      <w:bookmarkEnd w:id="10"/>
      <w:r>
        <w:rPr>
          <w:rFonts w:hint="eastAsia" w:ascii="宋体" w:hAnsi="宋体"/>
          <w:color w:val="auto"/>
          <w:szCs w:val="21"/>
          <w:highlight w:val="none"/>
        </w:rPr>
        <w:t>同时需与采购代理机构经办人确认是否收到《供应商参加谈判确认函》，回复接收截止时间：2024年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日23:59。如供应商未按上述要求去做，将自行承担所产生的风险。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售价：人民币300元/套，递交纸质版谈判响应文件时缴纳，售后不退。</w:t>
      </w:r>
    </w:p>
    <w:p>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四、响应文件提交</w:t>
      </w:r>
      <w:bookmarkEnd w:id="6"/>
      <w:bookmarkEnd w:id="7"/>
      <w:bookmarkEnd w:id="8"/>
      <w:bookmarkEnd w:id="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电子响应文件提交截止时间：</w:t>
      </w:r>
      <w:r>
        <w:rPr>
          <w:rFonts w:hint="eastAsia" w:ascii="宋体" w:hAnsi="宋体"/>
          <w:color w:val="auto"/>
          <w:szCs w:val="21"/>
          <w:highlight w:val="none"/>
        </w:rPr>
        <w:t>同扬州市政府采购服务商城平台报名截止时间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纸质响应文件提交截止时间：2024年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:30（北京时间）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电子文件提交地点：扬州市政府采购服务商城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纸质文件提交地点：扬州览众建设工程咨询服务有限公司四楼开标二室( 扬州市邗江区玉箫路18号瘦西湖名苑商业配套用房4楼)</w:t>
      </w:r>
    </w:p>
    <w:p>
      <w:pPr>
        <w:spacing w:line="360" w:lineRule="auto"/>
        <w:ind w:firstLine="422" w:firstLineChars="200"/>
        <w:rPr>
          <w:rFonts w:hint="eastAsia" w:ascii="宋体" w:hAnsi="宋体" w:cs="宋体"/>
          <w:color w:val="auto"/>
          <w:szCs w:val="21"/>
          <w:highlight w:val="none"/>
        </w:rPr>
      </w:pPr>
      <w:bookmarkStart w:id="11" w:name="_Toc35393802"/>
      <w:bookmarkStart w:id="12" w:name="_Toc28359016"/>
      <w:bookmarkStart w:id="13" w:name="_Toc35393633"/>
      <w:bookmarkStart w:id="14" w:name="_Toc28359093"/>
      <w:r>
        <w:rPr>
          <w:rFonts w:hint="eastAsia" w:ascii="宋体" w:hAnsi="宋体" w:cs="宋体"/>
          <w:b/>
          <w:bCs/>
          <w:color w:val="auto"/>
          <w:szCs w:val="21"/>
          <w:highlight w:val="none"/>
        </w:rPr>
        <w:t>五、开启</w:t>
      </w:r>
      <w:bookmarkEnd w:id="11"/>
      <w:bookmarkEnd w:id="12"/>
      <w:bookmarkEnd w:id="13"/>
      <w:bookmarkEnd w:id="14"/>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:30（北京时间）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地点：扬州览众建设工程咨询服务有限公司四楼评标室(扬州市邗江区玉箫路18号瘦西湖名苑商业配套用房4楼)</w:t>
      </w:r>
    </w:p>
    <w:p>
      <w:pPr>
        <w:spacing w:line="360" w:lineRule="auto"/>
        <w:ind w:firstLine="422" w:firstLineChars="200"/>
        <w:rPr>
          <w:rFonts w:hint="eastAsia" w:ascii="宋体" w:hAnsi="宋体" w:cs="宋体"/>
          <w:b/>
          <w:bCs/>
          <w:color w:val="auto"/>
          <w:szCs w:val="21"/>
          <w:highlight w:val="none"/>
        </w:rPr>
      </w:pPr>
      <w:bookmarkStart w:id="15" w:name="_Toc35393635"/>
      <w:bookmarkStart w:id="16" w:name="_Toc35393804"/>
      <w:r>
        <w:rPr>
          <w:rFonts w:hint="eastAsia" w:ascii="宋体" w:hAnsi="宋体" w:cs="宋体"/>
          <w:b/>
          <w:bCs/>
          <w:color w:val="auto"/>
          <w:szCs w:val="21"/>
          <w:highlight w:val="none"/>
        </w:rPr>
        <w:t>六、其他补充事宜</w:t>
      </w:r>
      <w:bookmarkEnd w:id="15"/>
      <w:bookmarkEnd w:id="16"/>
    </w:p>
    <w:p>
      <w:pPr>
        <w:spacing w:line="360" w:lineRule="auto"/>
        <w:ind w:firstLine="422" w:firstLineChars="200"/>
        <w:rPr>
          <w:rFonts w:ascii="宋体" w:hAnsi="宋体" w:cs="宋体"/>
          <w:color w:val="auto"/>
          <w:sz w:val="24"/>
          <w:highlight w:val="none"/>
        </w:rPr>
      </w:pPr>
      <w:r>
        <w:rPr>
          <w:rFonts w:hint="eastAsia" w:ascii="宋体" w:hAnsi="宋体" w:cs="宋体"/>
          <w:b/>
          <w:bCs/>
          <w:color w:val="auto"/>
          <w:szCs w:val="21"/>
          <w:highlight w:val="none"/>
        </w:rPr>
        <w:t>1、响应文件份数:线下提交纸质版一式三份(壹份正本、贰份副本)，平台线上报名时需上传盖章后的电子文件一份（电子文件内容应与纸质文件正本一致，如不一致以线上电子文件为准。</w:t>
      </w:r>
      <w:r>
        <w:rPr>
          <w:rFonts w:hint="eastAsia" w:ascii="宋体" w:hAnsi="宋体" w:cs="宋体"/>
          <w:color w:val="auto"/>
          <w:szCs w:val="21"/>
          <w:highlight w:val="none"/>
        </w:rPr>
        <w:t>副本可为正本的复印件，应与正本一致，如副本与正本出现不一致情况以正本为准）。采购过程中采购人将以平台的线上资料为准，作为评判依据。供应商制作的响应文件电子文件、纸质版正本中，须按照采购文件规定签字、盖章。</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2、现场考察时间:</w:t>
      </w:r>
      <w:r>
        <w:rPr>
          <w:rFonts w:hint="eastAsia" w:ascii="宋体" w:hAnsi="宋体" w:cs="宋体"/>
          <w:color w:val="auto"/>
          <w:szCs w:val="21"/>
          <w:highlight w:val="none"/>
          <w:lang w:eastAsia="zh-CN"/>
        </w:rPr>
        <w:t>自行勘察。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在扬州市政府采购服务商城（https://cg.zbj.com/）发布公告。凡有意参加本次采购的供应商，请于公告发布之日起至报名截止时间之前，在扬州市政府采购服务商城下载查看本项目需求文件以及变更公告等在规定的响应文件提交截止时间前公布的所有项目资料，无论供应商下载查看与否，均视为已知晓所有关于本项目的实质性要求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4、本次谈判不收取谈判保证金。</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i/>
          <w:iCs/>
          <w:color w:val="auto"/>
          <w:szCs w:val="21"/>
          <w:highlight w:val="none"/>
          <w:u w:val="single"/>
        </w:rPr>
        <w:t>5、本谈判文件中斜体下划线部分为实质性响应条件，为必须遵守的条件，如不满足将作无效响应文件处理。</w:t>
      </w:r>
    </w:p>
    <w:p>
      <w:pPr>
        <w:spacing w:line="360" w:lineRule="auto"/>
        <w:ind w:firstLine="422" w:firstLineChars="200"/>
        <w:rPr>
          <w:rFonts w:hint="eastAsia" w:ascii="宋体" w:hAnsi="宋体" w:cs="宋体"/>
          <w:b/>
          <w:bCs/>
          <w:i/>
          <w:iCs/>
          <w:color w:val="auto"/>
          <w:szCs w:val="21"/>
          <w:highlight w:val="none"/>
          <w:u w:val="single"/>
        </w:rPr>
      </w:pPr>
      <w:bookmarkStart w:id="17" w:name="_Toc35393636"/>
      <w:bookmarkStart w:id="18" w:name="_Toc28359018"/>
      <w:bookmarkStart w:id="19" w:name="_Toc28359095"/>
      <w:bookmarkStart w:id="20" w:name="_Toc35393805"/>
      <w:r>
        <w:rPr>
          <w:rFonts w:hint="eastAsia" w:ascii="宋体" w:hAnsi="宋体" w:cs="宋体"/>
          <w:b/>
          <w:bCs/>
          <w:i/>
          <w:iCs/>
          <w:color w:val="auto"/>
          <w:szCs w:val="21"/>
          <w:highlight w:val="none"/>
          <w:u w:val="single"/>
        </w:rPr>
        <w:t>6、供应商须满足以下三种条件，其响应文件才被接受：（1）平台线上报名并上传响应文件；（2）按时递交了响应文件；（3）按时报名签到。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7、供应商如对采购文件有疑问，请咨询采购人或代理机构。如对采购流程有疑问，请咨询扬州市政府采购服务商城运营（客服热线400-660-7735，供应商指导QQ群： 755712717）。</w:t>
      </w:r>
    </w:p>
    <w:p>
      <w:pPr>
        <w:spacing w:line="360" w:lineRule="auto"/>
        <w:ind w:firstLine="422" w:firstLineChars="200"/>
        <w:rPr>
          <w:rFonts w:ascii="黑体" w:hAnsi="黑体" w:cs="宋体"/>
          <w:color w:val="auto"/>
          <w:sz w:val="28"/>
          <w:szCs w:val="28"/>
          <w:highlight w:val="none"/>
        </w:rPr>
      </w:pPr>
      <w:r>
        <w:rPr>
          <w:rFonts w:hint="eastAsia" w:ascii="宋体" w:hAnsi="宋体" w:cs="宋体"/>
          <w:b/>
          <w:bCs/>
          <w:color w:val="auto"/>
          <w:szCs w:val="21"/>
          <w:highlight w:val="none"/>
        </w:rPr>
        <w:t>七、凡对本次采购提出询问，请按以下方式联系。</w:t>
      </w:r>
      <w:bookmarkEnd w:id="17"/>
      <w:bookmarkEnd w:id="18"/>
      <w:bookmarkEnd w:id="19"/>
      <w:bookmarkEnd w:id="20"/>
    </w:p>
    <w:p>
      <w:pPr>
        <w:spacing w:line="360" w:lineRule="auto"/>
        <w:ind w:firstLine="420" w:firstLineChars="200"/>
        <w:rPr>
          <w:rFonts w:hint="eastAsia" w:ascii="宋体" w:hAnsi="宋体" w:cs="宋体"/>
          <w:color w:val="auto"/>
          <w:szCs w:val="21"/>
          <w:highlight w:val="none"/>
        </w:rPr>
      </w:pPr>
      <w:bookmarkStart w:id="21" w:name="_Toc28359096"/>
      <w:bookmarkStart w:id="22" w:name="_Toc35393637"/>
      <w:bookmarkStart w:id="23" w:name="_Toc28359019"/>
      <w:bookmarkStart w:id="24" w:name="_Toc35393806"/>
      <w:r>
        <w:rPr>
          <w:rFonts w:hint="eastAsia" w:ascii="宋体" w:hAnsi="宋体" w:cs="宋体"/>
          <w:color w:val="auto"/>
          <w:szCs w:val="21"/>
          <w:highlight w:val="none"/>
        </w:rPr>
        <w:t>1.采购人信息</w:t>
      </w:r>
      <w:bookmarkEnd w:id="21"/>
      <w:bookmarkEnd w:id="22"/>
      <w:bookmarkEnd w:id="23"/>
      <w:bookmarkEnd w:id="24"/>
    </w:p>
    <w:p>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名    称：</w:t>
      </w:r>
      <w:r>
        <w:rPr>
          <w:rFonts w:hint="eastAsia" w:ascii="宋体" w:hAnsi="宋体" w:cs="宋体"/>
          <w:color w:val="auto"/>
          <w:szCs w:val="21"/>
          <w:highlight w:val="none"/>
          <w:u w:val="none"/>
          <w:lang w:eastAsia="zh-CN"/>
        </w:rPr>
        <w:t>扬州市长江运河管理处</w:t>
      </w:r>
    </w:p>
    <w:p>
      <w:pPr>
        <w:spacing w:line="360" w:lineRule="auto"/>
        <w:ind w:firstLine="420" w:firstLineChars="200"/>
        <w:rPr>
          <w:rFonts w:hint="eastAsia" w:ascii="宋体" w:hAnsi="宋体" w:eastAsia="宋体" w:cs="宋体"/>
          <w:color w:val="auto"/>
          <w:szCs w:val="21"/>
          <w:highlight w:val="none"/>
          <w:u w:val="none"/>
        </w:rPr>
      </w:pPr>
      <w:bookmarkStart w:id="25" w:name="_Toc35393638"/>
      <w:bookmarkStart w:id="26" w:name="_Toc28359097"/>
      <w:bookmarkStart w:id="27" w:name="_Toc28359020"/>
      <w:bookmarkStart w:id="28" w:name="_Toc35393807"/>
      <w:r>
        <w:rPr>
          <w:rFonts w:hint="eastAsia" w:ascii="宋体" w:hAnsi="宋体" w:eastAsia="宋体" w:cs="宋体"/>
          <w:color w:val="auto"/>
          <w:szCs w:val="21"/>
          <w:highlight w:val="none"/>
          <w:u w:val="none"/>
        </w:rPr>
        <w:t>地    址：</w:t>
      </w:r>
      <w:r>
        <w:rPr>
          <w:rFonts w:hint="eastAsia" w:ascii="宋体" w:hAnsi="宋体" w:cs="宋体"/>
          <w:color w:val="auto"/>
          <w:szCs w:val="21"/>
          <w:highlight w:val="none"/>
          <w:u w:val="none"/>
          <w:lang w:eastAsia="zh-CN"/>
        </w:rPr>
        <w:t>扬州市邗江区瓜洲镇瓜洲村东岸组</w:t>
      </w:r>
    </w:p>
    <w:p>
      <w:pPr>
        <w:pStyle w:val="23"/>
        <w:keepNext w:val="0"/>
        <w:keepLines w:val="0"/>
        <w:pageBreakBefore w:val="0"/>
        <w:widowControl w:val="0"/>
        <w:kinsoku/>
        <w:wordWrap/>
        <w:overflowPunct/>
        <w:topLinePunct w:val="0"/>
        <w:autoSpaceDE/>
        <w:autoSpaceDN/>
        <w:bidi w:val="0"/>
        <w:adjustRightInd/>
        <w:snapToGrid/>
        <w:spacing w:before="60" w:beforeAutospacing="0" w:after="60" w:afterAutospacing="0" w:line="360" w:lineRule="auto"/>
        <w:ind w:firstLine="420" w:firstLineChars="200"/>
        <w:textAlignment w:val="auto"/>
        <w:outlineLvl w:val="2"/>
        <w:rPr>
          <w:rFonts w:hint="eastAsia" w:eastAsia="宋体"/>
          <w:color w:val="auto"/>
          <w:sz w:val="21"/>
          <w:szCs w:val="21"/>
          <w:highlight w:val="none"/>
          <w:u w:val="none"/>
        </w:rPr>
      </w:pPr>
      <w:r>
        <w:rPr>
          <w:rFonts w:hint="eastAsia" w:eastAsia="宋体"/>
          <w:color w:val="auto"/>
          <w:sz w:val="21"/>
          <w:szCs w:val="21"/>
          <w:highlight w:val="none"/>
          <w:u w:val="none"/>
        </w:rPr>
        <w:t>联 系 人：</w:t>
      </w:r>
      <w:r>
        <w:rPr>
          <w:rFonts w:hint="eastAsia" w:eastAsia="宋体"/>
          <w:color w:val="auto"/>
          <w:sz w:val="21"/>
          <w:szCs w:val="21"/>
          <w:highlight w:val="none"/>
          <w:u w:val="none"/>
          <w:lang w:eastAsia="zh-CN"/>
        </w:rPr>
        <w:t>王先生</w:t>
      </w:r>
      <w:r>
        <w:rPr>
          <w:rFonts w:hint="eastAsia" w:eastAsia="宋体"/>
          <w:color w:val="auto"/>
          <w:sz w:val="21"/>
          <w:szCs w:val="21"/>
          <w:highlight w:val="none"/>
          <w:u w:val="none"/>
        </w:rPr>
        <w:t>　　　　　　　　　　　　</w:t>
      </w:r>
    </w:p>
    <w:p>
      <w:pPr>
        <w:pStyle w:val="23"/>
        <w:keepNext w:val="0"/>
        <w:keepLines w:val="0"/>
        <w:pageBreakBefore w:val="0"/>
        <w:widowControl w:val="0"/>
        <w:kinsoku/>
        <w:wordWrap/>
        <w:overflowPunct/>
        <w:topLinePunct w:val="0"/>
        <w:autoSpaceDE/>
        <w:autoSpaceDN/>
        <w:bidi w:val="0"/>
        <w:adjustRightInd/>
        <w:snapToGrid/>
        <w:spacing w:before="60" w:beforeAutospacing="0" w:after="60" w:afterAutospacing="0" w:line="360" w:lineRule="auto"/>
        <w:ind w:firstLine="420" w:firstLineChars="200"/>
        <w:textAlignment w:val="auto"/>
        <w:rPr>
          <w:rFonts w:hint="eastAsia" w:eastAsia="宋体"/>
          <w:color w:val="auto"/>
          <w:sz w:val="21"/>
          <w:szCs w:val="21"/>
          <w:highlight w:val="none"/>
          <w:u w:val="none"/>
          <w:lang w:eastAsia="zh-CN"/>
        </w:rPr>
      </w:pPr>
      <w:r>
        <w:rPr>
          <w:rFonts w:hint="eastAsia" w:eastAsia="宋体"/>
          <w:color w:val="auto"/>
          <w:sz w:val="21"/>
          <w:szCs w:val="21"/>
          <w:highlight w:val="none"/>
          <w:u w:val="none"/>
        </w:rPr>
        <w:t>联系方式：</w:t>
      </w:r>
      <w:r>
        <w:rPr>
          <w:rFonts w:hint="eastAsia" w:eastAsia="宋体"/>
          <w:color w:val="auto"/>
          <w:sz w:val="21"/>
          <w:szCs w:val="21"/>
          <w:highlight w:val="none"/>
          <w:u w:val="none"/>
          <w:lang w:eastAsia="zh-CN"/>
        </w:rPr>
        <w:t>0514-87288937</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5"/>
      <w:bookmarkEnd w:id="26"/>
      <w:bookmarkEnd w:id="27"/>
      <w:bookmarkEnd w:id="28"/>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称：扬州览众建设工程咨询服务有限公司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址：扬州市邗江区玉箫路18号瘦西湖名苑商业配套用房4楼</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项目联系人：许诚哲</w:t>
      </w:r>
    </w:p>
    <w:p>
      <w:pPr>
        <w:spacing w:line="360" w:lineRule="auto"/>
        <w:ind w:firstLine="420" w:firstLineChars="200"/>
        <w:rPr>
          <w:color w:val="auto"/>
          <w:highlight w:val="none"/>
        </w:rPr>
      </w:pPr>
      <w:r>
        <w:rPr>
          <w:rFonts w:hint="eastAsia" w:ascii="宋体" w:hAnsi="宋体" w:cs="宋体"/>
          <w:color w:val="auto"/>
          <w:szCs w:val="21"/>
          <w:highlight w:val="none"/>
        </w:rPr>
        <w:t>电　　 话：18952781590</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扬州览众建设工程咨询服务有限公司</w:t>
      </w:r>
    </w:p>
    <w:p>
      <w:pPr>
        <w:spacing w:line="360" w:lineRule="auto"/>
        <w:jc w:val="right"/>
        <w:rPr>
          <w:rFonts w:ascii="宋体" w:hAnsi="宋体"/>
          <w:color w:val="auto"/>
          <w:szCs w:val="21"/>
          <w:highlight w:val="none"/>
        </w:rPr>
      </w:pPr>
      <w:r>
        <w:rPr>
          <w:rFonts w:hint="eastAsia" w:ascii="宋体" w:hAnsi="宋体"/>
          <w:color w:val="auto"/>
          <w:szCs w:val="21"/>
          <w:highlight w:val="none"/>
        </w:rPr>
        <w:t>2024年</w:t>
      </w:r>
      <w:r>
        <w:rPr>
          <w:rFonts w:hint="eastAsia" w:ascii="宋体" w:hAnsi="宋体"/>
          <w:color w:val="auto"/>
          <w:szCs w:val="21"/>
          <w:highlight w:val="none"/>
          <w:lang w:val="en-US" w:eastAsia="zh-CN"/>
        </w:rPr>
        <w:t>3</w:t>
      </w:r>
      <w:r>
        <w:rPr>
          <w:rFonts w:ascii="宋体" w:hAnsi="宋体"/>
          <w:color w:val="auto"/>
          <w:szCs w:val="21"/>
          <w:highlight w:val="none"/>
        </w:rPr>
        <w:t>月</w:t>
      </w:r>
      <w:r>
        <w:rPr>
          <w:rFonts w:hint="eastAsia" w:ascii="宋体" w:hAnsi="宋体"/>
          <w:color w:val="auto"/>
          <w:szCs w:val="21"/>
          <w:highlight w:val="none"/>
          <w:lang w:val="en-US" w:eastAsia="zh-CN"/>
        </w:rPr>
        <w:t>7</w:t>
      </w:r>
      <w:r>
        <w:rPr>
          <w:rFonts w:ascii="宋体" w:hAnsi="宋体"/>
          <w:color w:val="auto"/>
          <w:szCs w:val="21"/>
          <w:highlight w:val="none"/>
        </w:rPr>
        <w:t>日</w:t>
      </w:r>
      <w:bookmarkStart w:id="29" w:name="_Toc25072"/>
    </w:p>
    <w:p>
      <w:pPr>
        <w:spacing w:line="360" w:lineRule="auto"/>
        <w:jc w:val="center"/>
        <w:rPr>
          <w:rFonts w:hint="eastAsia" w:ascii="宋体" w:hAnsi="宋体"/>
          <w:b/>
          <w:bCs/>
          <w:color w:val="auto"/>
          <w:sz w:val="36"/>
          <w:highlight w:val="none"/>
        </w:rPr>
      </w:pPr>
    </w:p>
    <w:p>
      <w:pPr>
        <w:spacing w:line="360" w:lineRule="auto"/>
        <w:jc w:val="center"/>
        <w:rPr>
          <w:rFonts w:hint="eastAsia" w:ascii="宋体" w:hAnsi="宋体"/>
          <w:color w:val="auto"/>
          <w:sz w:val="36"/>
          <w:highlight w:val="none"/>
        </w:rPr>
      </w:pPr>
      <w:r>
        <w:rPr>
          <w:rFonts w:hint="eastAsia" w:ascii="宋体" w:hAnsi="宋体"/>
          <w:b/>
          <w:bCs/>
          <w:color w:val="auto"/>
          <w:sz w:val="36"/>
          <w:highlight w:val="none"/>
        </w:rPr>
        <w:t>第二章 谈判须知</w:t>
      </w:r>
      <w:bookmarkEnd w:id="5"/>
      <w:bookmarkEnd w:id="29"/>
    </w:p>
    <w:p>
      <w:pPr>
        <w:spacing w:line="360" w:lineRule="auto"/>
        <w:jc w:val="center"/>
        <w:rPr>
          <w:rFonts w:hint="eastAsia" w:ascii="宋体" w:hAnsi="宋体" w:cs="宋体"/>
          <w:b/>
          <w:bCs/>
          <w:color w:val="auto"/>
          <w:szCs w:val="21"/>
          <w:highlight w:val="none"/>
        </w:rPr>
      </w:pPr>
      <w:bookmarkStart w:id="30" w:name="_Toc16938520"/>
      <w:bookmarkStart w:id="31" w:name="_Toc513029204"/>
      <w:bookmarkStart w:id="32" w:name="_Toc20823276"/>
      <w:bookmarkStart w:id="33" w:name="_Toc458694821"/>
      <w:r>
        <w:rPr>
          <w:rFonts w:hint="eastAsia" w:ascii="宋体" w:hAnsi="宋体" w:cs="宋体"/>
          <w:bCs/>
          <w:color w:val="auto"/>
          <w:szCs w:val="21"/>
          <w:highlight w:val="none"/>
        </w:rPr>
        <w:t>（参加谈判的供应商以下简称“谈判供应商”）</w:t>
      </w:r>
    </w:p>
    <w:bookmarkEnd w:id="30"/>
    <w:bookmarkEnd w:id="31"/>
    <w:bookmarkEnd w:id="32"/>
    <w:bookmarkEnd w:id="33"/>
    <w:p>
      <w:pPr>
        <w:tabs>
          <w:tab w:val="left" w:pos="900"/>
        </w:tabs>
        <w:spacing w:line="360" w:lineRule="auto"/>
        <w:ind w:firstLine="420" w:firstLineChars="200"/>
        <w:rPr>
          <w:rFonts w:hint="eastAsia" w:ascii="宋体" w:hAnsi="宋体" w:cs="宋体"/>
          <w:color w:val="auto"/>
          <w:szCs w:val="21"/>
          <w:highlight w:val="none"/>
        </w:rPr>
      </w:pPr>
      <w:bookmarkStart w:id="34" w:name="OLE_LINK69"/>
      <w:bookmarkEnd w:id="34"/>
      <w:r>
        <w:rPr>
          <w:rFonts w:hint="eastAsia" w:ascii="宋体" w:hAnsi="宋体" w:cs="宋体"/>
          <w:color w:val="auto"/>
          <w:szCs w:val="21"/>
          <w:highlight w:val="none"/>
        </w:rPr>
        <w:t>1、适用范围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本谈判文件（以下简称谈判文件）仅适用此项目。</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2、项目采购方式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本次采购采取谈判的方式。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3、合格的谈判供应商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3.1满足本谈判文件“谈判采购邀请”中合格谈判供应商资格要求的规定。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满足本谈判文件实质性要求和条件的规定。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4、参加谈判费用</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4.1参加谈判供应商应自行承担所有与参加谈判有关的费用。不论最终的成交结果如何，扬州览众建设工程咨询服务有限公司（以下简称代理机构） 在任何情况下均无义务和责任承担这些费用。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4.2本次谈判文件售价300元，递交谈判响应文件时现金缴纳，售后不退。</w:t>
      </w:r>
    </w:p>
    <w:p>
      <w:pPr>
        <w:spacing w:line="360" w:lineRule="auto"/>
        <w:ind w:firstLine="420"/>
        <w:rPr>
          <w:rFonts w:hint="eastAsia" w:ascii="宋体" w:hAnsi="宋体" w:eastAsia="宋体" w:cs="宋体"/>
          <w:color w:val="auto"/>
          <w:highlight w:val="none"/>
        </w:rPr>
      </w:pPr>
      <w:r>
        <w:rPr>
          <w:rFonts w:hint="eastAsia" w:ascii="宋体" w:hAnsi="宋体" w:cs="宋体"/>
          <w:color w:val="auto"/>
          <w:szCs w:val="21"/>
          <w:highlight w:val="none"/>
        </w:rPr>
        <w:t>4.3</w:t>
      </w:r>
      <w:r>
        <w:rPr>
          <w:rFonts w:hint="eastAsia" w:ascii="宋体" w:hAnsi="宋体" w:eastAsia="宋体" w:cs="宋体"/>
          <w:color w:val="auto"/>
          <w:highlight w:val="none"/>
        </w:rPr>
        <w:t>本次采购由成交单位在领取成交通知书前按照国家计委印发的《招标代理服务收费管理暂行办法》(计价格【2002】1980 号文)</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 xml:space="preserve">类的标准一次性支付给招标代理机构代理服务费。 </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（1）代理服务费以人民币支付； </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（2）代理服务费一次性以电汇、转账等非现金形式支付； </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（3）招标代理服务费不在磋商报价中单列，包含在磋商总价中，由成交单位支付给代理机构。  </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4.3专家评审费按扬财购【2020】40 号文《关于进一步规范扬州市政府采购专家评审费标准的通知》执行。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5、谈判文件的约束力</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供应商一旦下载了本谈判文件并决定参加谈判，即被认为接受了本谈判文件的规定和约束，并且视为自谈判公告期限届满之日起已经知道或应当知道自身权益是否受到了损害。</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bookmarkStart w:id="35" w:name="_Toc462564070"/>
      <w:bookmarkStart w:id="36" w:name="_Toc16938527"/>
      <w:bookmarkStart w:id="37" w:name="_Toc513029211"/>
      <w:bookmarkStart w:id="38" w:name="_Toc20823283"/>
      <w:r>
        <w:rPr>
          <w:rFonts w:hint="eastAsia" w:ascii="宋体" w:hAnsi="宋体" w:cs="宋体"/>
          <w:color w:val="auto"/>
          <w:szCs w:val="21"/>
          <w:highlight w:val="none"/>
        </w:rPr>
        <w:t>谈判文件的</w:t>
      </w:r>
      <w:bookmarkEnd w:id="35"/>
      <w:bookmarkEnd w:id="36"/>
      <w:bookmarkEnd w:id="37"/>
      <w:bookmarkEnd w:id="38"/>
      <w:r>
        <w:rPr>
          <w:rFonts w:hint="eastAsia" w:ascii="宋体" w:hAnsi="宋体" w:cs="宋体"/>
          <w:color w:val="auto"/>
          <w:szCs w:val="21"/>
          <w:highlight w:val="none"/>
        </w:rPr>
        <w:t>询问及修改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任何要求对谈判文件进行询问的供应商，均应在提交首次响应文件截止时间2个工作日前按谈判采购邀请中的通讯地址，向甲方或代理机构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2个工作日前，在“扬州市政府采购服务商城”上发布更正公告通知所有获取谈判文件的供应商。不足2个工作日的，代理机构应当顺延提交首次响应文件至2个工作日。</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6.2代理机构或甲方可以视采购项目的具体情况，组织供应商进行现场考察或召开谈判前答疑会，但不单独或分别组织只有一个供应商参加的现场考察和答疑会。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7、谈判文件的解释</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7.1 本谈判文件由代理机构负责解释。</w:t>
      </w:r>
    </w:p>
    <w:p>
      <w:pPr>
        <w:tabs>
          <w:tab w:val="left" w:pos="900"/>
        </w:tabs>
        <w:spacing w:line="360" w:lineRule="auto"/>
        <w:ind w:firstLine="422" w:firstLineChars="200"/>
        <w:rPr>
          <w:rFonts w:hint="eastAsia" w:ascii="宋体" w:hAnsi="宋体" w:cs="宋体"/>
          <w:b/>
          <w:color w:val="auto"/>
          <w:szCs w:val="21"/>
          <w:highlight w:val="none"/>
        </w:rPr>
      </w:pPr>
      <w:bookmarkStart w:id="39" w:name="_Hlt26670345"/>
      <w:bookmarkEnd w:id="39"/>
      <w:bookmarkStart w:id="40" w:name="_Hlt26954828"/>
      <w:bookmarkEnd w:id="40"/>
      <w:bookmarkStart w:id="41" w:name="_Hlt26954832"/>
      <w:bookmarkEnd w:id="41"/>
      <w:bookmarkStart w:id="42" w:name="_Hlt26670354"/>
      <w:bookmarkEnd w:id="42"/>
      <w:bookmarkStart w:id="43" w:name="_Hlt26670348"/>
      <w:bookmarkEnd w:id="43"/>
      <w:bookmarkStart w:id="44" w:name="_Hlt26954830"/>
      <w:bookmarkEnd w:id="44"/>
      <w:bookmarkStart w:id="45" w:name="_Hlt26668969"/>
      <w:bookmarkEnd w:id="45"/>
      <w:bookmarkStart w:id="46" w:name="_Toc513029213"/>
      <w:bookmarkStart w:id="47" w:name="_Toc61149553"/>
      <w:bookmarkStart w:id="48" w:name="_Toc14577351"/>
      <w:bookmarkStart w:id="49" w:name="_Toc462564072"/>
      <w:r>
        <w:rPr>
          <w:rFonts w:hint="eastAsia" w:ascii="宋体" w:hAnsi="宋体" w:cs="宋体"/>
          <w:b/>
          <w:color w:val="auto"/>
          <w:szCs w:val="21"/>
          <w:highlight w:val="none"/>
        </w:rPr>
        <w:t>二、谈判响应文件的编制</w:t>
      </w:r>
      <w:bookmarkEnd w:id="46"/>
      <w:bookmarkEnd w:id="47"/>
      <w:bookmarkEnd w:id="48"/>
      <w:bookmarkEnd w:id="49"/>
      <w:r>
        <w:rPr>
          <w:rFonts w:hint="eastAsia" w:ascii="宋体" w:hAnsi="宋体" w:cs="宋体"/>
          <w:b/>
          <w:color w:val="auto"/>
          <w:szCs w:val="21"/>
          <w:highlight w:val="none"/>
        </w:rPr>
        <w:t>及保证金收取</w:t>
      </w:r>
    </w:p>
    <w:p>
      <w:pPr>
        <w:tabs>
          <w:tab w:val="left" w:pos="900"/>
        </w:tabs>
        <w:spacing w:line="360" w:lineRule="auto"/>
        <w:ind w:firstLine="420" w:firstLineChars="200"/>
        <w:rPr>
          <w:rFonts w:hint="eastAsia" w:ascii="宋体" w:hAnsi="宋体" w:cs="宋体"/>
          <w:color w:val="auto"/>
          <w:szCs w:val="21"/>
          <w:highlight w:val="none"/>
        </w:rPr>
      </w:pPr>
      <w:bookmarkStart w:id="50" w:name="_Toc61149561"/>
      <w:bookmarkStart w:id="51" w:name="_Toc14577361"/>
      <w:bookmarkStart w:id="52" w:name="_Toc513029223"/>
      <w:r>
        <w:rPr>
          <w:rFonts w:hint="eastAsia" w:ascii="宋体" w:hAnsi="宋体" w:cs="宋体"/>
          <w:color w:val="auto"/>
          <w:szCs w:val="21"/>
          <w:highlight w:val="none"/>
        </w:rPr>
        <w:t>1、谈判响应文件份数和签署</w:t>
      </w:r>
      <w:bookmarkEnd w:id="50"/>
      <w:bookmarkEnd w:id="51"/>
      <w:bookmarkEnd w:id="52"/>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1.1谈判供应商应严格按照采购邀请要求准备谈判响应文件（以下简称响应文件），每份响应文件须清楚地标明“正本”或“副本”字样。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除谈判供应商对错处做必要修改外，响应文件不得行间插字、涂改或增删。如有修改错漏处，必须由响应文件签署人签字或盖章。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hint="eastAsia" w:ascii="宋体" w:hAnsi="宋体" w:cs="宋体"/>
          <w:color w:val="auto"/>
          <w:szCs w:val="21"/>
          <w:highlight w:val="none"/>
        </w:rPr>
      </w:pPr>
      <w:bookmarkStart w:id="53" w:name="_Hlt26954834"/>
      <w:bookmarkEnd w:id="53"/>
      <w:bookmarkStart w:id="54" w:name="_Toc462564074"/>
      <w:bookmarkStart w:id="55" w:name="_Toc513029215"/>
      <w:bookmarkStart w:id="56" w:name="_Toc14577353"/>
      <w:bookmarkStart w:id="57" w:name="_Toc61149555"/>
      <w:bookmarkStart w:id="58" w:name="_Toc462564073"/>
      <w:bookmarkStart w:id="59" w:name="_Toc61149554"/>
      <w:bookmarkStart w:id="60" w:name="_Toc513029214"/>
      <w:bookmarkStart w:id="61" w:name="_Toc14577352"/>
      <w:r>
        <w:rPr>
          <w:rFonts w:hint="eastAsia" w:ascii="宋体" w:hAnsi="宋体" w:cs="宋体"/>
          <w:color w:val="auto"/>
          <w:szCs w:val="21"/>
          <w:highlight w:val="none"/>
        </w:rPr>
        <w:t>2、响应文件</w:t>
      </w:r>
      <w:bookmarkEnd w:id="54"/>
      <w:bookmarkEnd w:id="55"/>
      <w:bookmarkEnd w:id="56"/>
      <w:bookmarkEnd w:id="57"/>
      <w:r>
        <w:rPr>
          <w:rFonts w:hint="eastAsia" w:ascii="宋体" w:hAnsi="宋体" w:cs="宋体"/>
          <w:color w:val="auto"/>
          <w:szCs w:val="21"/>
          <w:highlight w:val="none"/>
        </w:rPr>
        <w:t>编制要求</w:t>
      </w:r>
    </w:p>
    <w:bookmarkEnd w:id="58"/>
    <w:bookmarkEnd w:id="59"/>
    <w:bookmarkEnd w:id="60"/>
    <w:bookmarkEnd w:id="61"/>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2.1谈判供应商提交的响应文件以及谈判供应商与代理机构及甲方就有关谈判的所有来往函电均应使用简体中文。谈判文件中既有中文也有外文的，以中文意义为准。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除技术性能另有规定外，响应文件所使用的度量衡单位，均须采用国家法定计量单位。</w:t>
      </w:r>
    </w:p>
    <w:p>
      <w:pPr>
        <w:tabs>
          <w:tab w:val="left" w:pos="900"/>
        </w:tabs>
        <w:spacing w:line="360" w:lineRule="auto"/>
        <w:ind w:firstLine="420" w:firstLineChars="200"/>
        <w:rPr>
          <w:rFonts w:hint="eastAsia" w:ascii="宋体" w:hAnsi="宋体" w:cs="宋体"/>
          <w:color w:val="auto"/>
          <w:szCs w:val="21"/>
          <w:highlight w:val="none"/>
        </w:rPr>
      </w:pPr>
      <w:bookmarkStart w:id="62" w:name="_Hlt26954836"/>
      <w:bookmarkEnd w:id="62"/>
      <w:bookmarkStart w:id="63" w:name="_Hlt26670357"/>
      <w:bookmarkEnd w:id="63"/>
      <w:bookmarkStart w:id="64" w:name="_Toc61149558"/>
      <w:bookmarkStart w:id="65" w:name="_Toc513029219"/>
      <w:bookmarkStart w:id="66" w:name="_Toc14577357"/>
      <w:bookmarkStart w:id="67" w:name="_Toc513029217"/>
      <w:bookmarkStart w:id="68" w:name="_Toc14577355"/>
      <w:bookmarkStart w:id="69" w:name="_Toc61149557"/>
      <w:r>
        <w:rPr>
          <w:rFonts w:hint="eastAsia" w:ascii="宋体" w:hAnsi="宋体" w:cs="宋体"/>
          <w:color w:val="auto"/>
          <w:szCs w:val="21"/>
          <w:highlight w:val="none"/>
        </w:rPr>
        <w:t>3、参加谈判供应商资格的文件</w:t>
      </w:r>
      <w:bookmarkEnd w:id="64"/>
      <w:bookmarkEnd w:id="65"/>
      <w:bookmarkEnd w:id="66"/>
      <w:r>
        <w:rPr>
          <w:rFonts w:hint="eastAsia" w:ascii="宋体" w:hAnsi="宋体" w:cs="宋体"/>
          <w:color w:val="auto"/>
          <w:szCs w:val="21"/>
          <w:highlight w:val="none"/>
        </w:rPr>
        <w:t>证明</w:t>
      </w:r>
    </w:p>
    <w:p>
      <w:pPr>
        <w:tabs>
          <w:tab w:val="left" w:pos="900"/>
        </w:tabs>
        <w:spacing w:line="360" w:lineRule="auto"/>
        <w:ind w:firstLine="420" w:firstLineChars="200"/>
        <w:rPr>
          <w:rFonts w:hint="eastAsia" w:ascii="宋体" w:hAnsi="宋体" w:cs="宋体"/>
          <w:color w:val="auto"/>
          <w:szCs w:val="21"/>
          <w:highlight w:val="none"/>
        </w:rPr>
      </w:pPr>
      <w:bookmarkStart w:id="70" w:name="_Hlt26668999"/>
      <w:bookmarkEnd w:id="70"/>
      <w:r>
        <w:rPr>
          <w:rFonts w:hint="eastAsia" w:ascii="宋体" w:hAnsi="宋体" w:cs="宋体"/>
          <w:color w:val="auto"/>
          <w:szCs w:val="21"/>
          <w:highlight w:val="none"/>
        </w:rPr>
        <w:t>3.1谈判供应商应提交证明其有资格参加谈判和成交后有能力独立履行合同的文件，并作为其响应文件的一部分。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3.2谈判供应商除必须具有履行合同所需提供的设备以及服务的能力外，还必须具备相应的财务、技术方面的能力。</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3.3谈判供应商应填写并提交谈判文件所附的“资格证明文件”。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4、谈判响应报价</w:t>
      </w:r>
      <w:bookmarkEnd w:id="67"/>
      <w:bookmarkEnd w:id="68"/>
      <w:bookmarkStart w:id="71" w:name="_Hlt26670373"/>
      <w:bookmarkEnd w:id="71"/>
      <w:r>
        <w:rPr>
          <w:rFonts w:hint="eastAsia" w:ascii="宋体" w:hAnsi="宋体" w:cs="宋体"/>
          <w:color w:val="auto"/>
          <w:szCs w:val="21"/>
          <w:highlight w:val="none"/>
        </w:rPr>
        <w:t>表</w:t>
      </w:r>
      <w:bookmarkEnd w:id="69"/>
      <w:r>
        <w:rPr>
          <w:rFonts w:hint="eastAsia" w:ascii="宋体" w:hAnsi="宋体" w:cs="宋体"/>
          <w:color w:val="auto"/>
          <w:szCs w:val="21"/>
          <w:highlight w:val="none"/>
        </w:rPr>
        <w:t xml:space="preserve">             </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4.1谈判供应商应按照谈判文件规定格式填报谈判响应报价表（含分项报价），单独密封提交。每项产品或服务只允许有一个报价，任何有选择的报价将不予接受，谈判文件中另有规定的按规定执行。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4.2标的物</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详见项目需求。</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4.3有关费用处理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本次采购谈判供应商的总报价应包括为完成本项目发生的所有费用，本谈判文件中另有规定的除外。</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4.4其它费用处理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谈判文件未列明，而谈判供应商认为必须的费用也须列入报价。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4.5报价采用的货币</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响应文件中的单价和总价，无特殊规定的采用人民币报价，以元为单位标注。谈判文件中另有规定的按规定执行。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 谈判响应报价表上的价格应按谈判文件规定填写。</w:t>
      </w:r>
    </w:p>
    <w:p>
      <w:pPr>
        <w:tabs>
          <w:tab w:val="left" w:pos="900"/>
        </w:tabs>
        <w:spacing w:line="360" w:lineRule="auto"/>
        <w:ind w:firstLine="420" w:firstLineChars="200"/>
        <w:rPr>
          <w:rFonts w:hint="eastAsia" w:ascii="宋体" w:hAnsi="宋体" w:cs="宋体"/>
          <w:color w:val="auto"/>
          <w:szCs w:val="21"/>
          <w:highlight w:val="none"/>
        </w:rPr>
      </w:pPr>
      <w:bookmarkStart w:id="72" w:name="_Hlt26670486"/>
      <w:bookmarkEnd w:id="72"/>
      <w:bookmarkStart w:id="73" w:name="_Hlt26670403"/>
      <w:bookmarkEnd w:id="73"/>
      <w:bookmarkStart w:id="74" w:name="_Hlt26954844"/>
      <w:bookmarkEnd w:id="74"/>
      <w:bookmarkStart w:id="75" w:name="_Hlt26954848"/>
      <w:bookmarkEnd w:id="75"/>
      <w:bookmarkStart w:id="76" w:name="_Hlt26954846"/>
      <w:bookmarkEnd w:id="76"/>
      <w:bookmarkStart w:id="77" w:name="_Hlt26668983"/>
      <w:bookmarkEnd w:id="77"/>
      <w:bookmarkStart w:id="78" w:name="_Hlt26954731"/>
      <w:bookmarkEnd w:id="78"/>
      <w:bookmarkStart w:id="79" w:name="_Hlt26670482"/>
      <w:bookmarkEnd w:id="79"/>
      <w:bookmarkStart w:id="80" w:name="_Hlt26954842"/>
      <w:bookmarkEnd w:id="80"/>
      <w:bookmarkStart w:id="81" w:name="_Hlt26670425"/>
      <w:bookmarkEnd w:id="81"/>
      <w:bookmarkStart w:id="82" w:name="_Toc61149559"/>
      <w:bookmarkStart w:id="83" w:name="_Toc513029221"/>
      <w:bookmarkStart w:id="84" w:name="_Toc14577359"/>
      <w:r>
        <w:rPr>
          <w:rFonts w:hint="eastAsia" w:ascii="宋体" w:hAnsi="宋体" w:cs="宋体"/>
          <w:color w:val="auto"/>
          <w:szCs w:val="21"/>
          <w:highlight w:val="none"/>
        </w:rPr>
        <w:t>5、项目需求响应方案</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5.1提供为完成本项目的总体实施方案。</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5.2对谈判文件中项目需求的技术与商务条款要求逐项作出应答，并提供依据或说明。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5.3谈判供应商认为需要的其他技术文件或说明。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6、谈判保证金</w:t>
      </w:r>
      <w:bookmarkEnd w:id="82"/>
      <w:bookmarkEnd w:id="83"/>
      <w:bookmarkEnd w:id="84"/>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w:t>
      </w:r>
    </w:p>
    <w:p>
      <w:pPr>
        <w:tabs>
          <w:tab w:val="left" w:pos="900"/>
        </w:tabs>
        <w:spacing w:line="360" w:lineRule="auto"/>
        <w:ind w:firstLine="422" w:firstLineChars="200"/>
        <w:rPr>
          <w:rFonts w:hint="eastAsia" w:ascii="宋体" w:hAnsi="宋体" w:cs="宋体"/>
          <w:b/>
          <w:color w:val="auto"/>
          <w:szCs w:val="21"/>
          <w:highlight w:val="none"/>
        </w:rPr>
      </w:pPr>
      <w:bookmarkStart w:id="85" w:name="_Hlt26670489"/>
      <w:bookmarkEnd w:id="85"/>
      <w:bookmarkStart w:id="86" w:name="_Hlt26954739"/>
      <w:bookmarkEnd w:id="86"/>
      <w:bookmarkStart w:id="87" w:name="_Hlt26954854"/>
      <w:bookmarkEnd w:id="87"/>
      <w:bookmarkStart w:id="88" w:name="_Hlt26670493"/>
      <w:bookmarkEnd w:id="88"/>
      <w:bookmarkStart w:id="89" w:name="_Hlt26954850"/>
      <w:bookmarkEnd w:id="89"/>
      <w:bookmarkStart w:id="90" w:name="_Hlt26954734"/>
      <w:bookmarkEnd w:id="90"/>
      <w:bookmarkStart w:id="91" w:name="_Hlt26954852"/>
      <w:bookmarkEnd w:id="91"/>
      <w:bookmarkStart w:id="92" w:name="_Hlt26954749"/>
      <w:bookmarkEnd w:id="92"/>
      <w:bookmarkStart w:id="93" w:name="_Toc61149562"/>
      <w:bookmarkStart w:id="94" w:name="_Toc513029224"/>
      <w:bookmarkStart w:id="95" w:name="_Toc14577362"/>
      <w:r>
        <w:rPr>
          <w:rFonts w:hint="eastAsia" w:ascii="宋体" w:hAnsi="宋体" w:cs="宋体"/>
          <w:b/>
          <w:color w:val="auto"/>
          <w:szCs w:val="21"/>
          <w:highlight w:val="none"/>
        </w:rPr>
        <w:t>三、响应文件的递交</w:t>
      </w:r>
      <w:bookmarkEnd w:id="93"/>
      <w:bookmarkEnd w:id="94"/>
      <w:bookmarkEnd w:id="95"/>
    </w:p>
    <w:p>
      <w:pPr>
        <w:tabs>
          <w:tab w:val="left" w:pos="900"/>
        </w:tabs>
        <w:spacing w:line="360" w:lineRule="auto"/>
        <w:ind w:firstLine="420" w:firstLineChars="200"/>
        <w:rPr>
          <w:rFonts w:hint="eastAsia" w:ascii="宋体" w:hAnsi="宋体" w:cs="宋体"/>
          <w:color w:val="auto"/>
          <w:szCs w:val="21"/>
          <w:highlight w:val="none"/>
        </w:rPr>
      </w:pPr>
      <w:bookmarkStart w:id="96" w:name="_Hlt26954856"/>
      <w:bookmarkEnd w:id="96"/>
      <w:bookmarkStart w:id="97" w:name="_Toc61149563"/>
      <w:bookmarkStart w:id="98" w:name="_Toc462564084"/>
      <w:bookmarkStart w:id="99" w:name="_Toc14577363"/>
      <w:bookmarkStart w:id="100" w:name="_Toc513029225"/>
      <w:r>
        <w:rPr>
          <w:rFonts w:hint="eastAsia" w:ascii="宋体" w:hAnsi="宋体" w:cs="宋体"/>
          <w:color w:val="auto"/>
          <w:szCs w:val="21"/>
          <w:highlight w:val="none"/>
        </w:rPr>
        <w:t>1、响应文件</w:t>
      </w:r>
      <w:bookmarkStart w:id="101" w:name="_Hlt26954743"/>
      <w:bookmarkEnd w:id="101"/>
      <w:r>
        <w:rPr>
          <w:rFonts w:hint="eastAsia" w:ascii="宋体" w:hAnsi="宋体" w:cs="宋体"/>
          <w:color w:val="auto"/>
          <w:szCs w:val="21"/>
          <w:highlight w:val="none"/>
        </w:rPr>
        <w:t>的密封和标记</w:t>
      </w:r>
      <w:bookmarkEnd w:id="97"/>
      <w:bookmarkEnd w:id="98"/>
      <w:bookmarkEnd w:id="99"/>
      <w:bookmarkEnd w:id="100"/>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谈判供应商应严格按照采购邀请要求的份数准备响应文件，每份响应文件须清楚地标明“正本”或“副本”字样。一旦正本和副本不符，以正本为准。谈判供应商应将响应文件正本和所有副本密封。报价单独密封提交。</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1.2密封的响应文件应：</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（1）按采购邀请中注明的地址送达规定地点；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（2）注明参加谈判项目名称、谈判文件编号；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（3）密封包装上应写明谈判供应商名称和地址。</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1.3如果密封包装未按要求密封和加写标记，代理机构对误投或过早启封概不负责。对由此造成提前开封的响应文件，代理机构将予以拒绝，作无效响应处理。</w:t>
      </w:r>
    </w:p>
    <w:p>
      <w:pPr>
        <w:tabs>
          <w:tab w:val="left" w:pos="900"/>
        </w:tabs>
        <w:spacing w:line="360" w:lineRule="auto"/>
        <w:ind w:firstLine="420" w:firstLineChars="200"/>
        <w:rPr>
          <w:rFonts w:hint="eastAsia" w:ascii="宋体" w:hAnsi="宋体" w:cs="宋体"/>
          <w:color w:val="auto"/>
          <w:szCs w:val="21"/>
          <w:highlight w:val="none"/>
        </w:rPr>
      </w:pPr>
      <w:bookmarkStart w:id="102" w:name="_Hlt26670496"/>
      <w:bookmarkEnd w:id="102"/>
      <w:bookmarkStart w:id="103" w:name="_Hlt26954858"/>
      <w:bookmarkEnd w:id="103"/>
      <w:bookmarkStart w:id="104" w:name="_Hlt26954752"/>
      <w:bookmarkEnd w:id="104"/>
      <w:bookmarkStart w:id="105" w:name="_Toc14577364"/>
      <w:bookmarkStart w:id="106" w:name="_Toc61149564"/>
      <w:bookmarkStart w:id="107" w:name="_Toc513029226"/>
      <w:r>
        <w:rPr>
          <w:rFonts w:hint="eastAsia" w:ascii="宋体" w:hAnsi="宋体" w:cs="宋体"/>
          <w:color w:val="auto"/>
          <w:szCs w:val="21"/>
          <w:highlight w:val="none"/>
        </w:rPr>
        <w:t>2、</w:t>
      </w:r>
      <w:bookmarkEnd w:id="105"/>
      <w:bookmarkEnd w:id="106"/>
      <w:bookmarkEnd w:id="107"/>
      <w:r>
        <w:rPr>
          <w:rFonts w:hint="eastAsia" w:ascii="宋体" w:hAnsi="宋体" w:cs="宋体"/>
          <w:color w:val="auto"/>
          <w:szCs w:val="21"/>
          <w:highlight w:val="none"/>
        </w:rPr>
        <w:t>响应文件开启时间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2.1代理机构收到响应文件的时间不得迟于本谈判文件规定的响应文件接收截止时间。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2.2代理机构有权通过修改谈判文件推迟响应文件接收截止时间，在此情况下，谈判供应商的所有权利和义务以及受制的响应文件接收截止时间均应以延长后新的响应文件接收截止时间为准。</w:t>
      </w:r>
    </w:p>
    <w:p>
      <w:pPr>
        <w:tabs>
          <w:tab w:val="left" w:pos="900"/>
        </w:tabs>
        <w:spacing w:line="360" w:lineRule="auto"/>
        <w:ind w:firstLine="420" w:firstLineChars="200"/>
        <w:rPr>
          <w:rFonts w:hint="eastAsia" w:ascii="宋体" w:hAnsi="宋体" w:cs="宋体"/>
          <w:color w:val="auto"/>
          <w:szCs w:val="21"/>
          <w:highlight w:val="none"/>
        </w:rPr>
      </w:pPr>
      <w:bookmarkStart w:id="108" w:name="_Hlt26954860"/>
      <w:bookmarkEnd w:id="108"/>
      <w:bookmarkStart w:id="109" w:name="_Toc513029227"/>
      <w:bookmarkStart w:id="110" w:name="_Toc14577365"/>
      <w:bookmarkStart w:id="111" w:name="_Toc61149565"/>
      <w:r>
        <w:rPr>
          <w:rFonts w:hint="eastAsia" w:ascii="宋体" w:hAnsi="宋体" w:cs="宋体"/>
          <w:color w:val="auto"/>
          <w:szCs w:val="21"/>
          <w:highlight w:val="none"/>
        </w:rPr>
        <w:t>3、迟交的响应文件</w:t>
      </w:r>
      <w:bookmarkEnd w:id="109"/>
      <w:bookmarkEnd w:id="110"/>
      <w:bookmarkEnd w:id="111"/>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3.1代理机构将拒绝在规定的响应文件接收截止时间后接收任何响应文件。</w:t>
      </w:r>
    </w:p>
    <w:p>
      <w:pPr>
        <w:tabs>
          <w:tab w:val="left" w:pos="900"/>
        </w:tabs>
        <w:spacing w:line="360" w:lineRule="auto"/>
        <w:ind w:firstLine="420" w:firstLineChars="200"/>
        <w:rPr>
          <w:rFonts w:hint="eastAsia" w:ascii="宋体" w:hAnsi="宋体" w:cs="宋体"/>
          <w:color w:val="auto"/>
          <w:szCs w:val="21"/>
          <w:highlight w:val="none"/>
        </w:rPr>
      </w:pPr>
      <w:bookmarkStart w:id="112" w:name="_Hlt26954862"/>
      <w:bookmarkEnd w:id="112"/>
      <w:bookmarkStart w:id="113" w:name="_Hlt26954754"/>
      <w:bookmarkEnd w:id="113"/>
      <w:bookmarkStart w:id="114" w:name="_Toc14577366"/>
      <w:bookmarkStart w:id="115" w:name="_Toc513029228"/>
      <w:bookmarkStart w:id="116" w:name="_Toc61149566"/>
      <w:r>
        <w:rPr>
          <w:rFonts w:hint="eastAsia" w:ascii="宋体" w:hAnsi="宋体" w:cs="宋体"/>
          <w:color w:val="auto"/>
          <w:szCs w:val="21"/>
          <w:highlight w:val="none"/>
        </w:rPr>
        <w:t>4、响应文件</w:t>
      </w:r>
      <w:bookmarkStart w:id="117" w:name="_Hlt26670588"/>
      <w:r>
        <w:rPr>
          <w:rFonts w:hint="eastAsia" w:ascii="宋体" w:hAnsi="宋体" w:cs="宋体"/>
          <w:color w:val="auto"/>
          <w:szCs w:val="21"/>
          <w:highlight w:val="none"/>
        </w:rPr>
        <w:t>的修改</w:t>
      </w:r>
      <w:bookmarkEnd w:id="117"/>
      <w:r>
        <w:rPr>
          <w:rFonts w:hint="eastAsia" w:ascii="宋体" w:hAnsi="宋体" w:cs="宋体"/>
          <w:color w:val="auto"/>
          <w:szCs w:val="21"/>
          <w:highlight w:val="none"/>
        </w:rPr>
        <w:t>和撤回</w:t>
      </w:r>
      <w:bookmarkEnd w:id="114"/>
      <w:bookmarkEnd w:id="115"/>
      <w:bookmarkEnd w:id="116"/>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4.1谈判供应商在递交响应文件后，可以修改或撤回其谈判响应文件，但这种修改和撤回，必须在规定的响应文件接收截止时间前，以书面形式送达指定地点。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4.2谈判供应商的修改或撤回通知书，应按本文件规定进行编制、密封、标记和发送，并应在封套上加注“修改”和“撤回”字样。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谈判供应商在提交最后报价之前，可以根据谈判情况退出谈判，代理机构退还退出谈判的供应商的谈判保证金（如有）。</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5、谈判响应有效期</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谈判响应有效期为代理机构规定的响应文件接收截止时间后六十（60）天。谈判响应有效期比规定短的将被视为非实质性响应性而予以拒绝。</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在特殊情况下，代理机构于原谈判响应有效期满之前，可向谈判供应商提出延长谈判响应有效期的要求。这种要求与答复均应采用书面形式。谈判供应商可以拒绝代理机构的这一要求而放弃谈判响应，代理机构在接到谈判供应商书面答复后，将在原谈判响应有效期满后五日内无息退还其谈判保证金。同意延长谈判响应有效期的谈判供应商既不能要求也不允许修改其响应文件。有关谈判保证金的规定在延长期内继续有效，同时受谈判响应有效期约束的所有权利与义务均延长至新的有效期。</w:t>
      </w:r>
    </w:p>
    <w:p>
      <w:pPr>
        <w:tabs>
          <w:tab w:val="left" w:pos="900"/>
        </w:tabs>
        <w:spacing w:line="360" w:lineRule="auto"/>
        <w:ind w:firstLine="422" w:firstLineChars="200"/>
        <w:rPr>
          <w:rFonts w:hint="eastAsia" w:ascii="宋体" w:hAnsi="宋体" w:cs="宋体"/>
          <w:b/>
          <w:color w:val="auto"/>
          <w:szCs w:val="21"/>
          <w:highlight w:val="none"/>
        </w:rPr>
      </w:pPr>
      <w:bookmarkStart w:id="118" w:name="_Hlt26670523"/>
      <w:bookmarkEnd w:id="118"/>
      <w:bookmarkStart w:id="119" w:name="_Hlt26954864"/>
      <w:bookmarkEnd w:id="119"/>
      <w:r>
        <w:rPr>
          <w:rFonts w:hint="eastAsia" w:ascii="宋体" w:hAnsi="宋体" w:cs="宋体"/>
          <w:b/>
          <w:color w:val="auto"/>
          <w:szCs w:val="21"/>
          <w:highlight w:val="none"/>
        </w:rPr>
        <w:t>四、谈判与评审</w:t>
      </w:r>
    </w:p>
    <w:p>
      <w:pPr>
        <w:tabs>
          <w:tab w:val="left" w:pos="900"/>
        </w:tabs>
        <w:spacing w:line="360" w:lineRule="auto"/>
        <w:ind w:firstLine="420" w:firstLineChars="200"/>
        <w:rPr>
          <w:rFonts w:hint="eastAsia" w:ascii="宋体" w:hAnsi="宋体" w:cs="宋体"/>
          <w:color w:val="auto"/>
          <w:szCs w:val="21"/>
          <w:highlight w:val="none"/>
        </w:rPr>
      </w:pPr>
      <w:bookmarkStart w:id="120" w:name="_Toc20823302"/>
      <w:bookmarkStart w:id="121" w:name="_Toc513029230"/>
      <w:bookmarkStart w:id="122" w:name="_Toc16938546"/>
      <w:r>
        <w:rPr>
          <w:rFonts w:hint="eastAsia" w:ascii="宋体" w:hAnsi="宋体" w:cs="宋体"/>
          <w:color w:val="auto"/>
          <w:szCs w:val="21"/>
          <w:highlight w:val="none"/>
        </w:rPr>
        <w:t>1、</w:t>
      </w:r>
      <w:bookmarkEnd w:id="120"/>
      <w:bookmarkEnd w:id="121"/>
      <w:bookmarkEnd w:id="122"/>
      <w:r>
        <w:rPr>
          <w:rFonts w:hint="eastAsia" w:ascii="宋体" w:hAnsi="宋体" w:cs="宋体"/>
          <w:color w:val="auto"/>
          <w:szCs w:val="21"/>
          <w:highlight w:val="none"/>
        </w:rPr>
        <w:t>谈判会议</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1.1代理机构将在采谈判购邀请中规定的时间和地点组织谈判开始会议，会议由代理机构主持，谈判供应商应委派携带有效证件的代表准时参加，参加会议的代表需签名以证明其出席。</w:t>
      </w:r>
    </w:p>
    <w:p>
      <w:pPr>
        <w:tabs>
          <w:tab w:val="left" w:pos="900"/>
        </w:tabs>
        <w:spacing w:line="360" w:lineRule="auto"/>
        <w:ind w:firstLine="420" w:firstLineChars="200"/>
        <w:rPr>
          <w:rFonts w:hint="eastAsia" w:ascii="宋体" w:hAnsi="宋体" w:cs="宋体"/>
          <w:color w:val="auto"/>
          <w:szCs w:val="21"/>
          <w:highlight w:val="none"/>
        </w:rPr>
      </w:pPr>
      <w:bookmarkStart w:id="123" w:name="_Toc20823303"/>
      <w:bookmarkStart w:id="124" w:name="_Toc513029231"/>
      <w:bookmarkStart w:id="125" w:name="_Toc16938547"/>
      <w:r>
        <w:rPr>
          <w:rFonts w:hint="eastAsia" w:ascii="宋体" w:hAnsi="宋体" w:cs="宋体"/>
          <w:color w:val="auto"/>
          <w:szCs w:val="21"/>
          <w:highlight w:val="none"/>
        </w:rPr>
        <w:t>2、谈判小组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谈判开始会议结束后，代理机构将立即组织谈判小组进行评审。</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谈判小组由评审专家、采购人代表组成，且人员构成符合采购有关规定。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3、谈判评审过程的保密</w:t>
      </w:r>
      <w:bookmarkEnd w:id="123"/>
      <w:bookmarkEnd w:id="124"/>
      <w:bookmarkEnd w:id="125"/>
      <w:r>
        <w:rPr>
          <w:rFonts w:hint="eastAsia" w:ascii="宋体" w:hAnsi="宋体" w:cs="宋体"/>
          <w:color w:val="auto"/>
          <w:szCs w:val="21"/>
          <w:highlight w:val="none"/>
        </w:rPr>
        <w:t>与公正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3.1谈判小组、甲方和代理机构工作人员、相关监督人员等与评审工作有关的人员，对评审情况以及在评审过程中获悉的国家秘密、商业秘密负有保密责任。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3.2在谈判评审过程中，谈判供应商不得以任何行为影响谈判评审过程，否则其响应文件将被作为无效响应文件。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spacing w:line="360" w:lineRule="auto"/>
        <w:ind w:firstLine="420" w:firstLineChars="200"/>
        <w:rPr>
          <w:rFonts w:hint="eastAsia" w:ascii="宋体" w:hAnsi="宋体" w:cs="宋体"/>
          <w:color w:val="auto"/>
          <w:szCs w:val="21"/>
          <w:highlight w:val="none"/>
        </w:rPr>
      </w:pPr>
      <w:bookmarkStart w:id="126" w:name="_Toc513029232"/>
      <w:bookmarkStart w:id="127" w:name="_Toc16938548"/>
      <w:bookmarkStart w:id="128" w:name="_Toc20823304"/>
      <w:r>
        <w:rPr>
          <w:rFonts w:hint="eastAsia" w:ascii="宋体" w:hAnsi="宋体" w:cs="宋体"/>
          <w:color w:val="auto"/>
          <w:szCs w:val="21"/>
          <w:highlight w:val="none"/>
        </w:rPr>
        <w:t>4、评审过程的澄清</w:t>
      </w:r>
      <w:bookmarkEnd w:id="126"/>
      <w:bookmarkEnd w:id="127"/>
      <w:bookmarkEnd w:id="128"/>
      <w:r>
        <w:rPr>
          <w:rFonts w:hint="eastAsia" w:ascii="宋体" w:hAnsi="宋体" w:cs="宋体"/>
          <w:color w:val="auto"/>
          <w:szCs w:val="21"/>
          <w:highlight w:val="none"/>
        </w:rPr>
        <w:t>、说明和更正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接到谈判小组澄清要求的供应商如未按规定做出澄清，其风险由供应商自行承担。</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4.4若供应商所递交的响应文件或最后报价中的价格出现大写金额和小写金额不一致的错误，以大写金额修正为准。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4.5若供应商所上传的响应文件中报价函价格与扬州市政府采购服务商城所填报的价格不一致，以扬州市政府采购服务商城为准。</w:t>
      </w:r>
    </w:p>
    <w:p>
      <w:pPr>
        <w:tabs>
          <w:tab w:val="left" w:pos="900"/>
        </w:tabs>
        <w:spacing w:line="360" w:lineRule="auto"/>
        <w:ind w:firstLine="420" w:firstLineChars="200"/>
        <w:rPr>
          <w:rFonts w:hint="eastAsia"/>
          <w:color w:val="auto"/>
          <w:highlight w:val="none"/>
        </w:rPr>
      </w:pPr>
      <w:r>
        <w:rPr>
          <w:rFonts w:hint="eastAsia" w:ascii="宋体" w:hAnsi="宋体" w:cs="宋体"/>
          <w:color w:val="auto"/>
          <w:szCs w:val="21"/>
          <w:highlight w:val="none"/>
        </w:rPr>
        <w:t>4.6谈判小组按上述修正错误的原则及方法修正供应商的报价，供应商同意并签字确认后，修正后的报价对供应商具有约束作用。如果供应商不接受修正后的价格，将失去成为成交供应商的资格。</w:t>
      </w:r>
    </w:p>
    <w:p>
      <w:pPr>
        <w:tabs>
          <w:tab w:val="left" w:pos="900"/>
        </w:tabs>
        <w:spacing w:line="360" w:lineRule="auto"/>
        <w:ind w:firstLine="420" w:firstLineChars="200"/>
        <w:rPr>
          <w:rFonts w:hint="eastAsia" w:ascii="宋体" w:hAnsi="宋体" w:cs="宋体"/>
          <w:color w:val="auto"/>
          <w:szCs w:val="21"/>
          <w:highlight w:val="none"/>
        </w:rPr>
      </w:pPr>
      <w:bookmarkStart w:id="129" w:name="_Toc513029233"/>
      <w:bookmarkStart w:id="130" w:name="_Toc16938549"/>
      <w:bookmarkStart w:id="131" w:name="_Toc20823305"/>
      <w:r>
        <w:rPr>
          <w:rFonts w:hint="eastAsia" w:ascii="宋体" w:hAnsi="宋体" w:cs="宋体"/>
          <w:color w:val="auto"/>
          <w:szCs w:val="21"/>
          <w:highlight w:val="none"/>
        </w:rPr>
        <w:t>5、对响应文件的初审</w:t>
      </w:r>
      <w:bookmarkEnd w:id="129"/>
      <w:bookmarkEnd w:id="130"/>
      <w:bookmarkEnd w:id="131"/>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5.1响应文件初审分为资格性检查和符合性检查。</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资格性检查：依据法律法规和谈判文件的规定，对响应文件中的资格证明文件等进行审查，以确定供应商是否具备参加谈判的资格。</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符合性检查：依据谈判文件的规定，从响应文件的有效性、完整性和对谈判文件的响应程度进行审查，以确定是否对谈判文件的实质性要求作出响应。</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5.2在正式谈判之前，谈判小组将首先审查每份响应文件是否实质性响应了谈判文件的要求。实质性响应的响应文件应该是与谈判文件要求的条款、条件和规格相符，没有重大偏离或保留。</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谓重大偏离或保留是指与谈判文件规定的实质性要求存在负偏离，或者在实质上与谈判文件不一致，而且限制了合同中买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被认定为未实质性响应谈判文件的响应文件的情形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（1）未按照谈判文件规定要求密封、签署、盖章的；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（2）供应商在报价时采用选择性报价；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（3）供应商不具备谈判文件中规定资格要求的；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（4）不符合法律、法规和谈判文件中规定的其他实质性要求和条件的（本谈判文件中斜体且有下划线部分为实质性要求和条件）；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（5）其他法律、法规及本谈判文件规定的属未实质性响应的响应文件的情形。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未实质性响应谈判文件的响应文件按无效响应处理，谈判小组将予以拒绝，供应商不得通过修改或撤销不合要求的偏离或保留而使其响应文件成为实质性响应的文件。</w:t>
      </w:r>
    </w:p>
    <w:p>
      <w:pPr>
        <w:tabs>
          <w:tab w:val="left" w:pos="900"/>
        </w:tabs>
        <w:spacing w:line="360" w:lineRule="auto"/>
        <w:ind w:firstLine="420" w:firstLineChars="200"/>
        <w:rPr>
          <w:rFonts w:hint="eastAsia" w:ascii="宋体" w:hAnsi="宋体" w:cs="宋体"/>
          <w:color w:val="auto"/>
          <w:szCs w:val="21"/>
          <w:highlight w:val="none"/>
        </w:rPr>
      </w:pPr>
      <w:bookmarkStart w:id="132" w:name="_Toc20823306"/>
      <w:bookmarkStart w:id="133" w:name="_Toc513029234"/>
      <w:bookmarkStart w:id="134" w:name="_Toc16938550"/>
      <w:r>
        <w:rPr>
          <w:rFonts w:hint="eastAsia" w:ascii="宋体" w:hAnsi="宋体" w:cs="宋体"/>
          <w:color w:val="auto"/>
          <w:szCs w:val="21"/>
          <w:highlight w:val="none"/>
        </w:rPr>
        <w:t>6、</w:t>
      </w:r>
      <w:bookmarkEnd w:id="132"/>
      <w:bookmarkEnd w:id="133"/>
      <w:bookmarkEnd w:id="134"/>
      <w:r>
        <w:rPr>
          <w:rFonts w:hint="eastAsia" w:ascii="宋体" w:hAnsi="宋体" w:cs="宋体"/>
          <w:color w:val="auto"/>
          <w:szCs w:val="21"/>
          <w:highlight w:val="none"/>
        </w:rPr>
        <w:t>谈判程序及评审方法和标准</w:t>
      </w:r>
    </w:p>
    <w:p>
      <w:pPr>
        <w:tabs>
          <w:tab w:val="left" w:pos="900"/>
        </w:tabs>
        <w:spacing w:line="360" w:lineRule="auto"/>
        <w:ind w:firstLine="420" w:firstLineChars="200"/>
        <w:rPr>
          <w:rFonts w:hint="eastAsia" w:ascii="宋体" w:hAnsi="宋体" w:cs="宋体"/>
          <w:color w:val="auto"/>
          <w:szCs w:val="21"/>
          <w:highlight w:val="none"/>
        </w:rPr>
      </w:pPr>
      <w:bookmarkStart w:id="135" w:name="_Toc20823307"/>
      <w:bookmarkStart w:id="136" w:name="_Toc513029235"/>
      <w:bookmarkStart w:id="137" w:name="_Toc16938551"/>
      <w:r>
        <w:rPr>
          <w:rFonts w:hint="eastAsia" w:ascii="宋体" w:hAnsi="宋体" w:cs="宋体"/>
          <w:color w:val="auto"/>
          <w:szCs w:val="21"/>
          <w:highlight w:val="none"/>
        </w:rPr>
        <w:t>6.1谈判程序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对于通过资格性和符合性审查的供应商，谈判小组所有成员将集中与单一供应商分别进行谈判。</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6.1.2 谈判文件能够详细列明采购标的的技术、服务要求的，谈判结束后，谈判小组将要求所有实质性响应的供应商在规定时间内提交最后报价。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不能详细列明采购标的的技术、服务要求，需经谈判由供应商提供最终方案或解决方案的，谈判结束后，谈判小组将按照少数服从多数的原则投票推荐3家以上供应商的方案或者解决方案，并要求其在规定时间内提交最后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最后报价是供应商响应文件的有效组成部分。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6.1.3 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评审方法和标准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6.2.1评审方法。经谈判确定最终采购需求和提交最后报价的供应商后，由谈判小组采用综合评分法对提交最后报价的供应商的响应文件和最后报价进行综合评分。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法，是指响应文件满足谈判文件全部实质性要求且按评审因素的量化指标评审得分最高的供应商为成交候选供应商的评审方法。评审时，谈判小组各成员独立对每个有效响应的文件进行评价、打分，然后汇总每个供应商每项评分因素的得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6.2.2评审标准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见本谈判文件第五章规定。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6.3采购活动终止的情况</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出现下列情形之一的，本次谈判采购活动将被终止：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（1）因情况变化，不再符合规定的谈判采购方式适用情形的；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bookmarkEnd w:id="135"/>
    <w:bookmarkEnd w:id="136"/>
    <w:bookmarkEnd w:id="137"/>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（3）除本谈判文件第6.1.2条第三款规定的情形外，在采购过程中符合要求的供应商或者报价未超过采购预算的供应商不足2家的。</w:t>
      </w:r>
    </w:p>
    <w:p>
      <w:pPr>
        <w:tabs>
          <w:tab w:val="left" w:pos="9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五、成交</w:t>
      </w:r>
    </w:p>
    <w:p>
      <w:pPr>
        <w:tabs>
          <w:tab w:val="left" w:pos="900"/>
        </w:tabs>
        <w:spacing w:line="360" w:lineRule="auto"/>
        <w:ind w:firstLine="420" w:firstLineChars="200"/>
        <w:rPr>
          <w:rFonts w:hint="eastAsia" w:ascii="宋体" w:hAnsi="宋体" w:cs="宋体"/>
          <w:color w:val="auto"/>
          <w:szCs w:val="21"/>
          <w:highlight w:val="none"/>
        </w:rPr>
      </w:pPr>
      <w:bookmarkStart w:id="138" w:name="_Toc513029238"/>
      <w:bookmarkStart w:id="139" w:name="_Toc20823310"/>
      <w:bookmarkStart w:id="140" w:name="_Toc16938554"/>
      <w:r>
        <w:rPr>
          <w:rFonts w:hint="eastAsia" w:ascii="宋体" w:hAnsi="宋体" w:cs="宋体"/>
          <w:color w:val="auto"/>
          <w:szCs w:val="21"/>
          <w:highlight w:val="none"/>
        </w:rPr>
        <w:t>1、</w:t>
      </w:r>
      <w:bookmarkEnd w:id="138"/>
      <w:r>
        <w:rPr>
          <w:rFonts w:hint="eastAsia" w:ascii="宋体" w:hAnsi="宋体" w:cs="宋体"/>
          <w:color w:val="auto"/>
          <w:szCs w:val="21"/>
          <w:highlight w:val="none"/>
        </w:rPr>
        <w:t>确定</w:t>
      </w:r>
      <w:bookmarkEnd w:id="139"/>
      <w:bookmarkEnd w:id="140"/>
      <w:r>
        <w:rPr>
          <w:rFonts w:hint="eastAsia" w:ascii="宋体" w:hAnsi="宋体" w:cs="宋体"/>
          <w:color w:val="auto"/>
          <w:szCs w:val="21"/>
          <w:highlight w:val="none"/>
        </w:rPr>
        <w:t>成交单位</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谈判小组根据综合评分情况，按照评审得分由高到低顺序推荐成交候选供应商，并编写评审报告。评审得分相同的，按照最后报价由低到高的顺序推荐。评审得分且最后报价相同的，按照技术指标优劣顺序推荐。</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1.2甲方根据谈判小组推荐的成交候选人确定成交供应商。甲方确定成交供应商后，代理机构将在“扬州市政府采购服务商城”发布成交结果公告，公告期限为1个工作日。</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1.3若有充分证据证明，成交供应商出现下列情况之一的，一经查实，将被取消成交资格：</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（1）提供虚假材料谋取成交的；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（2）与评审专家、甲方、其他供应商或者代理机构工作人员恶意串通的；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（3）向评审专家、甲方或代理机构工作人员行贿或者提供其他不正当利益的；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（4）恶意竞争，最终总报价明显低于其自身合理成本且又无法提供证明的；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（5）不满足本谈判文件规定的实质性要求，但在评审过程中又未被谈判小组发现的；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（6）成交后无正当理由拒不与甲方签订采购合同或者未按照谈判文件确定的事项签订采购合同；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（7）将采购合同转包；</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（8）法律、法规、规章规定的属于成交无效的其他情形。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2、质疑处理</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color w:val="auto"/>
          <w:szCs w:val="21"/>
          <w:highlight w:val="none"/>
        </w:rPr>
        <w:t>2.1谈判供应商认为谈判文件、采购过程和采购结果使自己的权益受到损害的，可以在知道或应知其权益受到损害之日起七个工作日内，以书面形式向代理机构或甲方提出质疑。</w:t>
      </w:r>
      <w:r>
        <w:rPr>
          <w:rFonts w:hint="eastAsia" w:ascii="宋体" w:hAnsi="宋体" w:cs="宋体"/>
          <w:snapToGrid w:val="0"/>
          <w:color w:val="auto"/>
          <w:szCs w:val="21"/>
          <w:highlight w:val="none"/>
        </w:rPr>
        <w:t>《质疑申请书》及《授权委托书》格式见网址：</w:t>
      </w:r>
      <w:r>
        <w:rPr>
          <w:rFonts w:hint="eastAsia" w:ascii="宋体" w:hAnsi="宋体" w:cs="宋体"/>
          <w:color w:val="auto"/>
          <w:szCs w:val="21"/>
          <w:highlight w:val="none"/>
        </w:rPr>
        <w:t>http://zfcg.yangzhou.gov.cn。</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2.1.1对采购文件提出质疑的，应当在获取采购文件之日或者采购文件公告期限届满之日起7个工作日内提出。</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2.1.2</w:t>
      </w:r>
      <w:r>
        <w:rPr>
          <w:rFonts w:hint="eastAsia" w:ascii="宋体" w:hAnsi="宋体" w:cs="宋体"/>
          <w:color w:val="auto"/>
          <w:szCs w:val="21"/>
          <w:highlight w:val="none"/>
        </w:rPr>
        <w:t>对采购过程提出质疑的，为各采购程序环节结束之日起7个工作日内提出。</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2.1.3</w:t>
      </w:r>
      <w:r>
        <w:rPr>
          <w:rFonts w:hint="eastAsia" w:ascii="宋体" w:hAnsi="宋体" w:cs="宋体"/>
          <w:color w:val="auto"/>
          <w:szCs w:val="21"/>
          <w:highlight w:val="none"/>
        </w:rPr>
        <w:t>对成交结果提出质疑的，为成交结果公告期限届满之日起7个工作日内提出。</w:t>
      </w:r>
    </w:p>
    <w:p>
      <w:pPr>
        <w:spacing w:line="360" w:lineRule="auto"/>
        <w:ind w:firstLine="420" w:firstLineChars="200"/>
        <w:rPr>
          <w:rFonts w:hint="eastAsia" w:ascii="宋体" w:hAnsi="宋体"/>
          <w:snapToGrid w:val="0"/>
          <w:color w:val="auto"/>
          <w:szCs w:val="21"/>
          <w:highlight w:val="none"/>
        </w:rPr>
      </w:pPr>
      <w:r>
        <w:rPr>
          <w:rFonts w:hint="eastAsia" w:ascii="宋体" w:hAnsi="宋体"/>
          <w:color w:val="auto"/>
          <w:szCs w:val="21"/>
          <w:highlight w:val="none"/>
        </w:rPr>
        <w:t>2.2供应商应在法定质疑期内一次性提出针对同一采购程序环节的质疑。质疑必须按相关规定提交</w:t>
      </w:r>
      <w:r>
        <w:rPr>
          <w:rFonts w:hint="eastAsia" w:ascii="宋体" w:hAnsi="宋体"/>
          <w:color w:val="auto"/>
          <w:spacing w:val="-20"/>
          <w:szCs w:val="21"/>
          <w:highlight w:val="none"/>
        </w:rPr>
        <w:t>。</w:t>
      </w:r>
    </w:p>
    <w:p>
      <w:pPr>
        <w:spacing w:line="360" w:lineRule="auto"/>
        <w:ind w:firstLine="409" w:firstLineChars="195"/>
        <w:rPr>
          <w:rFonts w:ascii="宋体" w:hAnsi="宋体"/>
          <w:color w:val="auto"/>
          <w:szCs w:val="21"/>
          <w:highlight w:val="none"/>
        </w:rPr>
      </w:pPr>
      <w:r>
        <w:rPr>
          <w:rFonts w:hint="eastAsia" w:ascii="宋体" w:hAnsi="宋体"/>
          <w:color w:val="auto"/>
          <w:szCs w:val="21"/>
          <w:highlight w:val="none"/>
        </w:rPr>
        <w:t>2.3提出质疑的供应商（以下简称质疑供应商）应当是参与所质疑项目采购活动的供应商。</w:t>
      </w:r>
    </w:p>
    <w:p>
      <w:pPr>
        <w:spacing w:line="360" w:lineRule="auto"/>
        <w:ind w:firstLine="409" w:firstLineChars="195"/>
        <w:rPr>
          <w:rFonts w:hint="eastAsia" w:ascii="宋体" w:hAnsi="宋体"/>
          <w:color w:val="auto"/>
          <w:kern w:val="0"/>
          <w:szCs w:val="21"/>
          <w:highlight w:val="none"/>
        </w:rPr>
      </w:pPr>
      <w:r>
        <w:rPr>
          <w:rFonts w:hint="eastAsia" w:ascii="宋体" w:hAnsi="宋体"/>
          <w:color w:val="auto"/>
          <w:szCs w:val="21"/>
          <w:highlight w:val="none"/>
        </w:rPr>
        <w:t>潜在供应商已依法获取其可质疑的采购文件的，可以对该文件提出质疑。对采购文件提出质疑的，应当在获取采购文件或者采购文件公告期限届满之日起2个工作日前提出。</w:t>
      </w:r>
    </w:p>
    <w:p>
      <w:pPr>
        <w:spacing w:line="360" w:lineRule="auto"/>
        <w:ind w:firstLine="409" w:firstLineChars="195"/>
        <w:rPr>
          <w:rFonts w:ascii="宋体" w:hAnsi="宋体"/>
          <w:color w:val="auto"/>
          <w:szCs w:val="21"/>
          <w:highlight w:val="none"/>
        </w:rPr>
      </w:pPr>
      <w:r>
        <w:rPr>
          <w:rFonts w:hint="eastAsia" w:ascii="宋体" w:hAnsi="宋体"/>
          <w:color w:val="auto"/>
          <w:szCs w:val="21"/>
          <w:highlight w:val="none"/>
        </w:rPr>
        <w:t>2.4供应商提出质疑应当提交质疑函和必要的证明材料。质疑函应当包括下列内容：</w:t>
      </w:r>
    </w:p>
    <w:p>
      <w:pPr>
        <w:spacing w:line="360" w:lineRule="auto"/>
        <w:rPr>
          <w:rFonts w:ascii="宋体" w:hAnsi="宋体"/>
          <w:color w:val="auto"/>
          <w:szCs w:val="21"/>
          <w:highlight w:val="none"/>
        </w:rPr>
      </w:pPr>
      <w:r>
        <w:rPr>
          <w:rFonts w:hint="eastAsia" w:ascii="宋体" w:hAnsi="宋体"/>
          <w:color w:val="auto"/>
          <w:szCs w:val="21"/>
          <w:highlight w:val="none"/>
        </w:rPr>
        <w:t>　　2.4.1供应商的姓名或者名称、地址、邮编、联系人及联系电话；</w:t>
      </w:r>
    </w:p>
    <w:p>
      <w:pPr>
        <w:spacing w:line="360" w:lineRule="auto"/>
        <w:rPr>
          <w:rFonts w:ascii="宋体" w:hAnsi="宋体"/>
          <w:color w:val="auto"/>
          <w:szCs w:val="21"/>
          <w:highlight w:val="none"/>
        </w:rPr>
      </w:pPr>
      <w:r>
        <w:rPr>
          <w:rFonts w:hint="eastAsia" w:ascii="宋体" w:hAnsi="宋体"/>
          <w:color w:val="auto"/>
          <w:szCs w:val="21"/>
          <w:highlight w:val="none"/>
        </w:rPr>
        <w:t>　　2.4.2质疑项目的名称、编号；</w:t>
      </w:r>
    </w:p>
    <w:p>
      <w:pPr>
        <w:spacing w:line="360" w:lineRule="auto"/>
        <w:rPr>
          <w:rFonts w:ascii="宋体" w:hAnsi="宋体"/>
          <w:color w:val="auto"/>
          <w:szCs w:val="21"/>
          <w:highlight w:val="none"/>
        </w:rPr>
      </w:pPr>
      <w:r>
        <w:rPr>
          <w:rFonts w:hint="eastAsia" w:ascii="宋体" w:hAnsi="宋体"/>
          <w:color w:val="auto"/>
          <w:szCs w:val="21"/>
          <w:highlight w:val="none"/>
        </w:rPr>
        <w:t>　　2.4.3具体、明确的质疑事项和与质疑事项相关的请求；</w:t>
      </w:r>
    </w:p>
    <w:p>
      <w:pPr>
        <w:spacing w:line="360" w:lineRule="auto"/>
        <w:rPr>
          <w:rFonts w:ascii="宋体" w:hAnsi="宋体"/>
          <w:color w:val="auto"/>
          <w:szCs w:val="21"/>
          <w:highlight w:val="none"/>
        </w:rPr>
      </w:pPr>
      <w:r>
        <w:rPr>
          <w:rFonts w:hint="eastAsia" w:ascii="宋体" w:hAnsi="宋体"/>
          <w:color w:val="auto"/>
          <w:szCs w:val="21"/>
          <w:highlight w:val="none"/>
        </w:rPr>
        <w:t>　　2.4.4事实依据；</w:t>
      </w:r>
    </w:p>
    <w:p>
      <w:pPr>
        <w:spacing w:line="360" w:lineRule="auto"/>
        <w:rPr>
          <w:rFonts w:ascii="宋体" w:hAnsi="宋体"/>
          <w:color w:val="auto"/>
          <w:szCs w:val="21"/>
          <w:highlight w:val="none"/>
        </w:rPr>
      </w:pPr>
      <w:r>
        <w:rPr>
          <w:rFonts w:hint="eastAsia" w:ascii="宋体" w:hAnsi="宋体"/>
          <w:color w:val="auto"/>
          <w:szCs w:val="21"/>
          <w:highlight w:val="none"/>
        </w:rPr>
        <w:t>　　2.4.5必要的法律依据；</w:t>
      </w:r>
    </w:p>
    <w:p>
      <w:pPr>
        <w:spacing w:line="360" w:lineRule="auto"/>
        <w:rPr>
          <w:rFonts w:ascii="宋体" w:hAnsi="宋体"/>
          <w:color w:val="auto"/>
          <w:szCs w:val="21"/>
          <w:highlight w:val="none"/>
        </w:rPr>
      </w:pPr>
      <w:r>
        <w:rPr>
          <w:rFonts w:hint="eastAsia" w:ascii="宋体" w:hAnsi="宋体"/>
          <w:color w:val="auto"/>
          <w:szCs w:val="21"/>
          <w:highlight w:val="none"/>
        </w:rPr>
        <w:t>　　2.4.6提出质疑的日期。</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供应商为自然人的，应当由本人签字；供应商为法人或者其他组织的，应当由法定代表人、主要负责人，或者其授权代表签字或者盖章，并加盖公章。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2.5代理机构收到质疑函后，将对质疑的形式和内容进行审查，如质疑函内容、格式不符合规定，代理机构将告知质疑人进行补正。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2.6质疑人应当在法定质疑期限内进行补正并重新提交质疑函，拒不补正或者在法定期限内未重新提交质疑函的，为无效质疑，代理机构有权不予受理。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2.7对于内容、格式符合规定的质疑函，代理机构将在收到参加谈判供应商的书面质疑后七个工作日内作出答复，并以书面形式通知质疑供应商和其他相关供应商，答复的内容不涉及商业秘密。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 诚实信用</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2.8.1 供应商之间不得相互串通谈判报价，不得妨碍其他供应商的公平竞争，不得损害甲方和其他供应商的合法权益。</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2.8.2 供应商不得以向代理机构工作人员、评标委员会成员行贿或者采取其他不正当手段谋取成交。经查实供应商有此行为的，政府采购管理部门将供应商列入不良行为记录名单，按照《政府采购法》有关规定处理。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2.8.3 供应商提出书面质疑必须有理、有据，不得虚假质疑和恶意质疑，并对质疑内容的真实性承担责任。一经查实，代理机构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2.8.4 供应商不得虚假承诺，否则，按照提供虚假材料谋取成交处理。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2.8．5 供应商应自觉遵守开标、评标纪律，扰乱开标评标现场秩序的，属于失信行为，根据《江苏省政府采购供应商监督管理暂行办法》，失信行为将被记入供应商诚信档案。</w:t>
      </w:r>
    </w:p>
    <w:p>
      <w:pPr>
        <w:tabs>
          <w:tab w:val="left" w:pos="9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六、合同签订相关事项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1、签订合同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l成交供应商确定后，代理机构将向成交供应商发出成交通知书。成交供应商应按成交通知书规定的时间、地点,按照谈判文件确定的事项与甲方签订采购合同，且不得迟于成交通知书发出之日起十五日内，由此给甲方造成损失的，成交供应商还应承担赔偿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谈判文件、成交供应商的响应文件及谈判采购过程中有关澄清、承诺文件均应作为合同附件。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签订合同后，</w:t>
      </w:r>
      <w:r>
        <w:rPr>
          <w:rFonts w:hint="eastAsia" w:ascii="宋体" w:hAnsi="宋体" w:cs="宋体"/>
          <w:i/>
          <w:color w:val="auto"/>
          <w:szCs w:val="21"/>
          <w:highlight w:val="none"/>
          <w:u w:val="single"/>
        </w:rPr>
        <w:t>成交供应商不得将成交产品或服务进行转包。</w:t>
      </w:r>
      <w:r>
        <w:rPr>
          <w:rFonts w:hint="eastAsia" w:ascii="宋体" w:hAnsi="宋体" w:cs="宋体"/>
          <w:color w:val="auto"/>
          <w:szCs w:val="21"/>
          <w:highlight w:val="none"/>
        </w:rPr>
        <w:t>成交供应商也不得采用分包的形式履行合同，否则甲方有权终止合同。转包或分包造成甲方损失的，成交供应商应承担相应赔偿责任。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  无</w:t>
      </w:r>
      <w:bookmarkStart w:id="141" w:name="_Toc497145841"/>
      <w:bookmarkStart w:id="142" w:name="_Toc755"/>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tabs>
          <w:tab w:val="left" w:pos="900"/>
        </w:tabs>
        <w:spacing w:line="360" w:lineRule="auto"/>
        <w:ind w:firstLine="420" w:firstLineChars="200"/>
        <w:rPr>
          <w:rFonts w:hint="eastAsia" w:ascii="宋体" w:hAnsi="宋体" w:cs="宋体"/>
          <w:color w:val="auto"/>
          <w:szCs w:val="21"/>
          <w:highlight w:val="none"/>
        </w:rPr>
      </w:pPr>
    </w:p>
    <w:p>
      <w:pPr>
        <w:pStyle w:val="2"/>
        <w:numPr>
          <w:ilvl w:val="0"/>
          <w:numId w:val="4"/>
        </w:numPr>
        <w:spacing w:before="0" w:after="0" w:line="360" w:lineRule="auto"/>
        <w:jc w:val="center"/>
        <w:rPr>
          <w:rFonts w:hint="eastAsia" w:ascii="宋体" w:hAnsi="宋体"/>
          <w:color w:val="auto"/>
          <w:sz w:val="36"/>
          <w:highlight w:val="none"/>
        </w:rPr>
      </w:pPr>
      <w:r>
        <w:rPr>
          <w:rFonts w:hint="eastAsia" w:ascii="宋体" w:hAnsi="宋体"/>
          <w:color w:val="auto"/>
          <w:sz w:val="36"/>
          <w:highlight w:val="none"/>
        </w:rPr>
        <w:t>合同条款及格式</w:t>
      </w:r>
      <w:bookmarkEnd w:id="141"/>
      <w:bookmarkEnd w:id="142"/>
    </w:p>
    <w:p>
      <w:pPr>
        <w:numPr>
          <w:ilvl w:val="0"/>
          <w:numId w:val="0"/>
        </w:numPr>
        <w:rPr>
          <w:rFonts w:hint="eastAsia"/>
          <w:highlight w:val="none"/>
        </w:rPr>
      </w:pPr>
    </w:p>
    <w:p>
      <w:pPr>
        <w:pStyle w:val="12"/>
        <w:spacing w:line="360" w:lineRule="auto"/>
        <w:ind w:firstLine="420" w:firstLineChars="200"/>
        <w:rPr>
          <w:rFonts w:hint="eastAsia" w:hAnsi="宋体"/>
          <w:bCs/>
          <w:color w:val="auto"/>
          <w:sz w:val="21"/>
          <w:highlight w:val="none"/>
        </w:rPr>
      </w:pPr>
      <w:bookmarkStart w:id="143" w:name="_Toc14380"/>
      <w:bookmarkStart w:id="144" w:name="_Toc497145843"/>
      <w:r>
        <w:rPr>
          <w:rFonts w:hint="eastAsia" w:hAnsi="宋体"/>
          <w:bCs/>
          <w:color w:val="auto"/>
          <w:sz w:val="21"/>
          <w:highlight w:val="none"/>
        </w:rPr>
        <w:t>以下为成交后签定本项目合同的通用条款，成交供应商不得提出实质性的修改，关于专用条款将由采购人与成交供应商结合本项目具体情况协商后签订。</w:t>
      </w:r>
    </w:p>
    <w:p>
      <w:pPr>
        <w:pStyle w:val="12"/>
        <w:snapToGrid w:val="0"/>
        <w:spacing w:before="120" w:after="120" w:line="360" w:lineRule="auto"/>
        <w:rPr>
          <w:rFonts w:hint="eastAsia" w:hAnsi="宋体"/>
          <w:color w:val="auto"/>
          <w:sz w:val="21"/>
          <w:highlight w:val="none"/>
        </w:rPr>
      </w:pPr>
      <w:r>
        <w:rPr>
          <w:rFonts w:hint="eastAsia" w:hAnsi="宋体"/>
          <w:color w:val="auto"/>
          <w:sz w:val="21"/>
          <w:highlight w:val="none"/>
        </w:rPr>
        <w:t>项目名称：</w:t>
      </w:r>
      <w:r>
        <w:rPr>
          <w:rFonts w:hint="eastAsia" w:hAnsi="宋体"/>
          <w:color w:val="auto"/>
          <w:sz w:val="21"/>
          <w:highlight w:val="none"/>
          <w:lang w:eastAsia="zh-CN"/>
        </w:rPr>
        <w:t>扬州市长江运河管理处信息化运维服务项目</w:t>
      </w:r>
      <w:r>
        <w:rPr>
          <w:rFonts w:hint="eastAsia" w:hAnsi="宋体"/>
          <w:color w:val="auto"/>
          <w:sz w:val="21"/>
          <w:highlight w:val="none"/>
        </w:rPr>
        <w:t xml:space="preserve">       </w:t>
      </w:r>
    </w:p>
    <w:p>
      <w:pPr>
        <w:pStyle w:val="12"/>
        <w:snapToGrid w:val="0"/>
        <w:spacing w:before="120" w:after="120" w:line="360" w:lineRule="auto"/>
        <w:rPr>
          <w:rFonts w:hint="eastAsia" w:hAnsi="宋体"/>
          <w:color w:val="auto"/>
          <w:sz w:val="21"/>
          <w:highlight w:val="none"/>
        </w:rPr>
      </w:pPr>
      <w:r>
        <w:rPr>
          <w:rFonts w:hint="eastAsia" w:hAnsi="宋体"/>
          <w:color w:val="auto"/>
          <w:sz w:val="21"/>
          <w:highlight w:val="none"/>
        </w:rPr>
        <w:t>甲方（采购人/买方）：</w:t>
      </w:r>
      <w:r>
        <w:rPr>
          <w:rFonts w:hint="eastAsia" w:hAnsi="宋体"/>
          <w:color w:val="auto"/>
          <w:sz w:val="21"/>
          <w:highlight w:val="none"/>
          <w:lang w:eastAsia="zh-CN"/>
        </w:rPr>
        <w:t>扬州市长江运河管理处</w:t>
      </w:r>
      <w:r>
        <w:rPr>
          <w:rFonts w:hint="eastAsia" w:hAnsi="宋体"/>
          <w:color w:val="auto"/>
          <w:sz w:val="21"/>
          <w:highlight w:val="none"/>
        </w:rPr>
        <w:t xml:space="preserve">       </w:t>
      </w:r>
    </w:p>
    <w:p>
      <w:pPr>
        <w:pStyle w:val="12"/>
        <w:snapToGrid w:val="0"/>
        <w:spacing w:before="120" w:after="120" w:line="360" w:lineRule="auto"/>
        <w:rPr>
          <w:rFonts w:hint="eastAsia" w:hAnsi="宋体"/>
          <w:color w:val="auto"/>
          <w:sz w:val="21"/>
          <w:highlight w:val="none"/>
          <w:u w:val="single"/>
        </w:rPr>
      </w:pPr>
      <w:r>
        <w:rPr>
          <w:rFonts w:hint="eastAsia" w:hAnsi="宋体"/>
          <w:color w:val="auto"/>
          <w:sz w:val="21"/>
          <w:highlight w:val="none"/>
        </w:rPr>
        <w:t>乙方（供应商/卖方）：</w:t>
      </w:r>
      <w:r>
        <w:rPr>
          <w:rFonts w:hint="eastAsia" w:hAnsi="宋体"/>
          <w:color w:val="auto"/>
          <w:sz w:val="21"/>
          <w:highlight w:val="none"/>
          <w:u w:val="single"/>
        </w:rPr>
        <w:t xml:space="preserve">              </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根据《中华人民共和国民法典》等法律法规的规定，甲乙双方按照江苏苏维工程管理有限公司关于本项目谈判结果签订本合同。</w:t>
      </w:r>
    </w:p>
    <w:p>
      <w:pPr>
        <w:pStyle w:val="12"/>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1、合同标的</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乙方根据甲方需求，提供下列服务：</w:t>
      </w:r>
      <w:r>
        <w:rPr>
          <w:rFonts w:hint="eastAsia" w:hAnsi="宋体"/>
          <w:color w:val="auto"/>
          <w:sz w:val="21"/>
          <w:highlight w:val="none"/>
          <w:u w:val="single"/>
          <w:lang w:eastAsia="zh-CN"/>
        </w:rPr>
        <w:t>扬州市长江运河管理处信息化运维服务项目</w:t>
      </w:r>
      <w:r>
        <w:rPr>
          <w:rFonts w:hint="eastAsia" w:hAnsi="宋体"/>
          <w:color w:val="auto"/>
          <w:sz w:val="21"/>
          <w:highlight w:val="none"/>
        </w:rPr>
        <w:t>。</w:t>
      </w:r>
    </w:p>
    <w:p>
      <w:pPr>
        <w:pStyle w:val="12"/>
        <w:snapToGrid w:val="0"/>
        <w:spacing w:before="120" w:after="120"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lang w:eastAsia="zh-CN"/>
        </w:rPr>
        <w:t>甲方按照乙方提供的服务内容，对其进行考核评价并作为其付款依据，</w:t>
      </w:r>
    </w:p>
    <w:p>
      <w:pPr>
        <w:pStyle w:val="12"/>
        <w:snapToGrid w:val="0"/>
        <w:spacing w:before="120" w:after="120" w:line="360" w:lineRule="auto"/>
        <w:ind w:firstLine="420" w:firstLineChars="200"/>
        <w:rPr>
          <w:rFonts w:hAnsi="宋体"/>
          <w:b/>
          <w:color w:val="auto"/>
          <w:sz w:val="21"/>
          <w:highlight w:val="none"/>
        </w:rPr>
      </w:pPr>
      <w:r>
        <w:rPr>
          <w:rFonts w:hint="eastAsia" w:hAnsi="宋体"/>
          <w:color w:val="auto"/>
          <w:sz w:val="21"/>
          <w:highlight w:val="none"/>
        </w:rPr>
        <w:t>服务内容等要求详见谈判文件及乙方响应文件。</w:t>
      </w:r>
    </w:p>
    <w:p>
      <w:pPr>
        <w:pStyle w:val="12"/>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2、合同总金额</w:t>
      </w:r>
    </w:p>
    <w:p>
      <w:pPr>
        <w:pStyle w:val="12"/>
        <w:snapToGrid w:val="0"/>
        <w:spacing w:before="120" w:after="120" w:line="360" w:lineRule="auto"/>
        <w:ind w:left="315" w:leftChars="150" w:firstLine="105" w:firstLineChars="50"/>
        <w:rPr>
          <w:rFonts w:hint="eastAsia" w:hAnsi="宋体"/>
          <w:color w:val="auto"/>
          <w:sz w:val="21"/>
          <w:highlight w:val="none"/>
        </w:rPr>
      </w:pPr>
      <w:r>
        <w:rPr>
          <w:rFonts w:hint="eastAsia" w:hAnsi="宋体"/>
          <w:color w:val="auto"/>
          <w:sz w:val="21"/>
          <w:highlight w:val="none"/>
        </w:rPr>
        <w:t>2.1 本合同金额为（大写）：_______________________________元人民币（¥_____元）。</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2.2 本合同总金额包括乙方提供的服务及其他有关的为完成本项目发生的所有费用，谈判文件中另有规定的除外。</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2.3 在谈判文件未列明，而乙方认为履行本合同必需的费用也包含在合同总金额中。</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2.4 本合同总金额还包含乙方提供的伴随服务/售后服务费用。</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谈判采购时的价格水平做相应的调减，并据此签订补充合同；除上述情况外，本合同执行期间合同总金额不变。</w:t>
      </w:r>
    </w:p>
    <w:p>
      <w:pPr>
        <w:pStyle w:val="12"/>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3、组成本合同的有关文件</w:t>
      </w:r>
    </w:p>
    <w:p>
      <w:pPr>
        <w:pStyle w:val="12"/>
        <w:snapToGrid w:val="0"/>
        <w:spacing w:before="120" w:after="120" w:line="360" w:lineRule="auto"/>
        <w:ind w:left="315" w:leftChars="150" w:firstLine="105" w:firstLineChars="50"/>
        <w:rPr>
          <w:rFonts w:hAnsi="宋体"/>
          <w:color w:val="auto"/>
          <w:sz w:val="21"/>
          <w:highlight w:val="none"/>
        </w:rPr>
      </w:pPr>
      <w:r>
        <w:rPr>
          <w:rFonts w:hint="eastAsia" w:hAnsi="宋体"/>
          <w:color w:val="auto"/>
          <w:sz w:val="21"/>
          <w:highlight w:val="none"/>
        </w:rPr>
        <w:t>3.1乙方应按谈判文件规定的时间向甲方提供服务的有关技术资料。</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3.2 没有甲方事先书面同意，乙方不得将由甲方提供的有关合同或任何合同条文或资料提供给任何其他人。即使向履行本合同有关的人员提供，也应注意保密并限于履行合同的必需范围。</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3.3 关于本项目采购的谈判文件、谈判响应文件或与本次采购活动方式相适应的文件及有关附件是本合同不可分割的组成部分，这些文件包括但不限于：</w:t>
      </w:r>
    </w:p>
    <w:p>
      <w:pPr>
        <w:pStyle w:val="12"/>
        <w:snapToGrid w:val="0"/>
        <w:spacing w:before="120" w:after="120" w:line="360" w:lineRule="auto"/>
        <w:ind w:left="359" w:hanging="359" w:hangingChars="171"/>
        <w:rPr>
          <w:rFonts w:hAnsi="宋体"/>
          <w:color w:val="auto"/>
          <w:sz w:val="21"/>
          <w:highlight w:val="none"/>
        </w:rPr>
      </w:pPr>
      <w:r>
        <w:rPr>
          <w:rFonts w:hint="eastAsia" w:hAnsi="宋体"/>
          <w:color w:val="auto"/>
          <w:sz w:val="21"/>
          <w:highlight w:val="none"/>
        </w:rPr>
        <w:t xml:space="preserve">   （1）谈判响应文件；               （2）谈判报价文件；</w:t>
      </w:r>
    </w:p>
    <w:p>
      <w:pPr>
        <w:pStyle w:val="12"/>
        <w:snapToGrid w:val="0"/>
        <w:spacing w:before="120" w:after="120" w:line="360" w:lineRule="auto"/>
        <w:ind w:left="359" w:hanging="359" w:hangingChars="171"/>
        <w:rPr>
          <w:rFonts w:hAnsi="宋体"/>
          <w:color w:val="auto"/>
          <w:sz w:val="21"/>
          <w:highlight w:val="none"/>
        </w:rPr>
      </w:pPr>
      <w:r>
        <w:rPr>
          <w:rFonts w:hint="eastAsia" w:hAnsi="宋体"/>
          <w:color w:val="auto"/>
          <w:sz w:val="21"/>
          <w:highlight w:val="none"/>
        </w:rPr>
        <w:t xml:space="preserve">   （3）项目组人员表                 （4）技术参数、商务条款响应及偏离表；</w:t>
      </w:r>
    </w:p>
    <w:p>
      <w:pPr>
        <w:pStyle w:val="12"/>
        <w:snapToGrid w:val="0"/>
        <w:spacing w:before="120" w:after="120" w:line="360" w:lineRule="auto"/>
        <w:ind w:left="359" w:hanging="359" w:hangingChars="171"/>
        <w:rPr>
          <w:rFonts w:hAnsi="宋体"/>
          <w:color w:val="auto"/>
          <w:sz w:val="21"/>
          <w:highlight w:val="none"/>
        </w:rPr>
      </w:pPr>
      <w:r>
        <w:rPr>
          <w:rFonts w:hint="eastAsia" w:hAnsi="宋体"/>
          <w:color w:val="auto"/>
          <w:sz w:val="21"/>
          <w:highlight w:val="none"/>
        </w:rPr>
        <w:t xml:space="preserve">   （5）服务承诺；                   （6）成交通知书；</w:t>
      </w:r>
    </w:p>
    <w:p>
      <w:pPr>
        <w:pStyle w:val="12"/>
        <w:snapToGrid w:val="0"/>
        <w:spacing w:before="120" w:after="120" w:line="360" w:lineRule="auto"/>
        <w:ind w:left="359" w:hanging="359" w:hangingChars="171"/>
        <w:rPr>
          <w:rFonts w:hAnsi="宋体"/>
          <w:color w:val="auto"/>
          <w:sz w:val="21"/>
          <w:highlight w:val="none"/>
        </w:rPr>
      </w:pPr>
      <w:r>
        <w:rPr>
          <w:rFonts w:hint="eastAsia" w:hAnsi="宋体"/>
          <w:color w:val="auto"/>
          <w:sz w:val="21"/>
          <w:highlight w:val="none"/>
        </w:rPr>
        <w:t xml:space="preserve">   （7）甲乙双方补充协议；           （8）乙方谈判时提供的响应文件。</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4、知识产权保证</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pPr>
        <w:pStyle w:val="12"/>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5、产权保证</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乙方保证所交付的服务和服务所涉及的物品所有权无任何抵押、查封等权利瑕疵。</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6、履约保证金</w:t>
      </w:r>
    </w:p>
    <w:p>
      <w:pPr>
        <w:pStyle w:val="12"/>
        <w:snapToGrid w:val="0"/>
        <w:spacing w:before="120" w:after="120" w:line="360" w:lineRule="auto"/>
        <w:ind w:left="315" w:leftChars="150" w:firstLine="105" w:firstLineChars="50"/>
        <w:rPr>
          <w:rFonts w:hint="eastAsia" w:hAnsi="宋体"/>
          <w:b/>
          <w:bCs/>
          <w:color w:val="auto"/>
          <w:sz w:val="21"/>
          <w:highlight w:val="none"/>
        </w:rPr>
      </w:pPr>
      <w:r>
        <w:rPr>
          <w:rFonts w:hint="eastAsia" w:hAnsi="宋体"/>
          <w:b/>
          <w:bCs/>
          <w:color w:val="auto"/>
          <w:sz w:val="21"/>
          <w:highlight w:val="none"/>
        </w:rPr>
        <w:t>无</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7、转包或分包</w:t>
      </w:r>
    </w:p>
    <w:p>
      <w:pPr>
        <w:pStyle w:val="12"/>
        <w:snapToGrid w:val="0"/>
        <w:spacing w:before="120" w:after="120" w:line="360" w:lineRule="auto"/>
        <w:ind w:firstLine="420" w:firstLineChars="200"/>
        <w:rPr>
          <w:rFonts w:hint="eastAsia" w:hAnsi="宋体"/>
          <w:color w:val="auto"/>
          <w:sz w:val="21"/>
          <w:highlight w:val="none"/>
        </w:rPr>
      </w:pPr>
      <w:r>
        <w:rPr>
          <w:rFonts w:hint="eastAsia" w:hAnsi="宋体"/>
          <w:color w:val="auto"/>
          <w:sz w:val="21"/>
          <w:highlight w:val="none"/>
        </w:rPr>
        <w:t>7.1 本合同禁止转包或分包，本合同范围的服务，应由乙方直接提供的，不得转让或分包给他人提供。</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8、服务期</w:t>
      </w:r>
    </w:p>
    <w:p>
      <w:pPr>
        <w:pStyle w:val="10"/>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服务期限：自合同签订之日起</w:t>
      </w:r>
      <w:r>
        <w:rPr>
          <w:rFonts w:hint="eastAsia" w:hAnsi="宋体"/>
          <w:b/>
          <w:bCs/>
          <w:color w:val="auto"/>
          <w:sz w:val="21"/>
          <w:szCs w:val="21"/>
          <w:highlight w:val="none"/>
          <w:lang w:val="en-US" w:eastAsia="zh-CN"/>
        </w:rPr>
        <w:t>一</w:t>
      </w:r>
      <w:r>
        <w:rPr>
          <w:rFonts w:hint="eastAsia" w:hAnsi="宋体"/>
          <w:b/>
          <w:bCs/>
          <w:color w:val="auto"/>
          <w:sz w:val="21"/>
          <w:szCs w:val="21"/>
          <w:highlight w:val="none"/>
        </w:rPr>
        <w:t>年</w:t>
      </w:r>
    </w:p>
    <w:p>
      <w:pPr>
        <w:pStyle w:val="12"/>
        <w:snapToGrid w:val="0"/>
        <w:spacing w:before="120" w:after="120" w:line="360" w:lineRule="auto"/>
        <w:ind w:firstLine="422" w:firstLineChars="200"/>
        <w:rPr>
          <w:rFonts w:hAnsi="宋体"/>
          <w:b/>
          <w:bCs/>
          <w:color w:val="auto"/>
          <w:sz w:val="21"/>
          <w:highlight w:val="none"/>
        </w:rPr>
      </w:pPr>
      <w:r>
        <w:rPr>
          <w:rFonts w:hint="eastAsia" w:hAnsi="宋体"/>
          <w:b/>
          <w:bCs/>
          <w:color w:val="auto"/>
          <w:sz w:val="21"/>
          <w:highlight w:val="none"/>
        </w:rPr>
        <w:t>9、货款支付</w:t>
      </w:r>
    </w:p>
    <w:p>
      <w:pPr>
        <w:autoSpaceDE w:val="0"/>
        <w:autoSpaceDN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xml:space="preserve">.1 </w:t>
      </w:r>
      <w:r>
        <w:rPr>
          <w:rFonts w:hint="eastAsia" w:ascii="宋体" w:hAnsi="宋体" w:cs="宋体"/>
          <w:color w:val="auto"/>
          <w:szCs w:val="21"/>
          <w:highlight w:val="none"/>
        </w:rPr>
        <w:t xml:space="preserve">本合同项下所有款项均以人民币支付。 </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 支付方式：</w:t>
      </w:r>
    </w:p>
    <w:p>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eastAsia="zh-CN"/>
        </w:rPr>
        <w:t>，费用按季度支付，每季度符合采购要求并且评价合格</w:t>
      </w:r>
      <w:r>
        <w:rPr>
          <w:rFonts w:hint="eastAsia" w:ascii="宋体" w:hAnsi="宋体"/>
          <w:bCs/>
          <w:color w:val="auto"/>
          <w:szCs w:val="21"/>
          <w:highlight w:val="none"/>
        </w:rPr>
        <w:t>付合同价的</w:t>
      </w:r>
      <w:r>
        <w:rPr>
          <w:rFonts w:hint="eastAsia" w:ascii="宋体" w:hAnsi="宋体"/>
          <w:bCs/>
          <w:color w:val="auto"/>
          <w:szCs w:val="21"/>
          <w:highlight w:val="none"/>
          <w:lang w:val="en-US" w:eastAsia="zh-CN"/>
        </w:rPr>
        <w:t>25</w:t>
      </w:r>
      <w:r>
        <w:rPr>
          <w:rFonts w:hint="eastAsia" w:ascii="宋体" w:hAnsi="宋体"/>
          <w:bCs/>
          <w:color w:val="auto"/>
          <w:szCs w:val="21"/>
          <w:highlight w:val="none"/>
        </w:rPr>
        <w:t>%，</w:t>
      </w:r>
      <w:r>
        <w:rPr>
          <w:rFonts w:hint="eastAsia" w:ascii="宋体" w:hAnsi="宋体"/>
          <w:bCs/>
          <w:color w:val="auto"/>
          <w:szCs w:val="21"/>
          <w:highlight w:val="none"/>
          <w:lang w:eastAsia="zh-CN"/>
        </w:rPr>
        <w:t>以此类推直至服务期满</w:t>
      </w:r>
      <w:r>
        <w:rPr>
          <w:rFonts w:hint="eastAsia" w:ascii="宋体" w:hAnsi="宋体"/>
          <w:bCs/>
          <w:color w:val="auto"/>
          <w:szCs w:val="21"/>
          <w:highlight w:val="none"/>
        </w:rPr>
        <w:t>。</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10、税费</w:t>
      </w:r>
    </w:p>
    <w:p>
      <w:pPr>
        <w:pStyle w:val="12"/>
        <w:snapToGrid w:val="0"/>
        <w:spacing w:before="120" w:after="120" w:line="360" w:lineRule="auto"/>
        <w:ind w:firstLine="420" w:firstLineChars="200"/>
        <w:rPr>
          <w:rFonts w:hAnsi="宋体"/>
          <w:b/>
          <w:bCs/>
          <w:color w:val="auto"/>
          <w:sz w:val="21"/>
          <w:highlight w:val="none"/>
        </w:rPr>
      </w:pPr>
      <w:r>
        <w:rPr>
          <w:rFonts w:hint="eastAsia" w:hAnsi="宋体" w:cs="宋体"/>
          <w:color w:val="auto"/>
          <w:sz w:val="21"/>
          <w:highlight w:val="none"/>
        </w:rPr>
        <w:t>本合同执行中相关的一切税费均由乙方负担。</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11、质量保证及售后服务</w:t>
      </w:r>
    </w:p>
    <w:p>
      <w:pPr>
        <w:spacing w:before="156" w:beforeLines="50" w:after="156" w:after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11.1 乙方应按谈判文件规定及响应文件承诺的技术性能、技术要求、质量标准向甲方提供服务；若无特殊说明，则按国家有关部门最新颁布的标准及规范为准。</w:t>
      </w:r>
    </w:p>
    <w:p>
      <w:pPr>
        <w:spacing w:before="156" w:beforeLines="50" w:after="156" w:after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11.2乙方应保证其提供的服务是全面和规范的，并完全符合谈判及响应文件。如因乙方提供的服务有瑕疵造成甲方损失的，所需费用由乙方承担。</w:t>
      </w:r>
    </w:p>
    <w:p>
      <w:pPr>
        <w:spacing w:before="156" w:beforeLines="50"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服务过程中，乙方应对所提供服务出现的质量及安全问题负责处理解决并承担一切费用。</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12、交付和验收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乙方应当在合同签订后</w:t>
      </w:r>
      <w:r>
        <w:rPr>
          <w:rFonts w:hint="eastAsia" w:ascii="宋体" w:hAnsi="宋体"/>
          <w:color w:val="auto"/>
          <w:szCs w:val="21"/>
          <w:highlight w:val="none"/>
          <w:u w:val="single"/>
          <w:lang w:val="en-US" w:eastAsia="zh-CN"/>
        </w:rPr>
        <w:t>1年</w:t>
      </w:r>
      <w:r>
        <w:rPr>
          <w:rFonts w:hint="eastAsia" w:ascii="宋体" w:hAnsi="宋体"/>
          <w:color w:val="auto"/>
          <w:szCs w:val="21"/>
          <w:highlight w:val="none"/>
        </w:rPr>
        <w:t>内完成服务事项，谈判文件有约定的，从其约定。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在交付前，乙方应作出全面检查和对验收文件进行整理，并列出清单，作为甲方初验收和使用的技术条件依据，检验的结果交甲方。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验收标准：按乙方谈判响应文件的承诺，并不低于国家相关标准。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对于乙方要交付的服务，甲乙双方须在</w:t>
      </w:r>
      <w:r>
        <w:rPr>
          <w:rFonts w:hint="eastAsia" w:ascii="宋体" w:hAnsi="宋体"/>
          <w:color w:val="auto"/>
          <w:szCs w:val="21"/>
          <w:highlight w:val="none"/>
          <w:u w:val="single"/>
        </w:rPr>
        <w:t xml:space="preserve"> 7 </w:t>
      </w:r>
      <w:r>
        <w:rPr>
          <w:rFonts w:hint="eastAsia" w:ascii="宋体" w:hAnsi="宋体"/>
          <w:color w:val="auto"/>
          <w:szCs w:val="21"/>
          <w:highlight w:val="none"/>
        </w:rPr>
        <w:t>工作日内初验收，甲方对乙方提交的服务依据谈判文件上的技术要求和国家有关质量标准进行现场初步验收，外观、说明书、包装符合谈判文件技术要求的，给予签收，初步验收不合格的不予签收。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12.3 乙方按照谈判文件要求负责安装并培训甲方的使用操作人员，乙方在甲方使用前进行调试，调试直到符合技术要求的甲方才做最终验收。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pStyle w:val="12"/>
        <w:snapToGrid w:val="0"/>
        <w:spacing w:before="120" w:after="120" w:line="360" w:lineRule="auto"/>
        <w:ind w:left="0" w:leftChars="0" w:firstLine="315" w:firstLineChars="15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12.5 甲乙双方关于调试和验收的其他约定：</w:t>
      </w:r>
      <w:r>
        <w:rPr>
          <w:rFonts w:hint="eastAsia" w:hAnsi="宋体" w:cs="Times New Roman"/>
          <w:color w:val="auto"/>
          <w:kern w:val="2"/>
          <w:sz w:val="21"/>
          <w:szCs w:val="21"/>
          <w:highlight w:val="none"/>
          <w:lang w:val="en-US" w:eastAsia="zh-CN" w:bidi="ar-SA"/>
        </w:rPr>
        <w:t>甲方对照技术内容服务表对乙方提供的服务进行评价。如乙方未完成相关内容，甲方可在支付款中扣除该部分的费用</w:t>
      </w:r>
      <w:r>
        <w:rPr>
          <w:rFonts w:hint="eastAsia" w:ascii="宋体" w:hAnsi="宋体" w:eastAsia="宋体" w:cs="Times New Roman"/>
          <w:color w:val="auto"/>
          <w:kern w:val="2"/>
          <w:sz w:val="21"/>
          <w:szCs w:val="21"/>
          <w:highlight w:val="none"/>
          <w:lang w:val="en-US" w:eastAsia="zh-CN" w:bidi="ar-SA"/>
        </w:rPr>
        <w:t>。</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13、包装、发运及运输</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13.1 乙方应对其提供的服务所涉及物品在发运前对其进行满足运输距离、防潮、防震、防锈和防破损装卸等要求包装，以保证安全运达甲方指定地点。</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13.2 乙方交付时，使用说明书、检验证明书、随配附件和工具以及清单一并附于内。</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13.4 服务在交付甲方前发生的风险均由乙方负责。</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13.5 服务在规定的交付期限内由乙方送达甲方指定的地点。</w:t>
      </w:r>
    </w:p>
    <w:p>
      <w:pPr>
        <w:pStyle w:val="12"/>
        <w:snapToGrid w:val="0"/>
        <w:spacing w:before="120" w:after="120" w:line="360" w:lineRule="auto"/>
        <w:ind w:left="315" w:leftChars="150" w:firstLine="105" w:firstLineChars="50"/>
        <w:rPr>
          <w:rFonts w:hAnsi="宋体" w:cs="Courier New"/>
          <w:b/>
          <w:bCs/>
          <w:color w:val="auto"/>
          <w:sz w:val="21"/>
          <w:highlight w:val="none"/>
        </w:rPr>
      </w:pPr>
      <w:r>
        <w:rPr>
          <w:rFonts w:hint="eastAsia" w:hAnsi="宋体"/>
          <w:b/>
          <w:bCs/>
          <w:color w:val="auto"/>
          <w:sz w:val="21"/>
          <w:highlight w:val="none"/>
        </w:rPr>
        <w:t>14、违约责任</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14.1 甲方无正当理由拒绝初验收和终验收服务项目的，甲方应按未付服务项目款金额每日万分之五向乙方支付违约金。</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14.2 甲方无故逾期验收和无故逾期办理款项支付手续的,甲方应按逾期付款金额每日万分之五向乙方支付违约金。</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14.3乙方违约，在消除违约情形前，应按本合同项目总额每日万分之五向甲方支付违约金，甲方可以从待付款项中扣除。</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14.4乙方因逾期交付服务项目或因其他违约行为，导致甲方解除合同的，乙方应向甲方支付合同总值5%的违约金，如造成甲方损失超过违约金的，超出部分由乙方继续承担赔偿责任。</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14.5 乙方所交的服务项目全部或部分品种、型号、规格、技术参数、质量不符合合同规定及谈判文件规定标准的，乙方更换服务但逾期交付的（甲方拒绝接受的除外），按乙方逾期交付处理；乙方拒绝更换的，甲方可选择解除本合同或本合同的一部分，并可追究乙方的其他违约责任。</w:t>
      </w:r>
    </w:p>
    <w:p>
      <w:pPr>
        <w:pStyle w:val="12"/>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14.6合同生效后，发现乙方响应属虚假承诺，或经权威部门监测提供的服务不能满足谈判文件要求，造成合同无法继续履行的，</w:t>
      </w:r>
      <w:r>
        <w:rPr>
          <w:rFonts w:hint="eastAsia" w:hAnsi="宋体" w:cs="宋体"/>
          <w:color w:val="auto"/>
          <w:sz w:val="21"/>
          <w:highlight w:val="none"/>
          <w:lang w:eastAsia="zh-CN"/>
        </w:rPr>
        <w:t>甲方有权终止合同，同时</w:t>
      </w:r>
      <w:r>
        <w:rPr>
          <w:rFonts w:hint="eastAsia" w:hAnsi="宋体" w:cs="宋体"/>
          <w:color w:val="auto"/>
          <w:sz w:val="21"/>
          <w:highlight w:val="none"/>
        </w:rPr>
        <w:t>还应向甲方支付不少于合同总价</w:t>
      </w:r>
      <w:r>
        <w:rPr>
          <w:rFonts w:hint="eastAsia" w:hAnsi="宋体" w:cs="宋体"/>
          <w:color w:val="auto"/>
          <w:sz w:val="21"/>
          <w:highlight w:val="none"/>
          <w:u w:val="single"/>
        </w:rPr>
        <w:t xml:space="preserve"> 10 </w:t>
      </w:r>
      <w:r>
        <w:rPr>
          <w:rFonts w:hint="eastAsia" w:hAnsi="宋体" w:cs="宋体"/>
          <w:color w:val="auto"/>
          <w:sz w:val="21"/>
          <w:highlight w:val="none"/>
        </w:rPr>
        <w:t>%赔偿金。</w:t>
      </w:r>
    </w:p>
    <w:p>
      <w:pPr>
        <w:pStyle w:val="12"/>
        <w:snapToGrid w:val="0"/>
        <w:spacing w:before="120" w:after="120" w:line="360" w:lineRule="auto"/>
        <w:ind w:firstLine="422" w:firstLineChars="200"/>
        <w:rPr>
          <w:rFonts w:hAnsi="宋体" w:cs="Courier New"/>
          <w:b/>
          <w:bCs/>
          <w:color w:val="auto"/>
          <w:sz w:val="21"/>
          <w:highlight w:val="none"/>
        </w:rPr>
      </w:pPr>
      <w:r>
        <w:rPr>
          <w:rFonts w:hint="eastAsia" w:hAnsi="宋体"/>
          <w:b/>
          <w:bCs/>
          <w:color w:val="auto"/>
          <w:sz w:val="21"/>
          <w:highlight w:val="none"/>
        </w:rPr>
        <w:t>15、不可抗力事件处理</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16、争议解决</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16.1 因服务的品质质量问题发生争议的，可在国家认可的质量检测机构对服务内容质量进行鉴定。服务符合标准的，鉴定费由甲方承担；服务项目不符合质量标准的，鉴定费由乙方承担。</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16.2 因履行本合同引起的或与本合同有关的争议，甲、乙双方应首先通过友好协商解决；如果协商不能解决争议，甲乙双方同意采取下列两种方式的第</w:t>
      </w:r>
      <w:r>
        <w:rPr>
          <w:rFonts w:hint="eastAsia" w:hAnsi="宋体"/>
          <w:color w:val="auto"/>
          <w:sz w:val="21"/>
          <w:highlight w:val="none"/>
          <w:u w:val="single"/>
        </w:rPr>
        <w:t xml:space="preserve"> 2 </w:t>
      </w:r>
      <w:r>
        <w:rPr>
          <w:rFonts w:hint="eastAsia" w:hAnsi="宋体"/>
          <w:color w:val="auto"/>
          <w:sz w:val="21"/>
          <w:highlight w:val="none"/>
        </w:rPr>
        <w:t>种方式解决争议。</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（1）向甲方所在地有管辖权的人民法院提起诉讼，适用中华人民共和国法律；</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（2）向扬州仲裁委员会按其仲裁规则申请仲裁。</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16.3 若甲乙双方任何一方都没有选择解除合同的，为避免扩大损失，在诉讼或仲裁期间，双方应继续履行。</w:t>
      </w:r>
    </w:p>
    <w:p>
      <w:pPr>
        <w:pStyle w:val="12"/>
        <w:snapToGrid w:val="0"/>
        <w:spacing w:before="120" w:after="120" w:line="360" w:lineRule="auto"/>
        <w:ind w:left="315" w:leftChars="150" w:firstLine="105" w:firstLineChars="50"/>
        <w:rPr>
          <w:rFonts w:hAnsi="宋体"/>
          <w:b/>
          <w:bCs/>
          <w:color w:val="auto"/>
          <w:sz w:val="21"/>
          <w:highlight w:val="none"/>
        </w:rPr>
      </w:pPr>
      <w:r>
        <w:rPr>
          <w:rFonts w:hint="eastAsia" w:hAnsi="宋体"/>
          <w:b/>
          <w:bCs/>
          <w:color w:val="auto"/>
          <w:sz w:val="21"/>
          <w:highlight w:val="none"/>
        </w:rPr>
        <w:t>17、合同其它</w:t>
      </w:r>
    </w:p>
    <w:p>
      <w:pPr>
        <w:pStyle w:val="12"/>
        <w:snapToGrid w:val="0"/>
        <w:spacing w:before="120" w:after="120" w:line="360" w:lineRule="auto"/>
        <w:ind w:firstLine="420" w:firstLineChars="200"/>
        <w:rPr>
          <w:rFonts w:hAnsi="宋体"/>
          <w:color w:val="auto"/>
          <w:sz w:val="21"/>
          <w:highlight w:val="none"/>
        </w:rPr>
      </w:pPr>
      <w:r>
        <w:rPr>
          <w:rFonts w:hint="eastAsia" w:hAnsi="宋体"/>
          <w:color w:val="auto"/>
          <w:sz w:val="21"/>
          <w:highlight w:val="none"/>
        </w:rPr>
        <w:t>17.1 乙方应诚实信用，严格按照谈判文件要求和响应承诺履行合同，不向甲方进行商业贿赂或者提供不正当利益。</w:t>
      </w:r>
    </w:p>
    <w:p>
      <w:pPr>
        <w:pStyle w:val="12"/>
        <w:snapToGrid w:val="0"/>
        <w:spacing w:before="120" w:after="120" w:line="360" w:lineRule="auto"/>
        <w:ind w:firstLine="420" w:firstLineChars="200"/>
        <w:rPr>
          <w:rFonts w:hAnsi="宋体"/>
          <w:color w:val="auto"/>
          <w:sz w:val="21"/>
          <w:highlight w:val="none"/>
          <w:u w:val="single"/>
        </w:rPr>
      </w:pPr>
      <w:r>
        <w:rPr>
          <w:rFonts w:hint="eastAsia" w:hAnsi="宋体"/>
          <w:color w:val="auto"/>
          <w:sz w:val="21"/>
          <w:highlight w:val="none"/>
        </w:rPr>
        <w:t>17.2 合同经双方法定代表人或授权代表签字并加盖单位公章后生效。</w:t>
      </w:r>
    </w:p>
    <w:p>
      <w:pPr>
        <w:pStyle w:val="12"/>
        <w:snapToGrid w:val="0"/>
        <w:spacing w:before="120" w:after="120" w:line="360" w:lineRule="auto"/>
        <w:ind w:firstLine="420" w:firstLineChars="200"/>
        <w:rPr>
          <w:rFonts w:hAnsi="宋体"/>
          <w:color w:val="auto"/>
          <w:sz w:val="21"/>
          <w:highlight w:val="none"/>
          <w:u w:val="single"/>
        </w:rPr>
      </w:pPr>
      <w:r>
        <w:rPr>
          <w:rFonts w:hint="eastAsia" w:hAnsi="宋体"/>
          <w:color w:val="auto"/>
          <w:sz w:val="21"/>
          <w:highlight w:val="none"/>
        </w:rPr>
        <w:t>17.3本合同未尽事宜，遵照《民法典》有关条文执行。</w:t>
      </w:r>
    </w:p>
    <w:p>
      <w:pPr>
        <w:pStyle w:val="12"/>
        <w:snapToGrid w:val="0"/>
        <w:spacing w:before="120" w:after="120" w:line="360" w:lineRule="auto"/>
        <w:ind w:firstLine="420" w:firstLineChars="200"/>
        <w:rPr>
          <w:rFonts w:hint="eastAsia" w:hAnsi="宋体" w:cs="宋体"/>
          <w:color w:val="auto"/>
          <w:sz w:val="21"/>
          <w:highlight w:val="none"/>
        </w:rPr>
      </w:pPr>
      <w:r>
        <w:rPr>
          <w:rFonts w:hint="eastAsia" w:hAnsi="宋体"/>
          <w:color w:val="auto"/>
          <w:sz w:val="21"/>
          <w:highlight w:val="none"/>
        </w:rPr>
        <w:t xml:space="preserve">17.4 </w:t>
      </w:r>
      <w:r>
        <w:rPr>
          <w:rFonts w:hint="eastAsia" w:hAnsi="宋体" w:cs="宋体"/>
          <w:color w:val="auto"/>
          <w:sz w:val="21"/>
          <w:highlight w:val="none"/>
        </w:rPr>
        <w:t>本合同正本一式四份，具有同等法律效力，甲方、乙方各执两份。</w:t>
      </w:r>
    </w:p>
    <w:p>
      <w:pPr>
        <w:pStyle w:val="12"/>
        <w:snapToGrid w:val="0"/>
        <w:spacing w:before="120" w:after="120" w:line="360" w:lineRule="auto"/>
        <w:ind w:left="420" w:hanging="420" w:hangingChars="200"/>
        <w:rPr>
          <w:rFonts w:hint="eastAsia" w:hAnsi="宋体"/>
          <w:color w:val="auto"/>
          <w:sz w:val="21"/>
          <w:highlight w:val="none"/>
        </w:rPr>
      </w:pPr>
      <w:r>
        <w:rPr>
          <w:rFonts w:hint="eastAsia" w:hAnsi="宋体"/>
          <w:color w:val="auto"/>
          <w:sz w:val="21"/>
          <w:highlight w:val="none"/>
        </w:rPr>
        <w:t xml:space="preserve"> </w:t>
      </w:r>
    </w:p>
    <w:p>
      <w:pPr>
        <w:pStyle w:val="12"/>
        <w:snapToGrid w:val="0"/>
        <w:spacing w:before="120" w:after="120" w:line="360" w:lineRule="auto"/>
        <w:ind w:left="420" w:hanging="420" w:hangingChars="200"/>
        <w:rPr>
          <w:rFonts w:hAnsi="宋体"/>
          <w:color w:val="auto"/>
          <w:sz w:val="21"/>
          <w:highlight w:val="none"/>
        </w:rPr>
      </w:pPr>
      <w:r>
        <w:rPr>
          <w:rFonts w:hint="eastAsia" w:hAnsi="宋体"/>
          <w:color w:val="auto"/>
          <w:sz w:val="21"/>
          <w:highlight w:val="none"/>
        </w:rPr>
        <w:t xml:space="preserve"> 甲方：</w:t>
      </w:r>
      <w:r>
        <w:rPr>
          <w:rFonts w:hint="eastAsia" w:hAnsi="宋体"/>
          <w:color w:val="auto"/>
          <w:sz w:val="21"/>
          <w:highlight w:val="none"/>
          <w:lang w:eastAsia="zh-CN"/>
        </w:rPr>
        <w:t>扬州市长江运河管理处</w:t>
      </w:r>
      <w:r>
        <w:rPr>
          <w:rFonts w:hint="eastAsia" w:hAnsi="宋体"/>
          <w:color w:val="auto"/>
          <w:sz w:val="21"/>
          <w:highlight w:val="none"/>
        </w:rPr>
        <w:t xml:space="preserve"> </w:t>
      </w:r>
      <w:r>
        <w:rPr>
          <w:rFonts w:hint="eastAsia" w:hAnsi="宋体"/>
          <w:color w:val="auto"/>
          <w:sz w:val="21"/>
          <w:highlight w:val="none"/>
        </w:rPr>
        <w:tab/>
      </w:r>
      <w:r>
        <w:rPr>
          <w:rFonts w:hint="eastAsia" w:hAnsi="宋体"/>
          <w:color w:val="auto"/>
          <w:sz w:val="21"/>
          <w:highlight w:val="none"/>
        </w:rPr>
        <w:t xml:space="preserve">       </w:t>
      </w:r>
      <w:r>
        <w:rPr>
          <w:rFonts w:hint="eastAsia" w:hAnsi="宋体"/>
          <w:color w:val="auto"/>
          <w:sz w:val="21"/>
          <w:highlight w:val="none"/>
          <w:lang w:val="en-US" w:eastAsia="zh-CN"/>
        </w:rPr>
        <w:t xml:space="preserve">    </w:t>
      </w:r>
      <w:r>
        <w:rPr>
          <w:rFonts w:hint="eastAsia" w:hAnsi="宋体"/>
          <w:color w:val="auto"/>
          <w:sz w:val="21"/>
          <w:highlight w:val="none"/>
        </w:rPr>
        <w:t xml:space="preserve">乙方： </w:t>
      </w:r>
    </w:p>
    <w:p>
      <w:pPr>
        <w:pStyle w:val="12"/>
        <w:snapToGrid w:val="0"/>
        <w:spacing w:before="120" w:after="120" w:line="360" w:lineRule="auto"/>
        <w:rPr>
          <w:rFonts w:hAnsi="宋体"/>
          <w:color w:val="auto"/>
          <w:sz w:val="21"/>
          <w:highlight w:val="none"/>
        </w:rPr>
      </w:pPr>
      <w:r>
        <w:rPr>
          <w:rFonts w:hint="eastAsia" w:hAnsi="宋体"/>
          <w:color w:val="auto"/>
          <w:sz w:val="21"/>
          <w:highlight w:val="none"/>
        </w:rPr>
        <w:t xml:space="preserve">  地址：</w:t>
      </w:r>
      <w:r>
        <w:rPr>
          <w:rFonts w:hint="eastAsia" w:hAnsi="宋体"/>
          <w:color w:val="auto"/>
          <w:sz w:val="21"/>
          <w:highlight w:val="none"/>
        </w:rPr>
        <w:tab/>
      </w:r>
      <w:r>
        <w:rPr>
          <w:rFonts w:hint="eastAsia" w:hAnsi="宋体"/>
          <w:color w:val="auto"/>
          <w:sz w:val="21"/>
          <w:highlight w:val="none"/>
        </w:rPr>
        <w:tab/>
      </w:r>
      <w:r>
        <w:rPr>
          <w:rFonts w:hint="eastAsia" w:hAnsi="宋体"/>
          <w:color w:val="auto"/>
          <w:sz w:val="21"/>
          <w:highlight w:val="none"/>
        </w:rPr>
        <w:tab/>
      </w:r>
      <w:r>
        <w:rPr>
          <w:rFonts w:hint="eastAsia" w:hAnsi="宋体"/>
          <w:color w:val="auto"/>
          <w:sz w:val="21"/>
          <w:highlight w:val="none"/>
        </w:rPr>
        <w:tab/>
      </w:r>
      <w:r>
        <w:rPr>
          <w:rFonts w:hint="eastAsia" w:hAnsi="宋体"/>
          <w:color w:val="auto"/>
          <w:sz w:val="21"/>
          <w:highlight w:val="none"/>
        </w:rPr>
        <w:t xml:space="preserve">                   地址： </w:t>
      </w:r>
    </w:p>
    <w:p>
      <w:pPr>
        <w:pStyle w:val="12"/>
        <w:snapToGrid w:val="0"/>
        <w:spacing w:before="120" w:after="120" w:line="360" w:lineRule="auto"/>
        <w:rPr>
          <w:rFonts w:hAnsi="宋体"/>
          <w:color w:val="auto"/>
          <w:sz w:val="21"/>
          <w:highlight w:val="none"/>
        </w:rPr>
      </w:pPr>
      <w:r>
        <w:rPr>
          <w:rFonts w:hint="eastAsia" w:hAnsi="宋体"/>
          <w:color w:val="auto"/>
          <w:sz w:val="21"/>
          <w:highlight w:val="none"/>
        </w:rPr>
        <w:t xml:space="preserve">  法定代表人或授权代表：                   法定代表人或授权代表：</w:t>
      </w:r>
    </w:p>
    <w:p>
      <w:pPr>
        <w:pStyle w:val="12"/>
        <w:snapToGrid w:val="0"/>
        <w:spacing w:before="120" w:after="120" w:line="360" w:lineRule="auto"/>
        <w:rPr>
          <w:rFonts w:hint="eastAsia" w:hAnsi="宋体"/>
          <w:color w:val="auto"/>
          <w:sz w:val="21"/>
          <w:highlight w:val="none"/>
        </w:rPr>
      </w:pPr>
      <w:r>
        <w:rPr>
          <w:rFonts w:hint="eastAsia" w:hAnsi="宋体"/>
          <w:color w:val="auto"/>
          <w:sz w:val="21"/>
          <w:highlight w:val="none"/>
        </w:rPr>
        <w:t xml:space="preserve">  联系电话：                               联系电话：</w:t>
      </w:r>
    </w:p>
    <w:p>
      <w:pPr>
        <w:pStyle w:val="12"/>
        <w:snapToGrid w:val="0"/>
        <w:spacing w:before="120" w:after="120" w:line="360" w:lineRule="auto"/>
        <w:ind w:firstLine="210" w:firstLineChars="100"/>
        <w:rPr>
          <w:rFonts w:hint="eastAsia" w:hAnsi="宋体"/>
          <w:color w:val="auto"/>
          <w:sz w:val="21"/>
          <w:highlight w:val="none"/>
        </w:rPr>
      </w:pPr>
      <w:r>
        <w:rPr>
          <w:rFonts w:hint="eastAsia" w:hAnsi="宋体"/>
          <w:color w:val="auto"/>
          <w:sz w:val="21"/>
          <w:highlight w:val="none"/>
        </w:rPr>
        <w:t xml:space="preserve">日期：      年    月    日               日期：      年    月    日    </w:t>
      </w:r>
    </w:p>
    <w:p>
      <w:pPr>
        <w:pStyle w:val="12"/>
        <w:spacing w:before="120" w:after="120" w:line="360" w:lineRule="auto"/>
        <w:rPr>
          <w:rFonts w:hint="eastAsia" w:hAnsi="宋体"/>
          <w:color w:val="auto"/>
          <w:sz w:val="21"/>
          <w:highlight w:val="none"/>
        </w:rPr>
        <w:sectPr>
          <w:headerReference r:id="rId5" w:type="default"/>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hAnsi="宋体"/>
          <w:color w:val="auto"/>
          <w:sz w:val="21"/>
          <w:highlight w:val="none"/>
        </w:rPr>
        <w:t xml:space="preserve">                       </w:t>
      </w:r>
    </w:p>
    <w:p>
      <w:pPr>
        <w:pStyle w:val="2"/>
        <w:spacing w:before="0" w:after="0" w:line="360" w:lineRule="auto"/>
        <w:jc w:val="center"/>
        <w:rPr>
          <w:rFonts w:ascii="宋体" w:hAnsi="宋体"/>
          <w:color w:val="auto"/>
          <w:sz w:val="36"/>
          <w:highlight w:val="none"/>
        </w:rPr>
      </w:pPr>
      <w:r>
        <w:rPr>
          <w:rFonts w:hint="eastAsia" w:ascii="宋体" w:hAnsi="宋体"/>
          <w:color w:val="auto"/>
          <w:sz w:val="36"/>
          <w:highlight w:val="none"/>
        </w:rPr>
        <w:t>第四章 项目需求</w:t>
      </w:r>
      <w:bookmarkEnd w:id="143"/>
    </w:p>
    <w:p>
      <w:pPr>
        <w:spacing w:line="360" w:lineRule="auto"/>
        <w:ind w:firstLine="422" w:firstLineChars="200"/>
        <w:rPr>
          <w:rFonts w:hint="eastAsia" w:asciiTheme="minorEastAsia" w:hAnsiTheme="minorEastAsia" w:eastAsiaTheme="minorEastAsia" w:cstheme="minorEastAsia"/>
          <w:highlight w:val="none"/>
          <w:lang w:val="en-US" w:eastAsia="zh-CN"/>
        </w:rPr>
      </w:pPr>
      <w:bookmarkStart w:id="145" w:name="_Toc10440"/>
      <w:r>
        <w:rPr>
          <w:rFonts w:hint="eastAsia" w:asciiTheme="minorEastAsia" w:hAnsiTheme="minorEastAsia" w:eastAsiaTheme="minorEastAsia" w:cstheme="minorEastAsia"/>
          <w:b/>
          <w:bCs/>
          <w:color w:val="auto"/>
          <w:szCs w:val="21"/>
          <w:highlight w:val="none"/>
        </w:rPr>
        <w:t>本项目预算</w:t>
      </w:r>
      <w:r>
        <w:rPr>
          <w:rFonts w:hint="eastAsia" w:asciiTheme="minorEastAsia" w:hAnsiTheme="minorEastAsia" w:eastAsiaTheme="minorEastAsia" w:cstheme="minorEastAsia"/>
          <w:b/>
          <w:bCs/>
          <w:color w:val="auto"/>
          <w:szCs w:val="21"/>
          <w:highlight w:val="none"/>
          <w:lang w:val="en-US" w:eastAsia="zh-CN"/>
        </w:rPr>
        <w:t>48.4919万</w:t>
      </w:r>
      <w:r>
        <w:rPr>
          <w:rFonts w:hint="eastAsia" w:asciiTheme="minorEastAsia" w:hAnsiTheme="minorEastAsia" w:eastAsiaTheme="minorEastAsia" w:cstheme="minorEastAsia"/>
          <w:b/>
          <w:bCs/>
          <w:color w:val="auto"/>
          <w:szCs w:val="21"/>
          <w:highlight w:val="none"/>
        </w:rPr>
        <w:t>元，</w:t>
      </w:r>
      <w:r>
        <w:rPr>
          <w:rFonts w:hint="eastAsia" w:asciiTheme="minorEastAsia" w:hAnsiTheme="minorEastAsia" w:eastAsiaTheme="minorEastAsia" w:cstheme="minorEastAsia"/>
          <w:b/>
          <w:bCs/>
          <w:color w:val="auto"/>
          <w:szCs w:val="21"/>
          <w:highlight w:val="none"/>
          <w:lang w:eastAsia="zh-CN"/>
        </w:rPr>
        <w:t>最高限价为</w:t>
      </w:r>
      <w:r>
        <w:rPr>
          <w:rFonts w:hint="eastAsia" w:asciiTheme="minorEastAsia" w:hAnsiTheme="minorEastAsia" w:eastAsiaTheme="minorEastAsia" w:cstheme="minorEastAsia"/>
          <w:b/>
          <w:bCs/>
          <w:color w:val="auto"/>
          <w:szCs w:val="21"/>
          <w:highlight w:val="none"/>
          <w:lang w:val="en-US" w:eastAsia="zh-CN"/>
        </w:rPr>
        <w:t>46万元，</w:t>
      </w:r>
      <w:r>
        <w:rPr>
          <w:rFonts w:hint="eastAsia" w:asciiTheme="minorEastAsia" w:hAnsiTheme="minorEastAsia" w:eastAsiaTheme="minorEastAsia" w:cstheme="minorEastAsia"/>
          <w:b/>
          <w:bCs/>
          <w:color w:val="auto"/>
          <w:szCs w:val="21"/>
          <w:highlight w:val="none"/>
        </w:rPr>
        <w:t>报价超过</w:t>
      </w:r>
      <w:r>
        <w:rPr>
          <w:rFonts w:hint="eastAsia" w:asciiTheme="minorEastAsia" w:hAnsiTheme="minorEastAsia" w:eastAsiaTheme="minorEastAsia" w:cstheme="minorEastAsia"/>
          <w:b/>
          <w:bCs/>
          <w:color w:val="auto"/>
          <w:szCs w:val="21"/>
          <w:highlight w:val="none"/>
          <w:lang w:eastAsia="zh-CN"/>
        </w:rPr>
        <w:t>最高限价</w:t>
      </w:r>
      <w:r>
        <w:rPr>
          <w:rFonts w:hint="eastAsia" w:asciiTheme="minorEastAsia" w:hAnsiTheme="minorEastAsia" w:eastAsiaTheme="minorEastAsia" w:cstheme="minorEastAsia"/>
          <w:b/>
          <w:bCs/>
          <w:color w:val="auto"/>
          <w:szCs w:val="21"/>
          <w:highlight w:val="none"/>
        </w:rPr>
        <w:t>的为无效报价，按照无效响应处理。</w:t>
      </w:r>
    </w:p>
    <w:p>
      <w:pPr>
        <w:pStyle w:val="10"/>
        <w:spacing w:line="360" w:lineRule="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一、运维内容：</w:t>
      </w:r>
    </w:p>
    <w:tbl>
      <w:tblPr>
        <w:tblStyle w:val="27"/>
        <w:tblW w:w="0" w:type="auto"/>
        <w:jc w:val="center"/>
        <w:tblLayout w:type="fixed"/>
        <w:tblCellMar>
          <w:top w:w="0" w:type="dxa"/>
          <w:left w:w="108" w:type="dxa"/>
          <w:bottom w:w="0" w:type="dxa"/>
          <w:right w:w="108" w:type="dxa"/>
        </w:tblCellMar>
      </w:tblPr>
      <w:tblGrid>
        <w:gridCol w:w="844"/>
        <w:gridCol w:w="6941"/>
      </w:tblGrid>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系统或项目名称</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瓜洲</w:t>
            </w:r>
            <w:r>
              <w:rPr>
                <w:rFonts w:hint="eastAsia" w:asciiTheme="minorEastAsia" w:hAnsiTheme="minorEastAsia" w:eastAsiaTheme="minorEastAsia" w:cstheme="minorEastAsia"/>
                <w:sz w:val="24"/>
                <w:szCs w:val="24"/>
                <w:highlight w:val="none"/>
              </w:rPr>
              <w:t>泵站</w:t>
            </w:r>
            <w:r>
              <w:rPr>
                <w:rFonts w:hint="eastAsia" w:asciiTheme="minorEastAsia" w:hAnsiTheme="minorEastAsia" w:eastAsiaTheme="minorEastAsia" w:cstheme="minorEastAsia"/>
                <w:sz w:val="24"/>
                <w:szCs w:val="24"/>
                <w:highlight w:val="none"/>
                <w:lang w:val="en-US" w:eastAsia="zh-CN"/>
              </w:rPr>
              <w:t>工程</w:t>
            </w:r>
            <w:r>
              <w:rPr>
                <w:rFonts w:hint="eastAsia" w:asciiTheme="minorEastAsia" w:hAnsiTheme="minorEastAsia" w:eastAsiaTheme="minorEastAsia" w:cstheme="minorEastAsia"/>
                <w:sz w:val="24"/>
                <w:szCs w:val="24"/>
                <w:highlight w:val="none"/>
              </w:rPr>
              <w:t>自动化系统</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瓜洲</w:t>
            </w:r>
            <w:r>
              <w:rPr>
                <w:rFonts w:hint="eastAsia" w:asciiTheme="minorEastAsia" w:hAnsiTheme="minorEastAsia" w:eastAsiaTheme="minorEastAsia" w:cstheme="minorEastAsia"/>
                <w:sz w:val="24"/>
                <w:szCs w:val="24"/>
                <w:highlight w:val="none"/>
              </w:rPr>
              <w:t>泵站</w:t>
            </w:r>
            <w:r>
              <w:rPr>
                <w:rFonts w:hint="eastAsia" w:asciiTheme="minorEastAsia" w:hAnsiTheme="minorEastAsia" w:eastAsiaTheme="minorEastAsia" w:cstheme="minorEastAsia"/>
                <w:sz w:val="24"/>
                <w:szCs w:val="24"/>
                <w:highlight w:val="none"/>
                <w:lang w:val="en-US" w:eastAsia="zh-CN"/>
              </w:rPr>
              <w:t>机组运行状态监测系统</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管理用房</w:t>
            </w:r>
            <w:r>
              <w:rPr>
                <w:rFonts w:hint="eastAsia" w:asciiTheme="minorEastAsia" w:hAnsiTheme="minorEastAsia" w:eastAsiaTheme="minorEastAsia" w:cstheme="minorEastAsia"/>
                <w:sz w:val="24"/>
                <w:szCs w:val="24"/>
                <w:highlight w:val="none"/>
              </w:rPr>
              <w:t>视频会商系统</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水文监测系统</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五</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计算机及外设产品</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网</w:t>
            </w:r>
            <w:r>
              <w:rPr>
                <w:rFonts w:hint="eastAsia" w:asciiTheme="minorEastAsia" w:hAnsiTheme="minorEastAsia" w:eastAsiaTheme="minorEastAsia" w:cstheme="minorEastAsia"/>
                <w:sz w:val="24"/>
                <w:szCs w:val="24"/>
                <w:highlight w:val="none"/>
                <w:u w:val="none"/>
                <w:lang w:val="en-US" w:eastAsia="zh-CN"/>
              </w:rPr>
              <w:t xml:space="preserve">络通信及网络安全 </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文档资料</w:t>
            </w:r>
          </w:p>
        </w:tc>
      </w:tr>
      <w:tr>
        <w:tblPrEx>
          <w:tblCellMar>
            <w:top w:w="0" w:type="dxa"/>
            <w:left w:w="108" w:type="dxa"/>
            <w:bottom w:w="0" w:type="dxa"/>
            <w:right w:w="108" w:type="dxa"/>
          </w:tblCellMar>
        </w:tblPrEx>
        <w:trPr>
          <w:trHeight w:val="56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八</w:t>
            </w:r>
          </w:p>
        </w:tc>
        <w:tc>
          <w:tcPr>
            <w:tcW w:w="69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r>
              <w:rPr>
                <w:rFonts w:hint="eastAsia" w:asciiTheme="minorEastAsia" w:hAnsiTheme="minorEastAsia" w:eastAsiaTheme="minorEastAsia" w:cstheme="minorEastAsia"/>
                <w:sz w:val="24"/>
                <w:szCs w:val="24"/>
                <w:highlight w:val="none"/>
                <w:lang w:val="en-US" w:eastAsia="zh-CN"/>
              </w:rPr>
              <w:t>含</w:t>
            </w:r>
            <w:r>
              <w:rPr>
                <w:rFonts w:hint="eastAsia" w:asciiTheme="minorEastAsia" w:hAnsiTheme="minorEastAsia" w:eastAsiaTheme="minorEastAsia" w:cstheme="minorEastAsia"/>
                <w:sz w:val="24"/>
                <w:szCs w:val="24"/>
                <w:highlight w:val="none"/>
              </w:rPr>
              <w:t>服务期内新增视频监控设施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办公计算机及外设产品、网络线路等</w:t>
            </w:r>
            <w:r>
              <w:rPr>
                <w:rFonts w:hint="eastAsia" w:asciiTheme="minorEastAsia" w:hAnsiTheme="minorEastAsia" w:eastAsiaTheme="minorEastAsia" w:cstheme="minorEastAsia"/>
                <w:sz w:val="24"/>
                <w:szCs w:val="24"/>
                <w:highlight w:val="none"/>
              </w:rPr>
              <w:t>）</w:t>
            </w:r>
          </w:p>
        </w:tc>
      </w:tr>
      <w:tr>
        <w:tblPrEx>
          <w:tblCellMar>
            <w:top w:w="0" w:type="dxa"/>
            <w:left w:w="108" w:type="dxa"/>
            <w:bottom w:w="0" w:type="dxa"/>
            <w:right w:w="108" w:type="dxa"/>
          </w:tblCellMar>
        </w:tblPrEx>
        <w:trPr>
          <w:trHeight w:val="567" w:hRule="atLeast"/>
          <w:jc w:val="center"/>
        </w:trPr>
        <w:tc>
          <w:tcPr>
            <w:tcW w:w="77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目标要求：信息化管理水平应达到</w:t>
            </w:r>
            <w:r>
              <w:rPr>
                <w:rFonts w:hint="eastAsia" w:asciiTheme="minorEastAsia" w:hAnsiTheme="minorEastAsia" w:eastAsiaTheme="minorEastAsia" w:cstheme="minorEastAsia"/>
                <w:sz w:val="24"/>
                <w:szCs w:val="24"/>
                <w:highlight w:val="none"/>
                <w:lang w:val="en-US" w:eastAsia="zh-CN"/>
              </w:rPr>
              <w:t>水利部标准化</w:t>
            </w:r>
            <w:r>
              <w:rPr>
                <w:rFonts w:hint="eastAsia" w:asciiTheme="minorEastAsia" w:hAnsiTheme="minorEastAsia" w:eastAsiaTheme="minorEastAsia" w:cstheme="minorEastAsia"/>
                <w:sz w:val="24"/>
                <w:szCs w:val="24"/>
                <w:highlight w:val="none"/>
              </w:rPr>
              <w:t>单位要求（含资料档案）</w:t>
            </w:r>
          </w:p>
        </w:tc>
      </w:tr>
    </w:tbl>
    <w:p>
      <w:pPr>
        <w:pStyle w:val="10"/>
        <w:spacing w:line="360" w:lineRule="auto"/>
        <w:ind w:left="0" w:leftChars="0" w:firstLine="0" w:firstLineChars="0"/>
        <w:rPr>
          <w:rFonts w:hint="eastAsia" w:asciiTheme="minorEastAsia" w:hAnsiTheme="minorEastAsia" w:eastAsiaTheme="minorEastAsia" w:cstheme="minorEastAsia"/>
          <w:sz w:val="21"/>
          <w:szCs w:val="21"/>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Chars="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瓜洲泵站自动化系统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瓜洲泵站自动化系统包括自动控制系统和视频监控系统。</w:t>
      </w:r>
    </w:p>
    <w:p>
      <w:pPr>
        <w:keepNext w:val="0"/>
        <w:keepLines w:val="0"/>
        <w:pageBreakBefore w:val="0"/>
        <w:widowControl w:val="0"/>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自动控制系统可以远程控制瓜洲泵站主机组与辅机设备的启停，采集、传输、展示、记录机组运行的各类监测数据，</w:t>
      </w:r>
      <w:r>
        <w:rPr>
          <w:rFonts w:hint="eastAsia" w:asciiTheme="minorEastAsia" w:hAnsiTheme="minorEastAsia" w:eastAsiaTheme="minorEastAsia" w:cstheme="minorEastAsia"/>
          <w:sz w:val="24"/>
          <w:szCs w:val="24"/>
          <w:highlight w:val="none"/>
        </w:rPr>
        <w:t>并对泵站运行数据进行统计、分析等，是泵站运行人员实施全站性监控的主要手段。</w:t>
      </w:r>
    </w:p>
    <w:p>
      <w:pPr>
        <w:keepNext w:val="0"/>
        <w:keepLines w:val="0"/>
        <w:pageBreakBefore w:val="0"/>
        <w:widowControl w:val="0"/>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（2）视频监控系统</w:t>
      </w:r>
      <w:r>
        <w:rPr>
          <w:rFonts w:hint="eastAsia" w:asciiTheme="minorEastAsia" w:hAnsiTheme="minorEastAsia" w:eastAsiaTheme="minorEastAsia" w:cstheme="minorEastAsia"/>
          <w:sz w:val="24"/>
          <w:szCs w:val="24"/>
          <w:highlight w:val="none"/>
        </w:rPr>
        <w:t>实时显示各个摄像头采集的视频图像，并提供历史图像存储和回放功能，供事后检索与分析。</w:t>
      </w:r>
    </w:p>
    <w:p>
      <w:pPr>
        <w:keepNext w:val="0"/>
        <w:keepLines w:val="0"/>
        <w:pageBreakBefore w:val="0"/>
        <w:widowControl w:val="0"/>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系统包含的硬件设备和软件系统清单如下：</w:t>
      </w:r>
    </w:p>
    <w:p>
      <w:pPr>
        <w:pStyle w:val="10"/>
        <w:spacing w:line="360"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p>
    <w:p>
      <w:pPr>
        <w:pStyle w:val="10"/>
        <w:spacing w:line="360"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硬件设备：</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4962"/>
        <w:gridCol w:w="175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2911"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1032"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580"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泵站公共控制单元</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高压配电远程站LCU</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0.4kV配电远程站LCU</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辅机远程站LCU</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主机远程站LCU</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6</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清污机远程站PLC</w:t>
            </w:r>
          </w:p>
        </w:tc>
        <w:tc>
          <w:tcPr>
            <w:tcW w:w="1032" w:type="pct"/>
            <w:vAlign w:val="center"/>
          </w:tcPr>
          <w:p>
            <w:p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排水廊道</w:t>
            </w:r>
            <w:r>
              <w:rPr>
                <w:rFonts w:hint="eastAsia" w:asciiTheme="minorEastAsia" w:hAnsiTheme="minorEastAsia" w:eastAsiaTheme="minorEastAsia" w:cstheme="minorEastAsia"/>
                <w:sz w:val="24"/>
                <w:szCs w:val="24"/>
                <w:highlight w:val="none"/>
                <w:lang w:val="en-US" w:eastAsia="zh-CN"/>
              </w:rPr>
              <w:t>水位传感器</w:t>
            </w:r>
          </w:p>
        </w:tc>
        <w:tc>
          <w:tcPr>
            <w:tcW w:w="1032" w:type="pct"/>
            <w:vAlign w:val="center"/>
          </w:tcPr>
          <w:p>
            <w:pPr>
              <w:spacing w:line="360" w:lineRule="auto"/>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排水廊道浮子开关</w:t>
            </w:r>
          </w:p>
        </w:tc>
        <w:tc>
          <w:tcPr>
            <w:tcW w:w="1032" w:type="pct"/>
            <w:vAlign w:val="center"/>
          </w:tcPr>
          <w:p>
            <w:pPr>
              <w:spacing w:line="360" w:lineRule="auto"/>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供水管压力传感器</w:t>
            </w:r>
          </w:p>
        </w:tc>
        <w:tc>
          <w:tcPr>
            <w:tcW w:w="1032" w:type="pct"/>
            <w:vAlign w:val="center"/>
          </w:tcPr>
          <w:p>
            <w:pPr>
              <w:spacing w:line="360" w:lineRule="auto"/>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6</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rPr>
              <w:t>扬压力</w:t>
            </w:r>
            <w:r>
              <w:rPr>
                <w:rFonts w:hint="eastAsia" w:asciiTheme="minorEastAsia" w:hAnsiTheme="minorEastAsia" w:eastAsiaTheme="minorEastAsia" w:cstheme="minorEastAsia"/>
                <w:sz w:val="24"/>
                <w:szCs w:val="24"/>
                <w:highlight w:val="none"/>
                <w:lang w:val="en-US" w:eastAsia="zh-CN"/>
              </w:rPr>
              <w:t>传感器</w:t>
            </w:r>
          </w:p>
        </w:tc>
        <w:tc>
          <w:tcPr>
            <w:tcW w:w="1032" w:type="pct"/>
            <w:vAlign w:val="center"/>
          </w:tcPr>
          <w:p>
            <w:pPr>
              <w:spacing w:line="360" w:lineRule="auto"/>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19</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工业控制计算机</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vertAlign w:val="baseline"/>
                <w:lang w:val="en-US" w:eastAsia="zh-CN"/>
              </w:rPr>
              <w:t>数据库服务器</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操作员站</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管理应用服务器及WEB服务器</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微机保护装置</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16</w:t>
            </w:r>
          </w:p>
        </w:tc>
        <w:tc>
          <w:tcPr>
            <w:tcW w:w="2911" w:type="pct"/>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LCD拼接大屏及附属设备</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17</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卫星同步时钟装置</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工业交换机</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19</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通讯管理机</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直流柜</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21</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电池柜</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22</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网络机柜</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23</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网络安全隔离装置</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24</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防火墙</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25</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硬盘录像机</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26</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监控系统</w:t>
            </w:r>
            <w:r>
              <w:rPr>
                <w:rFonts w:hint="eastAsia" w:asciiTheme="minorEastAsia" w:hAnsiTheme="minorEastAsia" w:eastAsiaTheme="minorEastAsia" w:cstheme="minorEastAsia"/>
                <w:sz w:val="24"/>
                <w:szCs w:val="24"/>
                <w:highlight w:val="none"/>
                <w:vertAlign w:val="baseline"/>
                <w:lang w:val="en-US" w:eastAsia="zh-CN"/>
              </w:rPr>
              <w:t>交换机</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27</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光纤收发器</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Cs w:val="21"/>
                <w:highlight w:val="none"/>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28</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网络键盘</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29</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高清解码器</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30</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摄像头</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31</w:t>
            </w:r>
          </w:p>
        </w:tc>
        <w:tc>
          <w:tcPr>
            <w:tcW w:w="2911"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视频机柜</w:t>
            </w:r>
          </w:p>
        </w:tc>
        <w:tc>
          <w:tcPr>
            <w:tcW w:w="1032"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32</w:t>
            </w:r>
          </w:p>
        </w:tc>
        <w:tc>
          <w:tcPr>
            <w:tcW w:w="2911"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其它配套设备及辅材等</w:t>
            </w:r>
          </w:p>
        </w:tc>
        <w:tc>
          <w:tcPr>
            <w:tcW w:w="1032"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8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软件系统：</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5650"/>
        <w:gridCol w:w="110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331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646"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556"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315"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数据库软件</w:t>
            </w:r>
          </w:p>
        </w:tc>
        <w:tc>
          <w:tcPr>
            <w:tcW w:w="64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5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3315"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监控组态软件</w:t>
            </w:r>
          </w:p>
        </w:tc>
        <w:tc>
          <w:tcPr>
            <w:tcW w:w="64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5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3315"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工控数据报表查询工具</w:t>
            </w:r>
          </w:p>
        </w:tc>
        <w:tc>
          <w:tcPr>
            <w:tcW w:w="64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highlight w:val="none"/>
                <w:vertAlign w:val="baseline"/>
                <w:lang w:val="en-US" w:eastAsia="zh-CN"/>
              </w:rPr>
              <w:t>1</w:t>
            </w:r>
          </w:p>
        </w:tc>
        <w:tc>
          <w:tcPr>
            <w:tcW w:w="55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315"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视频监控系统</w:t>
            </w:r>
          </w:p>
        </w:tc>
        <w:tc>
          <w:tcPr>
            <w:tcW w:w="64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5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3315" w:type="pct"/>
            <w:vAlign w:val="center"/>
          </w:tcPr>
          <w:p>
            <w:pPr>
              <w:numPr>
                <w:ilvl w:val="0"/>
                <w:numId w:val="0"/>
              </w:numPr>
              <w:spacing w:line="360" w:lineRule="auto"/>
              <w:ind w:left="0" w:leftChars="0"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数据采集、PLC及触摸屏软件</w:t>
            </w:r>
          </w:p>
        </w:tc>
        <w:tc>
          <w:tcPr>
            <w:tcW w:w="64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556"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bl>
    <w:p>
      <w:pPr>
        <w:pStyle w:val="10"/>
        <w:spacing w:line="360" w:lineRule="auto"/>
        <w:ind w:left="0" w:leftChars="0" w:firstLine="0" w:firstLineChars="0"/>
        <w:rPr>
          <w:rFonts w:hint="eastAsia" w:asciiTheme="minorEastAsia" w:hAnsiTheme="minorEastAsia" w:eastAsiaTheme="minorEastAsia" w:cstheme="minor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运维要求：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（1）要求供应商按现场设备状态、线路情况提供或更新自动化系统设备资产一览表（含后续新增系统及设备）、线路布置图、网络拓扑图等。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（2）巡查巡检。</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（3）开机运行维护。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（4）网络安全维护。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（5）数据处理维护</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（6）等保测评：配合做好网络安全等级保护测评工作，对专业测评机构提出的安全漏洞和风险及时整改，配置网络安全策略，修复漏洞。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（7）资源共享：根据采购方要求，配合完成上级部门或管理处其他项目要求的数据共享、监控共享等工作。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（8）档案资料整理。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瓜洲泵站机组运行状态监测系统</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瓜洲泵站机组设备故障问题主要反映在机组轴系及轴系各个部件的运行状态上，机组运行状态监测系统对泵站机组轴系进行振动和摆度数据的采集及分析，有效掌握机组现阶段运行的状态，确保机组长期安全、可靠的运行。</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泵站机组在线监测系统包含的主要设备如下：</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5164"/>
        <w:gridCol w:w="125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3030"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737"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737"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9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030" w:type="pct"/>
            <w:vAlign w:val="center"/>
          </w:tcPr>
          <w:p>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lang w:val="en-US" w:eastAsia="zh-CN"/>
              </w:rPr>
              <w:t>振摆传感器</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102</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9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3030" w:type="pct"/>
            <w:vAlign w:val="center"/>
          </w:tcPr>
          <w:p>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设备机柜</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3030" w:type="pct"/>
            <w:vAlign w:val="center"/>
          </w:tcPr>
          <w:p>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服务器</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030" w:type="pct"/>
            <w:vAlign w:val="center"/>
          </w:tcPr>
          <w:p>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浏览站</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3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3030" w:type="pct"/>
            <w:vAlign w:val="center"/>
          </w:tcPr>
          <w:p>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采集分析软件</w:t>
            </w:r>
          </w:p>
        </w:tc>
        <w:tc>
          <w:tcPr>
            <w:tcW w:w="737"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37" w:type="pct"/>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运维要求：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要求供应商每年按现场设备状态、线路情况提供或更新系统设备资产一览表（含后续新增系统及设备）、网络拓扑图等。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巡查巡检，提供基础运维方案。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数据备份维护。</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网络安全维护。</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等保测评：配合做好网络安全等级保护测评工作，对测评机构提出的安全漏洞和风险及时整改，配置网络安全策略，及时修复漏洞。</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档案资料整理。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Chars="0"/>
        <w:textAlignment w:val="auto"/>
        <w:outlineLvl w:val="2"/>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管理用房视频会商系统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视频会商系统用于参与上级部门召开的视频会议。</w:t>
      </w:r>
    </w:p>
    <w:tbl>
      <w:tblPr>
        <w:tblStyle w:val="28"/>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4969"/>
        <w:gridCol w:w="137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2980"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调音台</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音频处理器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图示均衡器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反馈抑制器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音响</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功放</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视频处理器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编解码处理器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电源时序器</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嵌入式会议主机</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嵌入式会议系统单元</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17</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LED显示大屏</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高清会议终端</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高清会议摄像机</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监视用电视墙</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16</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UPS电源主机</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17</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设备机柜</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多媒体触摸一体机</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19</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网络交换机</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20</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会议系统管理软件</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21</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大屏展示支撑系统</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22</w:t>
            </w:r>
          </w:p>
        </w:tc>
        <w:tc>
          <w:tcPr>
            <w:tcW w:w="2980" w:type="pct"/>
          </w:tcPr>
          <w:p>
            <w:pPr>
              <w:numPr>
                <w:ilvl w:val="0"/>
                <w:numId w:val="0"/>
              </w:numPr>
              <w:spacing w:line="360"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其他配套设施</w:t>
            </w:r>
          </w:p>
        </w:tc>
        <w:tc>
          <w:tcPr>
            <w:tcW w:w="824"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41" w:type="pct"/>
            <w:vAlign w:val="top"/>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运维要求：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要求供应商每年按现场设备状态、线路情况提供或更新系统设备资产一览表。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巡查巡检。</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highlight w:val="none"/>
          <w:lang w:val="en-US" w:eastAsia="zh-CN"/>
        </w:rPr>
        <w:t>（3）定期调试。</w:t>
      </w:r>
    </w:p>
    <w:p>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水文设施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highlight w:val="none"/>
          <w:lang w:val="en-US" w:eastAsia="zh-CN"/>
        </w:rPr>
        <w:t>在上下游布设水位计和水质监测仪，获取水位、水质数据，辅助防汛排涝和清水活水调度决策。</w:t>
      </w:r>
    </w:p>
    <w:tbl>
      <w:tblPr>
        <w:tblStyle w:val="2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4001"/>
        <w:gridCol w:w="202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2346"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1187"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86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346"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水位计</w:t>
            </w:r>
          </w:p>
        </w:tc>
        <w:tc>
          <w:tcPr>
            <w:tcW w:w="118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86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346"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水质监测仪</w:t>
            </w:r>
          </w:p>
        </w:tc>
        <w:tc>
          <w:tcPr>
            <w:tcW w:w="118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86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346"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翻斗式雨量计</w:t>
            </w:r>
          </w:p>
        </w:tc>
        <w:tc>
          <w:tcPr>
            <w:tcW w:w="118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86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运维要求：</w:t>
      </w:r>
    </w:p>
    <w:p>
      <w:pPr>
        <w:pStyle w:val="10"/>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kern w:val="2"/>
          <w:sz w:val="24"/>
          <w:szCs w:val="24"/>
          <w:highlight w:val="none"/>
          <w:vertAlign w:val="baseline"/>
          <w:lang w:val="en-US" w:eastAsia="zh-CN" w:bidi="ar-SA"/>
        </w:rPr>
        <w:t>日常巡查。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highlight w:val="none"/>
          <w:vertAlign w:val="baseline"/>
          <w:lang w:val="en-US" w:eastAsia="zh-CN"/>
        </w:rPr>
        <w:t>水位计</w:t>
      </w:r>
      <w:r>
        <w:rPr>
          <w:rFonts w:hint="eastAsia" w:asciiTheme="minorEastAsia" w:hAnsiTheme="minorEastAsia" w:eastAsiaTheme="minorEastAsia" w:cstheme="minorEastAsia"/>
          <w:sz w:val="24"/>
          <w:szCs w:val="24"/>
          <w:highlight w:val="none"/>
          <w:lang w:val="en-US" w:eastAsia="zh-CN"/>
        </w:rPr>
        <w:t>定期清洗、</w:t>
      </w:r>
      <w:r>
        <w:rPr>
          <w:rFonts w:hint="eastAsia" w:asciiTheme="minorEastAsia" w:hAnsiTheme="minorEastAsia" w:eastAsiaTheme="minorEastAsia" w:cstheme="minorEastAsia"/>
          <w:sz w:val="24"/>
          <w:szCs w:val="24"/>
          <w:highlight w:val="none"/>
        </w:rPr>
        <w:t>校准。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Chars="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计算机终端及外设产品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管理处配备了</w:t>
      </w:r>
      <w:r>
        <w:rPr>
          <w:rFonts w:hint="eastAsia" w:asciiTheme="minorEastAsia" w:hAnsiTheme="minorEastAsia" w:eastAsiaTheme="minorEastAsia" w:cstheme="minorEastAsia"/>
          <w:sz w:val="24"/>
          <w:szCs w:val="24"/>
          <w:highlight w:val="none"/>
        </w:rPr>
        <w:t>办公</w:t>
      </w:r>
      <w:r>
        <w:rPr>
          <w:rFonts w:hint="eastAsia" w:asciiTheme="minorEastAsia" w:hAnsiTheme="minorEastAsia" w:eastAsiaTheme="minorEastAsia" w:cstheme="minorEastAsia"/>
          <w:sz w:val="24"/>
          <w:szCs w:val="24"/>
          <w:highlight w:val="none"/>
          <w:lang w:val="en-US" w:eastAsia="zh-CN"/>
        </w:rPr>
        <w:t>台式机、笔记本、打印机、电话等设备</w:t>
      </w:r>
      <w:r>
        <w:rPr>
          <w:rFonts w:hint="eastAsia" w:asciiTheme="minorEastAsia" w:hAnsiTheme="minorEastAsia" w:eastAsiaTheme="minorEastAsia" w:cstheme="minorEastAsia"/>
          <w:sz w:val="24"/>
          <w:szCs w:val="24"/>
          <w:highlight w:val="none"/>
        </w:rPr>
        <w:t>用于</w:t>
      </w:r>
      <w:r>
        <w:rPr>
          <w:rFonts w:hint="eastAsia" w:asciiTheme="minorEastAsia" w:hAnsiTheme="minorEastAsia" w:eastAsiaTheme="minorEastAsia" w:cstheme="minorEastAsia"/>
          <w:sz w:val="24"/>
          <w:szCs w:val="24"/>
          <w:highlight w:val="none"/>
          <w:lang w:val="en-US" w:eastAsia="zh-CN"/>
        </w:rPr>
        <w:t>职工日常办公使用。具体清单如下：</w:t>
      </w:r>
    </w:p>
    <w:tbl>
      <w:tblPr>
        <w:tblStyle w:val="28"/>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4688"/>
        <w:gridCol w:w="16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274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99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644"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745"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台式机</w:t>
            </w:r>
          </w:p>
        </w:tc>
        <w:tc>
          <w:tcPr>
            <w:tcW w:w="99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39</w:t>
            </w:r>
          </w:p>
        </w:tc>
        <w:tc>
          <w:tcPr>
            <w:tcW w:w="64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745"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笔记本电脑</w:t>
            </w:r>
          </w:p>
        </w:tc>
        <w:tc>
          <w:tcPr>
            <w:tcW w:w="99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64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745"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打印机</w:t>
            </w:r>
          </w:p>
        </w:tc>
        <w:tc>
          <w:tcPr>
            <w:tcW w:w="99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644"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台</w:t>
            </w:r>
          </w:p>
        </w:tc>
      </w:tr>
    </w:tbl>
    <w:p>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运维要求：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供应商需对采购方的计算机终端、外设产品等设备进行摸底检查，排除安全隐患，并根据实际情况对网络进行优化调整。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对计算机终端和外设产品登记造册，规划计算机终端及外设产品的IP地址，形成文档留存。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病毒防护维护。</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及时响应计算机终端和外设产品故障。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600" w:firstLineChars="25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培训采购方工作人员良好使用电脑、文明上网的习惯，对重要资料及时备份，加强风险防范意识。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firstLineChars="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网络通信及网络安全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管理处网络包括办公网、无线网、专网等，网络设备包括交换机、防毒墙、IPS、EDR等。</w:t>
      </w:r>
    </w:p>
    <w:tbl>
      <w:tblPr>
        <w:tblStyle w:val="28"/>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4877"/>
        <w:gridCol w:w="152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2907"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设备名称</w:t>
            </w:r>
          </w:p>
        </w:tc>
        <w:tc>
          <w:tcPr>
            <w:tcW w:w="909"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数量</w:t>
            </w:r>
          </w:p>
        </w:tc>
        <w:tc>
          <w:tcPr>
            <w:tcW w:w="707" w:type="pct"/>
          </w:tcPr>
          <w:p>
            <w:pPr>
              <w:numPr>
                <w:ilvl w:val="0"/>
                <w:numId w:val="0"/>
              </w:numPr>
              <w:spacing w:line="360" w:lineRule="auto"/>
              <w:jc w:val="center"/>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交换机</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防毒墙</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IPS</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EDR</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堡垒机</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907" w:type="pct"/>
            <w:vAlign w:val="center"/>
          </w:tcPr>
          <w:p>
            <w:pPr>
              <w:numPr>
                <w:ilvl w:val="0"/>
                <w:numId w:val="0"/>
              </w:num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日志审计</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2907" w:type="pct"/>
            <w:vAlign w:val="center"/>
          </w:tcPr>
          <w:p>
            <w:pPr>
              <w:spacing w:line="360" w:lineRule="auto"/>
              <w:jc w:val="both"/>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机柜</w:t>
            </w:r>
          </w:p>
        </w:tc>
        <w:tc>
          <w:tcPr>
            <w:tcW w:w="909"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707" w:type="pct"/>
            <w:vAlign w:val="center"/>
          </w:tcPr>
          <w:p>
            <w:pPr>
              <w:numPr>
                <w:ilvl w:val="0"/>
                <w:numId w:val="0"/>
              </w:numPr>
              <w:spacing w:line="36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个</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运维要求：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供应商需对网络系统进行摸底，建立维护档案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提供并及时更新网络拓扑图，IP地址分配清单、机房机柜布置图等</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szCs w:val="24"/>
          <w:highlight w:val="none"/>
        </w:rPr>
        <w:t>定期对机房进行巡检，做好机房出入管理，</w:t>
      </w:r>
      <w:r>
        <w:rPr>
          <w:rFonts w:hint="eastAsia" w:asciiTheme="minorEastAsia" w:hAnsiTheme="minorEastAsia" w:eastAsiaTheme="minorEastAsia" w:cstheme="minorEastAsia"/>
          <w:sz w:val="24"/>
          <w:szCs w:val="24"/>
          <w:highlight w:val="none"/>
          <w:lang w:val="en-US" w:eastAsia="zh-CN"/>
        </w:rPr>
        <w:t>外来</w:t>
      </w:r>
      <w:r>
        <w:rPr>
          <w:rFonts w:hint="eastAsia" w:asciiTheme="minorEastAsia" w:hAnsiTheme="minorEastAsia" w:eastAsiaTheme="minorEastAsia" w:cstheme="minorEastAsia"/>
          <w:sz w:val="24"/>
          <w:szCs w:val="24"/>
          <w:highlight w:val="none"/>
        </w:rPr>
        <w:t>人员进岀</w:t>
      </w:r>
      <w:r>
        <w:rPr>
          <w:rFonts w:hint="eastAsia" w:asciiTheme="minorEastAsia" w:hAnsiTheme="minorEastAsia" w:eastAsiaTheme="minorEastAsia" w:cstheme="minorEastAsia"/>
          <w:sz w:val="24"/>
          <w:szCs w:val="24"/>
          <w:highlight w:val="none"/>
          <w:lang w:val="en-US" w:eastAsia="zh-CN"/>
        </w:rPr>
        <w:t>时</w:t>
      </w:r>
      <w:r>
        <w:rPr>
          <w:rFonts w:hint="eastAsia" w:asciiTheme="minorEastAsia" w:hAnsiTheme="minorEastAsia" w:eastAsiaTheme="minorEastAsia" w:cstheme="minorEastAsia"/>
          <w:sz w:val="24"/>
          <w:szCs w:val="24"/>
          <w:highlight w:val="none"/>
        </w:rPr>
        <w:t>应审批并登记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供应商需安排人员全程陪同</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sz w:val="24"/>
          <w:szCs w:val="24"/>
          <w:highlight w:val="none"/>
          <w:lang w:val="en-US" w:eastAsia="zh-CN"/>
        </w:rPr>
        <w:t>管理处所有</w:t>
      </w:r>
      <w:r>
        <w:rPr>
          <w:rFonts w:hint="eastAsia" w:asciiTheme="minorEastAsia" w:hAnsiTheme="minorEastAsia" w:eastAsiaTheme="minorEastAsia" w:cstheme="minorEastAsia"/>
          <w:sz w:val="24"/>
          <w:szCs w:val="24"/>
          <w:highlight w:val="none"/>
        </w:rPr>
        <w:t>的网络系统</w:t>
      </w:r>
      <w:r>
        <w:rPr>
          <w:rFonts w:hint="eastAsia" w:asciiTheme="minorEastAsia" w:hAnsiTheme="minorEastAsia" w:eastAsiaTheme="minorEastAsia" w:cstheme="minorEastAsia"/>
          <w:sz w:val="24"/>
          <w:szCs w:val="24"/>
          <w:highlight w:val="none"/>
          <w:lang w:val="en-US" w:eastAsia="zh-CN"/>
        </w:rPr>
        <w:t>进行</w:t>
      </w:r>
      <w:r>
        <w:rPr>
          <w:rFonts w:hint="eastAsia" w:asciiTheme="minorEastAsia" w:hAnsiTheme="minorEastAsia" w:eastAsiaTheme="minorEastAsia" w:cstheme="minorEastAsia"/>
          <w:sz w:val="24"/>
          <w:szCs w:val="24"/>
          <w:highlight w:val="none"/>
        </w:rPr>
        <w:t>定期检测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巡查、维护。</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sz w:val="24"/>
          <w:szCs w:val="24"/>
          <w:highlight w:val="none"/>
          <w:lang w:val="en-US" w:eastAsia="zh-CN"/>
        </w:rPr>
        <w:t>网络安全设备</w:t>
      </w:r>
      <w:r>
        <w:rPr>
          <w:rFonts w:hint="eastAsia" w:asciiTheme="minorEastAsia" w:hAnsiTheme="minorEastAsia" w:eastAsiaTheme="minorEastAsia" w:cstheme="minorEastAsia"/>
          <w:sz w:val="24"/>
          <w:szCs w:val="24"/>
          <w:highlight w:val="none"/>
        </w:rPr>
        <w:t>配置信息</w:t>
      </w:r>
      <w:r>
        <w:rPr>
          <w:rFonts w:hint="eastAsia" w:asciiTheme="minorEastAsia" w:hAnsiTheme="minorEastAsia" w:eastAsiaTheme="minorEastAsia" w:cstheme="minorEastAsia"/>
          <w:sz w:val="24"/>
          <w:szCs w:val="24"/>
          <w:highlight w:val="none"/>
          <w:lang w:val="en-US" w:eastAsia="zh-CN"/>
        </w:rPr>
        <w:t>进行</w:t>
      </w:r>
      <w:r>
        <w:rPr>
          <w:rFonts w:hint="eastAsia" w:asciiTheme="minorEastAsia" w:hAnsiTheme="minorEastAsia" w:eastAsiaTheme="minorEastAsia" w:cstheme="minorEastAsia"/>
          <w:sz w:val="24"/>
          <w:szCs w:val="24"/>
          <w:highlight w:val="none"/>
        </w:rPr>
        <w:t>定期备份。</w:t>
      </w:r>
      <w:r>
        <w:rPr>
          <w:rFonts w:hint="eastAsia" w:asciiTheme="minorEastAsia" w:hAnsiTheme="minorEastAsia" w:eastAsiaTheme="minorEastAsia" w:cstheme="minorEastAsia"/>
          <w:sz w:val="24"/>
          <w:szCs w:val="24"/>
          <w:highlight w:val="none"/>
          <w:lang w:val="en-US" w:eastAsia="zh-CN"/>
        </w:rPr>
        <w:t>若发生网络安全事件，供应商应当立即响应处理，恢复网络。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必须按机房标准对计算机网络系统的排线进行清查、整理、线标。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对机房的接地、防静电、防雷、空调、电源及空间布置规划等提出合理化建议。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如采购人提出，供应商需不定期书面提交</w:t>
      </w:r>
      <w:r>
        <w:rPr>
          <w:rFonts w:hint="eastAsia" w:asciiTheme="minorEastAsia" w:hAnsiTheme="minorEastAsia" w:eastAsiaTheme="minorEastAsia" w:cstheme="minorEastAsia"/>
          <w:sz w:val="24"/>
          <w:szCs w:val="24"/>
          <w:highlight w:val="none"/>
          <w:lang w:val="en-US" w:eastAsia="zh-CN"/>
        </w:rPr>
        <w:t>网络</w:t>
      </w:r>
      <w:r>
        <w:rPr>
          <w:rFonts w:hint="eastAsia" w:asciiTheme="minorEastAsia" w:hAnsiTheme="minorEastAsia" w:eastAsiaTheme="minorEastAsia" w:cstheme="minorEastAsia"/>
          <w:sz w:val="24"/>
          <w:szCs w:val="24"/>
          <w:highlight w:val="none"/>
        </w:rPr>
        <w:t>健康状况，并提供合理化建议。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在采购人监督下，接受</w:t>
      </w:r>
      <w:r>
        <w:rPr>
          <w:rFonts w:hint="eastAsia" w:asciiTheme="minorEastAsia" w:hAnsiTheme="minorEastAsia" w:eastAsiaTheme="minorEastAsia" w:cstheme="minorEastAsia"/>
          <w:sz w:val="24"/>
          <w:szCs w:val="24"/>
          <w:highlight w:val="none"/>
          <w:lang w:val="en-US" w:eastAsia="zh-CN"/>
        </w:rPr>
        <w:t>管理处或</w:t>
      </w:r>
      <w:r>
        <w:rPr>
          <w:rFonts w:hint="eastAsia" w:asciiTheme="minorEastAsia" w:hAnsiTheme="minorEastAsia" w:eastAsiaTheme="minorEastAsia" w:cstheme="minorEastAsia"/>
          <w:sz w:val="24"/>
          <w:szCs w:val="24"/>
          <w:highlight w:val="none"/>
        </w:rPr>
        <w:t>上级管理部门的指令或要求，配合</w:t>
      </w:r>
      <w:r>
        <w:rPr>
          <w:rFonts w:hint="eastAsia" w:asciiTheme="minorEastAsia" w:hAnsiTheme="minorEastAsia" w:eastAsiaTheme="minorEastAsia" w:cstheme="minorEastAsia"/>
          <w:sz w:val="24"/>
          <w:szCs w:val="24"/>
          <w:highlight w:val="none"/>
          <w:lang w:val="en-US" w:eastAsia="zh-CN"/>
        </w:rPr>
        <w:t>完成相关</w:t>
      </w:r>
      <w:r>
        <w:rPr>
          <w:rFonts w:hint="eastAsia" w:asciiTheme="minorEastAsia" w:hAnsiTheme="minorEastAsia" w:eastAsiaTheme="minorEastAsia" w:cstheme="minorEastAsia"/>
          <w:sz w:val="24"/>
          <w:szCs w:val="24"/>
          <w:highlight w:val="none"/>
        </w:rPr>
        <w:t>工作。如：</w:t>
      </w:r>
      <w:r>
        <w:rPr>
          <w:rFonts w:hint="eastAsia" w:asciiTheme="minorEastAsia" w:hAnsiTheme="minorEastAsia" w:eastAsiaTheme="minorEastAsia" w:cstheme="minorEastAsia"/>
          <w:sz w:val="24"/>
          <w:szCs w:val="24"/>
          <w:highlight w:val="none"/>
          <w:lang w:val="en-US" w:eastAsia="zh-CN"/>
        </w:rPr>
        <w:t>在攻防演练期间做好网络保障、各类网络安全检查、问题整改等</w:t>
      </w:r>
      <w:r>
        <w:rPr>
          <w:rFonts w:hint="eastAsia" w:asciiTheme="minorEastAsia" w:hAnsiTheme="minorEastAsia" w:eastAsiaTheme="minorEastAsia" w:cstheme="minorEastAsia"/>
          <w:sz w:val="24"/>
          <w:szCs w:val="24"/>
          <w:highlight w:val="none"/>
        </w:rPr>
        <w:t>。</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文档资料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对日常巡查、定期检查、维修养护等工作形成纸质资料及电子资料。</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配合完成各类达标创建工作，提供达标创建需要的各类自动化、信息化资料。</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协助完成网络安全等级定级备案或测评工作，提供相关资料。</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配合制定、修订信息化应急预案，配合参与预案演练、网络安全应急演练等。</w:t>
      </w:r>
    </w:p>
    <w:p>
      <w:pPr>
        <w:pStyle w:val="10"/>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供应商每季度结束后应将前一季度的信息化运维资料档案进行整理、装订，交由管理单位相应的负责人进行审查。</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其他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sz w:val="24"/>
          <w:szCs w:val="24"/>
          <w:highlight w:val="none"/>
          <w:lang w:val="en-US" w:eastAsia="zh-CN"/>
        </w:rPr>
        <w:t>对</w:t>
      </w:r>
      <w:r>
        <w:rPr>
          <w:rFonts w:hint="eastAsia" w:asciiTheme="minorEastAsia" w:hAnsiTheme="minorEastAsia" w:eastAsiaTheme="minorEastAsia" w:cstheme="minorEastAsia"/>
          <w:sz w:val="24"/>
          <w:szCs w:val="24"/>
          <w:highlight w:val="none"/>
        </w:rPr>
        <w:t>服务期内新增</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视频监控设施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办公计算机终端及外设产品、网络线路也纳入运维范围，供应商需提供运维服务。</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保障要求：</w:t>
      </w:r>
    </w:p>
    <w:p>
      <w:pPr>
        <w:numPr>
          <w:ilvl w:val="0"/>
          <w:numId w:val="13"/>
        </w:numPr>
        <w:spacing w:line="360" w:lineRule="auto"/>
        <w:outlineLvl w:val="2"/>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服务与响应</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）建立</w:t>
      </w:r>
      <w:r>
        <w:rPr>
          <w:rFonts w:hint="eastAsia" w:asciiTheme="minorEastAsia" w:hAnsiTheme="minorEastAsia" w:eastAsiaTheme="minorEastAsia" w:cstheme="minorEastAsia"/>
          <w:sz w:val="24"/>
          <w:szCs w:val="24"/>
          <w:highlight w:val="none"/>
          <w:lang w:val="en-US" w:eastAsia="zh-CN"/>
        </w:rPr>
        <w:t>健全运维</w:t>
      </w:r>
      <w:r>
        <w:rPr>
          <w:rFonts w:hint="eastAsia" w:asciiTheme="minorEastAsia" w:hAnsiTheme="minorEastAsia" w:eastAsiaTheme="minorEastAsia" w:cstheme="minorEastAsia"/>
          <w:sz w:val="24"/>
          <w:szCs w:val="24"/>
          <w:highlight w:val="none"/>
          <w:lang w:eastAsia="zh-CN"/>
        </w:rPr>
        <w:t>服务保障机制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服务包括：电话支持、驻地维护、季度巡检、技术培训、紧急维护、宕机恢复、</w:t>
      </w:r>
      <w:r>
        <w:rPr>
          <w:rFonts w:hint="eastAsia" w:asciiTheme="minorEastAsia" w:hAnsiTheme="minorEastAsia" w:eastAsiaTheme="minorEastAsia" w:cstheme="minorEastAsia"/>
          <w:sz w:val="24"/>
          <w:szCs w:val="24"/>
          <w:highlight w:val="none"/>
          <w:lang w:val="en-US" w:eastAsia="zh-CN"/>
        </w:rPr>
        <w:t>网络安全事件处理等</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保障机制包括：</w:t>
      </w:r>
      <w:r>
        <w:rPr>
          <w:rFonts w:hint="eastAsia" w:asciiTheme="minorEastAsia" w:hAnsiTheme="minorEastAsia" w:eastAsiaTheme="minorEastAsia" w:cstheme="minorEastAsia"/>
          <w:sz w:val="24"/>
          <w:szCs w:val="24"/>
          <w:highlight w:val="none"/>
          <w:lang w:val="en-US" w:eastAsia="zh-CN"/>
        </w:rPr>
        <w:t>建立运维保障方案、</w:t>
      </w:r>
      <w:r>
        <w:rPr>
          <w:rFonts w:hint="eastAsia" w:asciiTheme="minorEastAsia" w:hAnsiTheme="minorEastAsia" w:eastAsiaTheme="minorEastAsia" w:cstheme="minorEastAsia"/>
          <w:sz w:val="24"/>
          <w:szCs w:val="24"/>
          <w:highlight w:val="none"/>
          <w:lang w:eastAsia="zh-CN"/>
        </w:rPr>
        <w:t>设备维修及更换流程、服务保证及维护标准、安全管理措施等。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响应要求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highlight w:val="none"/>
          <w:lang w:eastAsia="zh-CN"/>
        </w:rPr>
        <w:t>汛期</w:t>
      </w:r>
      <w:r>
        <w:rPr>
          <w:rFonts w:hint="eastAsia" w:asciiTheme="minorEastAsia" w:hAnsiTheme="minorEastAsia" w:eastAsiaTheme="minorEastAsia" w:cstheme="minorEastAsia"/>
          <w:sz w:val="24"/>
          <w:szCs w:val="24"/>
          <w:highlight w:val="none"/>
          <w:lang w:val="en-US" w:eastAsia="zh-CN"/>
        </w:rPr>
        <w:t>技术驻地人员电话24小时保持畅通</w:t>
      </w:r>
      <w:r>
        <w:rPr>
          <w:rFonts w:hint="eastAsia" w:asciiTheme="minorEastAsia" w:hAnsiTheme="minorEastAsia" w:eastAsiaTheme="minorEastAsia" w:cstheme="minorEastAsia"/>
          <w:sz w:val="24"/>
          <w:szCs w:val="24"/>
          <w:highlight w:val="none"/>
          <w:lang w:val="zh-CN" w:eastAsia="zh-CN"/>
        </w:rPr>
        <w:t>，做好水文数据推送、存储工作，确保水位测得到、测得准、报得出，不得漏报、迟报、误报，保证数据真实性；</w:t>
      </w:r>
      <w:r>
        <w:rPr>
          <w:rFonts w:hint="eastAsia" w:asciiTheme="minorEastAsia" w:hAnsiTheme="minorEastAsia" w:eastAsiaTheme="minorEastAsia" w:cstheme="minorEastAsia"/>
          <w:sz w:val="24"/>
          <w:szCs w:val="24"/>
          <w:highlight w:val="none"/>
          <w:lang w:val="en-US" w:eastAsia="zh-CN"/>
        </w:rPr>
        <w:t>做好自动化系统正常运行保障工作，确保泵站机组正常运行</w:t>
      </w:r>
      <w:r>
        <w:rPr>
          <w:rFonts w:hint="eastAsia" w:asciiTheme="minorEastAsia" w:hAnsiTheme="minorEastAsia" w:eastAsiaTheme="minorEastAsia" w:cstheme="minorEastAsia"/>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非汛期至少1人驻地，2小时内响应到现场，4小时内提供解决方案，硬件故障</w:t>
      </w:r>
      <w:r>
        <w:rPr>
          <w:rFonts w:hint="eastAsia" w:asciiTheme="minorEastAsia" w:hAnsiTheme="minorEastAsia" w:eastAsiaTheme="minorEastAsia" w:cstheme="minorEastAsia"/>
          <w:sz w:val="24"/>
          <w:szCs w:val="24"/>
          <w:highlight w:val="none"/>
          <w:lang w:val="en-US" w:eastAsia="zh-CN"/>
        </w:rPr>
        <w:t>在2天</w:t>
      </w:r>
      <w:r>
        <w:rPr>
          <w:rFonts w:hint="eastAsia" w:asciiTheme="minorEastAsia" w:hAnsiTheme="minorEastAsia" w:eastAsiaTheme="minorEastAsia" w:cstheme="minorEastAsia"/>
          <w:sz w:val="24"/>
          <w:szCs w:val="24"/>
          <w:highlight w:val="none"/>
          <w:lang w:eastAsia="zh-CN"/>
        </w:rPr>
        <w:t>内解决问题，如遇软件或线路故障，要在</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lang w:eastAsia="zh-CN"/>
        </w:rPr>
        <w:t>小时内提出方案，并在</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天内解决。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汛期Ⅳ</w:t>
      </w:r>
      <w:r>
        <w:rPr>
          <w:rFonts w:hint="eastAsia" w:asciiTheme="minorEastAsia" w:hAnsiTheme="minorEastAsia" w:eastAsiaTheme="minorEastAsia" w:cstheme="minorEastAsia"/>
          <w:sz w:val="24"/>
          <w:szCs w:val="24"/>
          <w:highlight w:val="none"/>
          <w:lang w:val="en-US" w:eastAsia="zh-CN"/>
        </w:rPr>
        <w:t>级应急响应和Ⅲ</w:t>
      </w:r>
      <w:r>
        <w:rPr>
          <w:rFonts w:hint="eastAsia" w:asciiTheme="minorEastAsia" w:hAnsiTheme="minorEastAsia" w:eastAsiaTheme="minorEastAsia" w:cstheme="minorEastAsia"/>
          <w:sz w:val="24"/>
          <w:szCs w:val="24"/>
          <w:highlight w:val="none"/>
          <w:lang w:eastAsia="zh-CN"/>
        </w:rPr>
        <w:t>级</w:t>
      </w:r>
      <w:r>
        <w:rPr>
          <w:rFonts w:hint="eastAsia" w:asciiTheme="minorEastAsia" w:hAnsiTheme="minorEastAsia" w:eastAsiaTheme="minorEastAsia" w:cstheme="minorEastAsia"/>
          <w:sz w:val="24"/>
          <w:szCs w:val="24"/>
          <w:highlight w:val="none"/>
          <w:lang w:val="en-US" w:eastAsia="zh-CN"/>
        </w:rPr>
        <w:t>应急</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至少1人驻地，1小时响应到场并在2小时内提供解决方案，硬件故障要在</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lang w:eastAsia="zh-CN"/>
        </w:rPr>
        <w:t>小时内解决，如遇软件或线路故障，要在</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lang w:eastAsia="zh-CN"/>
        </w:rPr>
        <w:t>小时内提出方案，并在</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天内解决。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汛期Ⅱ</w:t>
      </w:r>
      <w:r>
        <w:rPr>
          <w:rFonts w:hint="eastAsia" w:asciiTheme="minorEastAsia" w:hAnsiTheme="minorEastAsia" w:eastAsiaTheme="minorEastAsia" w:cstheme="minorEastAsia"/>
          <w:sz w:val="24"/>
          <w:szCs w:val="24"/>
          <w:highlight w:val="none"/>
          <w:lang w:eastAsia="zh-CN"/>
        </w:rPr>
        <w:t>级</w:t>
      </w:r>
      <w:r>
        <w:rPr>
          <w:rFonts w:hint="eastAsia" w:asciiTheme="minorEastAsia" w:hAnsiTheme="minorEastAsia" w:eastAsiaTheme="minorEastAsia" w:cstheme="minorEastAsia"/>
          <w:sz w:val="24"/>
          <w:szCs w:val="24"/>
          <w:highlight w:val="none"/>
          <w:lang w:val="en-US" w:eastAsia="zh-CN"/>
        </w:rPr>
        <w:t>及以上应急</w:t>
      </w:r>
      <w:r>
        <w:rPr>
          <w:rFonts w:hint="eastAsia" w:asciiTheme="minorEastAsia" w:hAnsiTheme="minorEastAsia" w:eastAsiaTheme="minorEastAsia" w:cstheme="minorEastAsia"/>
          <w:sz w:val="24"/>
          <w:szCs w:val="24"/>
          <w:highlight w:val="none"/>
          <w:lang w:eastAsia="zh-CN"/>
        </w:rPr>
        <w:t>响应，至少</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人驻</w:t>
      </w:r>
      <w:r>
        <w:rPr>
          <w:rFonts w:hint="eastAsia" w:asciiTheme="minorEastAsia" w:hAnsiTheme="minorEastAsia" w:eastAsiaTheme="minorEastAsia" w:cstheme="minorEastAsia"/>
          <w:sz w:val="24"/>
          <w:szCs w:val="24"/>
          <w:highlight w:val="none"/>
          <w:lang w:val="en-US" w:eastAsia="zh-CN"/>
        </w:rPr>
        <w:t>场</w:t>
      </w:r>
      <w:r>
        <w:rPr>
          <w:rFonts w:hint="eastAsia" w:asciiTheme="minorEastAsia" w:hAnsiTheme="minorEastAsia" w:eastAsiaTheme="minorEastAsia" w:cstheme="minorEastAsia"/>
          <w:sz w:val="24"/>
          <w:szCs w:val="24"/>
          <w:highlight w:val="none"/>
          <w:lang w:eastAsia="zh-CN"/>
        </w:rPr>
        <w:t>，硬件故障要在</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小时内解决，如遇软件或线路故障，要在</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小时内提出方案，并在</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天内解决。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人员保障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供应商需成立技术保障小组，技术人员不少于</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val="en-US" w:eastAsia="zh-CN"/>
        </w:rPr>
        <w:t>安排人员驻场保障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及时解决维护范围内的相关问题，工作时间与管理单位工作时间一致，</w:t>
      </w:r>
      <w:r>
        <w:rPr>
          <w:rFonts w:hint="eastAsia" w:asciiTheme="minorEastAsia" w:hAnsiTheme="minorEastAsia" w:eastAsiaTheme="minorEastAsia" w:cstheme="minorEastAsia"/>
          <w:sz w:val="24"/>
          <w:szCs w:val="24"/>
          <w:highlight w:val="none"/>
          <w:lang w:val="en-US" w:eastAsia="zh-CN"/>
        </w:rPr>
        <w:t>汛期启动应急响应后按要求实行24小时值班制度，</w:t>
      </w:r>
      <w:r>
        <w:rPr>
          <w:rFonts w:hint="eastAsia" w:asciiTheme="minorEastAsia" w:hAnsiTheme="minorEastAsia" w:eastAsiaTheme="minorEastAsia" w:cstheme="minorEastAsia"/>
          <w:sz w:val="24"/>
          <w:szCs w:val="24"/>
          <w:highlight w:val="none"/>
        </w:rPr>
        <w:t>驻点人员需具备</w:t>
      </w:r>
      <w:r>
        <w:rPr>
          <w:rFonts w:hint="eastAsia" w:asciiTheme="minorEastAsia" w:hAnsiTheme="minorEastAsia" w:eastAsiaTheme="minorEastAsia" w:cstheme="minorEastAsia"/>
          <w:sz w:val="24"/>
          <w:szCs w:val="24"/>
          <w:highlight w:val="none"/>
          <w:lang w:val="en-US" w:eastAsia="zh-CN"/>
        </w:rPr>
        <w:t>信息化</w:t>
      </w:r>
      <w:r>
        <w:rPr>
          <w:rFonts w:hint="eastAsia" w:asciiTheme="minorEastAsia" w:hAnsiTheme="minorEastAsia" w:eastAsiaTheme="minorEastAsia" w:cstheme="minorEastAsia"/>
          <w:sz w:val="24"/>
          <w:szCs w:val="24"/>
          <w:highlight w:val="none"/>
        </w:rPr>
        <w:t>维护相关专业知识（需提供</w:t>
      </w:r>
      <w:r>
        <w:rPr>
          <w:rFonts w:hint="eastAsia" w:asciiTheme="minorEastAsia" w:hAnsiTheme="minorEastAsia" w:eastAsiaTheme="minorEastAsia" w:cstheme="minorEastAsia"/>
          <w:sz w:val="24"/>
          <w:szCs w:val="24"/>
          <w:highlight w:val="none"/>
          <w:lang w:val="en-US" w:eastAsia="zh-CN"/>
        </w:rPr>
        <w:t>机电</w:t>
      </w:r>
      <w:r>
        <w:rPr>
          <w:rFonts w:hint="eastAsia" w:asciiTheme="minorEastAsia" w:hAnsiTheme="minorEastAsia" w:eastAsiaTheme="minorEastAsia" w:cstheme="minorEastAsia"/>
          <w:sz w:val="24"/>
          <w:szCs w:val="24"/>
          <w:highlight w:val="none"/>
        </w:rPr>
        <w:t>或计算机</w:t>
      </w:r>
      <w:r>
        <w:rPr>
          <w:rFonts w:hint="eastAsia" w:asciiTheme="minorEastAsia" w:hAnsiTheme="minorEastAsia" w:eastAsiaTheme="minorEastAsia" w:cstheme="minorEastAsia"/>
          <w:sz w:val="24"/>
          <w:szCs w:val="24"/>
          <w:highlight w:val="none"/>
          <w:lang w:val="en-US" w:eastAsia="zh-CN"/>
        </w:rPr>
        <w:t>相关</w:t>
      </w:r>
      <w:r>
        <w:rPr>
          <w:rFonts w:hint="eastAsia" w:asciiTheme="minorEastAsia" w:hAnsiTheme="minorEastAsia" w:eastAsiaTheme="minorEastAsia" w:cstheme="minorEastAsia"/>
          <w:sz w:val="24"/>
          <w:szCs w:val="24"/>
          <w:highlight w:val="none"/>
        </w:rPr>
        <w:t>专业的资格证明）。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）供应商应为其拟投入人员全员缴纳社保及意外保险，工作期间出现的由个人操作导致的一切安全责任事故与采购人无关。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）采购人不负责成交人所有工作人员的衣食住行等非合同约定事项，采购人不承担任何法律和经济上的责任。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投标报价应包括所有的费用：人员工资并充分考虑（包括但不限于）在服务期间国家对人员工资的调整因素和自然增长因素、法定的社会养老保险、节假日福利费、加班费、法定税费、管理费等，为完成磋商文件规定的服务工作所涉及到的一切相关费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）成交人在服务期间如果调整人员，需要得到采购人同意。擅自调整人员，采购人有权解除合同。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3、维修更换费用</w:t>
      </w:r>
    </w:p>
    <w:p>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日常运维中的耗材由供应商自行承担；单个设备维修价格在2000元以下的由供应商承担；设备发生故障无法维修需要更换的，若单个设备原值（以原施工合同报价或审计价格为准）在2000元以下的由供应商自行承担，2000元以上的由管理处采购，供应商负责安装调试工作。</w:t>
      </w:r>
    </w:p>
    <w:p>
      <w:pPr>
        <w:pStyle w:val="10"/>
        <w:spacing w:line="360" w:lineRule="auto"/>
        <w:rPr>
          <w:rFonts w:hint="eastAsia" w:asciiTheme="minorEastAsia" w:hAnsiTheme="minorEastAsia" w:eastAsiaTheme="minorEastAsia" w:cstheme="minorEastAsia"/>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三、运行维护考核管理办法：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管理</w:t>
      </w:r>
      <w:r>
        <w:rPr>
          <w:rFonts w:hint="eastAsia" w:asciiTheme="minorEastAsia" w:hAnsiTheme="minorEastAsia" w:eastAsiaTheme="minorEastAsia" w:cstheme="minorEastAsia"/>
          <w:sz w:val="24"/>
          <w:szCs w:val="24"/>
          <w:highlight w:val="none"/>
          <w:lang w:val="zh-CN"/>
        </w:rPr>
        <w:t>处成立考核领导小组，考核领导小组由处领导、</w:t>
      </w:r>
      <w:r>
        <w:rPr>
          <w:rFonts w:hint="eastAsia" w:asciiTheme="minorEastAsia" w:hAnsiTheme="minorEastAsia" w:eastAsiaTheme="minorEastAsia" w:cstheme="minorEastAsia"/>
          <w:sz w:val="24"/>
          <w:szCs w:val="24"/>
          <w:highlight w:val="none"/>
          <w:lang w:val="en-US" w:eastAsia="zh-CN"/>
        </w:rPr>
        <w:t>相关</w:t>
      </w:r>
      <w:r>
        <w:rPr>
          <w:rFonts w:hint="eastAsia" w:asciiTheme="minorEastAsia" w:hAnsiTheme="minorEastAsia" w:eastAsiaTheme="minorEastAsia" w:cstheme="minorEastAsia"/>
          <w:sz w:val="24"/>
          <w:szCs w:val="24"/>
          <w:highlight w:val="none"/>
        </w:rPr>
        <w:t>科室负责人、</w:t>
      </w:r>
      <w:r>
        <w:rPr>
          <w:rFonts w:hint="eastAsia" w:asciiTheme="minorEastAsia" w:hAnsiTheme="minorEastAsia" w:eastAsiaTheme="minorEastAsia" w:cstheme="minorEastAsia"/>
          <w:sz w:val="24"/>
          <w:szCs w:val="24"/>
          <w:highlight w:val="none"/>
          <w:lang w:val="en-US" w:eastAsia="zh-CN"/>
        </w:rPr>
        <w:t>智慧水利科</w:t>
      </w:r>
      <w:r>
        <w:rPr>
          <w:rFonts w:hint="eastAsia" w:asciiTheme="minorEastAsia" w:hAnsiTheme="minorEastAsia" w:eastAsiaTheme="minorEastAsia" w:cstheme="minorEastAsia"/>
          <w:sz w:val="24"/>
          <w:szCs w:val="24"/>
          <w:highlight w:val="none"/>
          <w:lang w:val="zh-CN"/>
        </w:rPr>
        <w:t>工作人员及</w:t>
      </w:r>
      <w:r>
        <w:rPr>
          <w:rFonts w:hint="eastAsia" w:asciiTheme="minorEastAsia" w:hAnsiTheme="minorEastAsia" w:eastAsiaTheme="minorEastAsia" w:cstheme="minorEastAsia"/>
          <w:sz w:val="24"/>
          <w:szCs w:val="24"/>
          <w:highlight w:val="none"/>
        </w:rPr>
        <w:t>财务人员</w:t>
      </w:r>
      <w:r>
        <w:rPr>
          <w:rFonts w:hint="eastAsia" w:asciiTheme="minorEastAsia" w:hAnsiTheme="minorEastAsia" w:eastAsiaTheme="minorEastAsia" w:cstheme="minorEastAsia"/>
          <w:sz w:val="24"/>
          <w:szCs w:val="24"/>
          <w:highlight w:val="none"/>
          <w:lang w:val="zh-CN"/>
        </w:rPr>
        <w:t>组成，采用日常考核和季度相结合的方式进行。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rPr>
        <w:t>）日常考核</w:t>
      </w:r>
      <w:r>
        <w:rPr>
          <w:rFonts w:hint="eastAsia" w:asciiTheme="minorEastAsia" w:hAnsiTheme="minorEastAsia" w:eastAsiaTheme="minorEastAsia" w:cstheme="minorEastAsia"/>
          <w:sz w:val="24"/>
          <w:szCs w:val="24"/>
          <w:highlight w:val="none"/>
        </w:rPr>
        <w:t>主要</w:t>
      </w:r>
      <w:r>
        <w:rPr>
          <w:rFonts w:hint="eastAsia" w:asciiTheme="minorEastAsia" w:hAnsiTheme="minorEastAsia" w:eastAsiaTheme="minorEastAsia" w:cstheme="minorEastAsia"/>
          <w:sz w:val="24"/>
          <w:szCs w:val="24"/>
          <w:highlight w:val="none"/>
          <w:lang w:val="zh-CN"/>
        </w:rPr>
        <w:t>通过</w:t>
      </w:r>
      <w:r>
        <w:rPr>
          <w:rFonts w:hint="eastAsia" w:asciiTheme="minorEastAsia" w:hAnsiTheme="minorEastAsia" w:eastAsiaTheme="minorEastAsia" w:cstheme="minorEastAsia"/>
          <w:sz w:val="24"/>
          <w:szCs w:val="24"/>
          <w:highlight w:val="none"/>
        </w:rPr>
        <w:t>不定期检查设备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系统</w:t>
      </w:r>
      <w:r>
        <w:rPr>
          <w:rFonts w:hint="eastAsia" w:asciiTheme="minorEastAsia" w:hAnsiTheme="minorEastAsia" w:eastAsiaTheme="minorEastAsia" w:cstheme="minorEastAsia"/>
          <w:sz w:val="24"/>
          <w:szCs w:val="24"/>
          <w:highlight w:val="none"/>
        </w:rPr>
        <w:t>管理状况并结合</w:t>
      </w:r>
      <w:r>
        <w:rPr>
          <w:rFonts w:hint="eastAsia" w:asciiTheme="minorEastAsia" w:hAnsiTheme="minorEastAsia" w:eastAsiaTheme="minorEastAsia" w:cstheme="minorEastAsia"/>
          <w:sz w:val="24"/>
          <w:szCs w:val="24"/>
          <w:highlight w:val="none"/>
          <w:lang w:val="zh-CN"/>
        </w:rPr>
        <w:t>运维单位的运维</w:t>
      </w:r>
      <w:r>
        <w:rPr>
          <w:rFonts w:hint="eastAsia" w:asciiTheme="minorEastAsia" w:hAnsiTheme="minorEastAsia" w:eastAsiaTheme="minorEastAsia" w:cstheme="minorEastAsia"/>
          <w:sz w:val="24"/>
          <w:szCs w:val="24"/>
          <w:highlight w:val="none"/>
          <w:lang w:val="en-US" w:eastAsia="zh-CN"/>
        </w:rPr>
        <w:t>及时性、有效性</w:t>
      </w:r>
      <w:r>
        <w:rPr>
          <w:rFonts w:hint="eastAsia" w:asciiTheme="minorEastAsia" w:hAnsiTheme="minorEastAsia" w:eastAsiaTheme="minorEastAsia" w:cstheme="minorEastAsia"/>
          <w:sz w:val="24"/>
          <w:szCs w:val="24"/>
          <w:highlight w:val="none"/>
        </w:rPr>
        <w:t>进行评估</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每月汇总打分（详见评分表</w:t>
      </w:r>
      <w:r>
        <w:rPr>
          <w:rFonts w:hint="eastAsia" w:asciiTheme="minorEastAsia" w:hAnsiTheme="minorEastAsia" w:eastAsiaTheme="minorEastAsia" w:cstheme="minorEastAsia"/>
          <w:sz w:val="24"/>
          <w:szCs w:val="24"/>
          <w:highlight w:val="none"/>
          <w:lang w:val="en-US" w:eastAsia="zh-CN"/>
        </w:rPr>
        <w:t>附件1</w:t>
      </w:r>
      <w:r>
        <w:rPr>
          <w:rFonts w:hint="eastAsia" w:asciiTheme="minorEastAsia" w:hAnsiTheme="minorEastAsia" w:eastAsiaTheme="minorEastAsia" w:cstheme="minorEastAsia"/>
          <w:sz w:val="24"/>
          <w:szCs w:val="24"/>
          <w:highlight w:val="none"/>
        </w:rPr>
        <w:t>），并计入季度考核综合评分。</w:t>
      </w:r>
      <w:r>
        <w:rPr>
          <w:rFonts w:hint="eastAsia" w:asciiTheme="minorEastAsia" w:hAnsiTheme="minorEastAsia" w:eastAsiaTheme="minorEastAsia" w:cstheme="minorEastAsia"/>
          <w:sz w:val="24"/>
          <w:szCs w:val="24"/>
          <w:highlight w:val="none"/>
          <w:lang w:val="zh-CN"/>
        </w:rPr>
        <w:t>季度考核</w:t>
      </w:r>
      <w:r>
        <w:rPr>
          <w:rFonts w:hint="eastAsia" w:asciiTheme="minorEastAsia" w:hAnsiTheme="minorEastAsia" w:eastAsiaTheme="minorEastAsia" w:cstheme="minorEastAsia"/>
          <w:sz w:val="24"/>
          <w:szCs w:val="24"/>
          <w:highlight w:val="none"/>
        </w:rPr>
        <w:t>以</w:t>
      </w:r>
      <w:r>
        <w:rPr>
          <w:rFonts w:hint="eastAsia" w:asciiTheme="minorEastAsia" w:hAnsiTheme="minorEastAsia" w:eastAsiaTheme="minorEastAsia" w:cstheme="minorEastAsia"/>
          <w:sz w:val="24"/>
          <w:szCs w:val="24"/>
          <w:highlight w:val="none"/>
          <w:lang w:val="zh-CN"/>
        </w:rPr>
        <w:t>考核小组</w:t>
      </w:r>
      <w:r>
        <w:rPr>
          <w:rFonts w:hint="eastAsia" w:asciiTheme="minorEastAsia" w:hAnsiTheme="minorEastAsia" w:eastAsiaTheme="minorEastAsia" w:cstheme="minorEastAsia"/>
          <w:sz w:val="24"/>
          <w:szCs w:val="24"/>
          <w:highlight w:val="none"/>
        </w:rPr>
        <w:t>现场检查</w:t>
      </w:r>
      <w:r>
        <w:rPr>
          <w:rFonts w:hint="eastAsia" w:asciiTheme="minorEastAsia" w:hAnsiTheme="minorEastAsia" w:eastAsiaTheme="minorEastAsia" w:cstheme="minorEastAsia"/>
          <w:sz w:val="24"/>
          <w:szCs w:val="24"/>
          <w:highlight w:val="none"/>
          <w:lang w:val="zh-CN"/>
        </w:rPr>
        <w:t>打分评定。考核综合评分为日常考核占</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z w:val="24"/>
          <w:szCs w:val="24"/>
          <w:highlight w:val="none"/>
          <w:lang w:val="zh-CN"/>
        </w:rPr>
        <w:t>%，季度考核评分占</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zh-CN"/>
        </w:rPr>
        <w:t>）每季度考核情况共分</w:t>
      </w: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val="zh-CN"/>
        </w:rPr>
        <w:t>个档次，90分及以上为优良，</w:t>
      </w:r>
      <w:r>
        <w:rPr>
          <w:rFonts w:hint="eastAsia" w:asciiTheme="minorEastAsia" w:hAnsiTheme="minorEastAsia" w:eastAsiaTheme="minorEastAsia" w:cstheme="minorEastAsia"/>
          <w:sz w:val="24"/>
          <w:szCs w:val="24"/>
          <w:highlight w:val="none"/>
        </w:rPr>
        <w:t>80</w:t>
      </w:r>
      <w:r>
        <w:rPr>
          <w:rFonts w:hint="eastAsia" w:asciiTheme="minorEastAsia" w:hAnsiTheme="minorEastAsia" w:eastAsiaTheme="minorEastAsia" w:cstheme="minorEastAsia"/>
          <w:sz w:val="24"/>
          <w:szCs w:val="24"/>
          <w:highlight w:val="none"/>
          <w:lang w:val="zh-CN"/>
        </w:rPr>
        <w:t>-90分为合格，</w:t>
      </w:r>
      <w:r>
        <w:rPr>
          <w:rFonts w:hint="eastAsia" w:asciiTheme="minorEastAsia" w:hAnsiTheme="minorEastAsia" w:eastAsiaTheme="minorEastAsia" w:cstheme="minorEastAsia"/>
          <w:sz w:val="24"/>
          <w:szCs w:val="24"/>
          <w:highlight w:val="none"/>
        </w:rPr>
        <w:t>70</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zh-CN"/>
        </w:rPr>
        <w:t>0</w:t>
      </w:r>
      <w:r>
        <w:rPr>
          <w:rFonts w:hint="eastAsia" w:asciiTheme="minorEastAsia" w:hAnsiTheme="minorEastAsia" w:eastAsiaTheme="minorEastAsia" w:cstheme="minorEastAsia"/>
          <w:sz w:val="24"/>
          <w:szCs w:val="24"/>
          <w:highlight w:val="none"/>
        </w:rPr>
        <w:t>分为基本合格，70</w:t>
      </w:r>
      <w:r>
        <w:rPr>
          <w:rFonts w:hint="eastAsia" w:asciiTheme="minorEastAsia" w:hAnsiTheme="minorEastAsia" w:eastAsiaTheme="minorEastAsia" w:cstheme="minorEastAsia"/>
          <w:sz w:val="24"/>
          <w:szCs w:val="24"/>
          <w:highlight w:val="none"/>
          <w:lang w:val="zh-CN"/>
        </w:rPr>
        <w:t>分以下为不合格。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zh-CN"/>
        </w:rPr>
      </w:pPr>
      <w:bookmarkStart w:id="146" w:name="_Toc5484_WPSOffice_Level2"/>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zh-CN"/>
        </w:rPr>
        <w:t>）</w:t>
      </w:r>
      <w:bookmarkEnd w:id="146"/>
      <w:r>
        <w:rPr>
          <w:rFonts w:hint="eastAsia" w:asciiTheme="minorEastAsia" w:hAnsiTheme="minorEastAsia" w:eastAsiaTheme="minorEastAsia" w:cstheme="minorEastAsia"/>
          <w:sz w:val="24"/>
          <w:szCs w:val="24"/>
          <w:highlight w:val="none"/>
          <w:lang w:val="zh-CN"/>
        </w:rPr>
        <w:t>考核结果使用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szCs w:val="24"/>
          <w:highlight w:val="none"/>
          <w:lang w:val="zh-CN"/>
        </w:rPr>
        <w:t>季度</w:t>
      </w:r>
      <w:r>
        <w:rPr>
          <w:rFonts w:hint="eastAsia" w:asciiTheme="minorEastAsia" w:hAnsiTheme="minorEastAsia" w:eastAsiaTheme="minorEastAsia" w:cstheme="minorEastAsia"/>
          <w:sz w:val="24"/>
          <w:szCs w:val="24"/>
          <w:highlight w:val="none"/>
        </w:rPr>
        <w:t>综合评分</w:t>
      </w:r>
      <w:r>
        <w:rPr>
          <w:rFonts w:hint="eastAsia" w:asciiTheme="minorEastAsia" w:hAnsiTheme="minorEastAsia" w:eastAsiaTheme="minorEastAsia" w:cstheme="minorEastAsia"/>
          <w:sz w:val="24"/>
          <w:szCs w:val="24"/>
          <w:highlight w:val="none"/>
          <w:lang w:val="zh-CN"/>
        </w:rPr>
        <w:t>作为季度运维资金支付的依据。季度</w:t>
      </w:r>
      <w:r>
        <w:rPr>
          <w:rFonts w:hint="eastAsia" w:asciiTheme="minorEastAsia" w:hAnsiTheme="minorEastAsia" w:eastAsiaTheme="minorEastAsia" w:cstheme="minorEastAsia"/>
          <w:sz w:val="24"/>
          <w:szCs w:val="24"/>
          <w:highlight w:val="none"/>
        </w:rPr>
        <w:t>综合评分90分及以上予以</w:t>
      </w:r>
      <w:r>
        <w:rPr>
          <w:rFonts w:hint="eastAsia" w:asciiTheme="minorEastAsia" w:hAnsiTheme="minorEastAsia" w:eastAsiaTheme="minorEastAsia" w:cstheme="minorEastAsia"/>
          <w:sz w:val="24"/>
          <w:szCs w:val="24"/>
          <w:highlight w:val="none"/>
          <w:lang w:val="zh-CN"/>
        </w:rPr>
        <w:t>表扬，并按季度支付运维资金；季度</w:t>
      </w:r>
      <w:r>
        <w:rPr>
          <w:rFonts w:hint="eastAsia" w:asciiTheme="minorEastAsia" w:hAnsiTheme="minorEastAsia" w:eastAsiaTheme="minorEastAsia" w:cstheme="minorEastAsia"/>
          <w:sz w:val="24"/>
          <w:szCs w:val="24"/>
          <w:highlight w:val="none"/>
        </w:rPr>
        <w:t>综合评分</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zh-CN"/>
        </w:rPr>
        <w:t>0-90分，甲方按季度</w:t>
      </w:r>
      <w:r>
        <w:rPr>
          <w:rFonts w:hint="eastAsia" w:asciiTheme="minorEastAsia" w:hAnsiTheme="minorEastAsia" w:eastAsiaTheme="minorEastAsia" w:cstheme="minorEastAsia"/>
          <w:sz w:val="24"/>
          <w:szCs w:val="24"/>
          <w:highlight w:val="none"/>
        </w:rPr>
        <w:t>支付运维资金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zh-CN"/>
        </w:rPr>
        <w:t>季度</w:t>
      </w:r>
      <w:r>
        <w:rPr>
          <w:rFonts w:hint="eastAsia" w:asciiTheme="minorEastAsia" w:hAnsiTheme="minorEastAsia" w:eastAsiaTheme="minorEastAsia" w:cstheme="minorEastAsia"/>
          <w:sz w:val="24"/>
          <w:szCs w:val="24"/>
          <w:highlight w:val="none"/>
        </w:rPr>
        <w:t>综合评分</w:t>
      </w:r>
      <w:r>
        <w:rPr>
          <w:rFonts w:hint="eastAsia" w:asciiTheme="minorEastAsia" w:hAnsiTheme="minorEastAsia" w:eastAsiaTheme="minorEastAsia" w:cstheme="minorEastAsia"/>
          <w:sz w:val="24"/>
          <w:szCs w:val="24"/>
          <w:highlight w:val="none"/>
          <w:lang w:val="zh-CN"/>
        </w:rPr>
        <w:t>70-</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zh-CN"/>
        </w:rPr>
        <w:t>0分，甲方</w:t>
      </w:r>
      <w:r>
        <w:rPr>
          <w:rFonts w:hint="eastAsia" w:asciiTheme="minorEastAsia" w:hAnsiTheme="minorEastAsia" w:eastAsiaTheme="minorEastAsia" w:cstheme="minorEastAsia"/>
          <w:sz w:val="24"/>
          <w:szCs w:val="24"/>
          <w:highlight w:val="none"/>
        </w:rPr>
        <w:t>督促运维公司进行整改，在规定期限内整改到位后支付运维资金；</w:t>
      </w:r>
      <w:r>
        <w:rPr>
          <w:rFonts w:hint="eastAsia" w:asciiTheme="minorEastAsia" w:hAnsiTheme="minorEastAsia" w:eastAsiaTheme="minorEastAsia" w:cstheme="minorEastAsia"/>
          <w:sz w:val="24"/>
          <w:szCs w:val="24"/>
          <w:highlight w:val="none"/>
          <w:lang w:val="zh-CN"/>
        </w:rPr>
        <w:t>季度</w:t>
      </w:r>
      <w:r>
        <w:rPr>
          <w:rFonts w:hint="eastAsia" w:asciiTheme="minorEastAsia" w:hAnsiTheme="minorEastAsia" w:eastAsiaTheme="minorEastAsia" w:cstheme="minorEastAsia"/>
          <w:sz w:val="24"/>
          <w:szCs w:val="24"/>
          <w:highlight w:val="none"/>
        </w:rPr>
        <w:t>综合评分低于70分，视为运维不合格，甲方有权终止合同，并扣减该季度运维资金的30%。</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四、供应商要求：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iCs/>
          <w:sz w:val="24"/>
          <w:szCs w:val="24"/>
          <w:highlight w:val="none"/>
          <w:u w:val="singl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拟派人员</w:t>
      </w:r>
      <w:r>
        <w:rPr>
          <w:rFonts w:hint="eastAsia" w:asciiTheme="minorEastAsia" w:hAnsiTheme="minorEastAsia" w:eastAsiaTheme="minorEastAsia" w:cstheme="minorEastAsia"/>
          <w:sz w:val="24"/>
          <w:szCs w:val="24"/>
          <w:highlight w:val="none"/>
        </w:rPr>
        <w:t>需熟悉并具备施耐德等品牌PLC的维护保养及编程能力，能迅速处理PLC及相关电路、设备、软件产生的故障定位及分类，保障所有设备正常运行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i/>
          <w:iCs/>
          <w:sz w:val="24"/>
          <w:szCs w:val="24"/>
          <w:highlight w:val="none"/>
          <w:u w:val="single"/>
          <w:lang w:eastAsia="zh-CN"/>
        </w:rPr>
        <w:t>（</w:t>
      </w:r>
      <w:r>
        <w:rPr>
          <w:rFonts w:hint="eastAsia" w:asciiTheme="minorEastAsia" w:hAnsiTheme="minorEastAsia" w:eastAsiaTheme="minorEastAsia" w:cstheme="minorEastAsia"/>
          <w:i/>
          <w:iCs/>
          <w:sz w:val="24"/>
          <w:szCs w:val="24"/>
          <w:highlight w:val="none"/>
          <w:u w:val="single"/>
          <w:lang w:val="en-US" w:eastAsia="zh-CN"/>
        </w:rPr>
        <w:t>提供承诺函</w:t>
      </w:r>
      <w:r>
        <w:rPr>
          <w:rFonts w:hint="eastAsia" w:asciiTheme="minorEastAsia" w:hAnsiTheme="minorEastAsia" w:eastAsiaTheme="minorEastAsia" w:cstheme="minorEastAsia"/>
          <w:i/>
          <w:iCs/>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iCs/>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2、供应商须具备对自动化软硬件系统二次开发及优化的实施能力，熟悉组态软件Iconics、ifix的使用和二次开发。</w:t>
      </w:r>
      <w:r>
        <w:rPr>
          <w:rFonts w:hint="eastAsia" w:asciiTheme="minorEastAsia" w:hAnsiTheme="minorEastAsia" w:eastAsiaTheme="minorEastAsia" w:cstheme="minorEastAsia"/>
          <w:i/>
          <w:iCs/>
          <w:sz w:val="24"/>
          <w:szCs w:val="24"/>
          <w:highlight w:val="none"/>
          <w:u w:val="single"/>
          <w:lang w:eastAsia="zh-CN"/>
        </w:rPr>
        <w:t>（</w:t>
      </w:r>
      <w:r>
        <w:rPr>
          <w:rFonts w:hint="eastAsia" w:asciiTheme="minorEastAsia" w:hAnsiTheme="minorEastAsia" w:eastAsiaTheme="minorEastAsia" w:cstheme="minorEastAsia"/>
          <w:i/>
          <w:iCs/>
          <w:sz w:val="24"/>
          <w:szCs w:val="24"/>
          <w:highlight w:val="none"/>
          <w:u w:val="single"/>
          <w:lang w:val="en-US" w:eastAsia="zh-CN"/>
        </w:rPr>
        <w:t>提供承诺函</w:t>
      </w:r>
      <w:r>
        <w:rPr>
          <w:rFonts w:hint="eastAsia" w:asciiTheme="minorEastAsia" w:hAnsiTheme="minorEastAsia" w:eastAsiaTheme="minorEastAsia" w:cstheme="minorEastAsia"/>
          <w:i/>
          <w:iCs/>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供应商需熟悉水利</w:t>
      </w:r>
      <w:r>
        <w:rPr>
          <w:rFonts w:hint="eastAsia" w:asciiTheme="minorEastAsia" w:hAnsiTheme="minorEastAsia" w:eastAsiaTheme="minorEastAsia" w:cstheme="minorEastAsia"/>
          <w:sz w:val="24"/>
          <w:szCs w:val="24"/>
          <w:highlight w:val="none"/>
          <w:lang w:val="en-US" w:eastAsia="zh-CN"/>
        </w:rPr>
        <w:t>自动化、信息化</w:t>
      </w:r>
      <w:r>
        <w:rPr>
          <w:rFonts w:hint="eastAsia" w:asciiTheme="minorEastAsia" w:hAnsiTheme="minorEastAsia" w:eastAsiaTheme="minorEastAsia" w:cstheme="minorEastAsia"/>
          <w:sz w:val="24"/>
          <w:szCs w:val="24"/>
          <w:highlight w:val="none"/>
        </w:rPr>
        <w:t>业务。</w:t>
      </w:r>
      <w:r>
        <w:rPr>
          <w:rFonts w:hint="eastAsia" w:asciiTheme="minorEastAsia" w:hAnsiTheme="minorEastAsia" w:eastAsiaTheme="minorEastAsia" w:cstheme="minorEastAsia"/>
          <w:i/>
          <w:iCs/>
          <w:sz w:val="24"/>
          <w:szCs w:val="24"/>
          <w:highlight w:val="none"/>
          <w:u w:val="single"/>
          <w:lang w:eastAsia="zh-CN"/>
        </w:rPr>
        <w:t>（</w:t>
      </w:r>
      <w:r>
        <w:rPr>
          <w:rFonts w:hint="eastAsia" w:asciiTheme="minorEastAsia" w:hAnsiTheme="minorEastAsia" w:eastAsiaTheme="minorEastAsia" w:cstheme="minorEastAsia"/>
          <w:i/>
          <w:iCs/>
          <w:sz w:val="24"/>
          <w:szCs w:val="24"/>
          <w:highlight w:val="none"/>
          <w:u w:val="single"/>
          <w:lang w:val="en-US" w:eastAsia="zh-CN"/>
        </w:rPr>
        <w:t>提供承诺函</w:t>
      </w:r>
      <w:r>
        <w:rPr>
          <w:rFonts w:hint="eastAsia" w:asciiTheme="minorEastAsia" w:hAnsiTheme="minorEastAsia" w:eastAsiaTheme="minorEastAsia" w:cstheme="minorEastAsia"/>
          <w:i/>
          <w:iCs/>
          <w:sz w:val="24"/>
          <w:szCs w:val="24"/>
          <w:highlight w:val="none"/>
          <w:u w:val="single"/>
          <w:lang w:eastAsia="zh-CN"/>
        </w:rPr>
        <w:t>）</w:t>
      </w:r>
    </w:p>
    <w:p>
      <w:pPr>
        <w:pStyle w:val="10"/>
        <w:rPr>
          <w:rFonts w:hint="eastAsia"/>
          <w:highlight w:val="none"/>
          <w:lang w:val="en-US" w:eastAsia="zh-CN"/>
        </w:rPr>
      </w:pPr>
      <w:r>
        <w:rPr>
          <w:rFonts w:hint="eastAsia"/>
          <w:highlight w:val="none"/>
          <w:lang w:val="en-US" w:eastAsia="zh-CN"/>
        </w:rPr>
        <w:t>附件1</w:t>
      </w:r>
    </w:p>
    <w:tbl>
      <w:tblPr>
        <w:tblStyle w:val="27"/>
        <w:tblW w:w="51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94"/>
        <w:gridCol w:w="2642"/>
        <w:gridCol w:w="2868"/>
        <w:gridCol w:w="664"/>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84"/>
                <w:sz w:val="22"/>
                <w:szCs w:val="22"/>
                <w:highlight w:val="none"/>
                <w:lang w:val="en-US" w:eastAsia="zh-CN" w:bidi="ar"/>
              </w:rPr>
              <w:t>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考核项</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考核内容</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赋分原则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扣分</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扣分说明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4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6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机构及人员设置（5分）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项目部机构健全，运行维护人员数量、技术能力满足工程安全运行要求。维护人员队伍相对稳定，后方技术支撑落实。</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机构不健全，扣2分；</w:t>
            </w:r>
          </w:p>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运行人员专业性不强，技术能力不达标，扣2分；</w:t>
            </w:r>
          </w:p>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维护人员队伍不稳定，扣1分；</w:t>
            </w:r>
          </w:p>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技术支撑不强，无法满足运维要求，扣2分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汛期安排值班人员，严格执行值班制度，杜绝酒后上班、上班喝酒、睡觉、打牌和离岗现象。</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每发现一人次扣1分。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遇工程抢险、事故处理等突发事件或迎接市、局领导检查时，所有人员应服从统一调配，做好相关工作。</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rFonts w:hint="eastAsia"/>
                <w:sz w:val="20"/>
                <w:szCs w:val="20"/>
                <w:highlight w:val="none"/>
                <w:lang w:val="en-US" w:eastAsia="zh-CN" w:bidi="ar"/>
              </w:rPr>
            </w:pPr>
            <w:r>
              <w:rPr>
                <w:rStyle w:val="74"/>
                <w:rFonts w:hint="eastAsia"/>
                <w:sz w:val="20"/>
                <w:szCs w:val="20"/>
                <w:highlight w:val="none"/>
                <w:lang w:val="en-US" w:eastAsia="zh-CN" w:bidi="ar"/>
              </w:rPr>
              <w:t>不服从统一调配，未做好相应工作的每次扣1分。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自动化系统</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日巡检通信机房、LCU室、中控室及室内设施设备（照明、空调、UPS电源、换气系统、除湿/加湿设备、消防等）运行状况；巡检中控室软件运行状况，泵站运行数据存储、读取情况；巡检中控室可视化大屏运行情况及数据展示情况；发现故障及时修复。</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检查频次不符合要求，每次扣1分；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发生超温、超湿、漏水、积水、火情、非法入侵等情况未及时发现，每次扣2分；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设施设备出现故障未及时发现的，每次扣2分；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中控室软件运行故障未及时发现的，每次扣2分；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可视化大屏出现故障未及时发现的，每次扣2分；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巡检主变压室、20KV室、10KV室、0.4KV室温度传感器数据，确保设备运行正常，发生故障及时查明原因并修复。</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（非汛期每周检查一次，汛期每天检查）</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未及时发现故障每次扣1分；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未及时修复故障每次扣1分。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4"/>
                <w:sz w:val="20"/>
                <w:szCs w:val="20"/>
                <w:highlight w:val="none"/>
                <w:lang w:val="en-US" w:eastAsia="zh-CN" w:bidi="ar"/>
              </w:rPr>
              <w:t>检查水文设施设备（水位计、压力传感器、水质监测仪等）运行状况，确保完好有效，读数稳定。每天检查水文数据入库情</w:t>
            </w:r>
            <w:r>
              <w:rPr>
                <w:rStyle w:val="81"/>
                <w:sz w:val="20"/>
                <w:szCs w:val="20"/>
                <w:highlight w:val="none"/>
                <w:lang w:val="en-US" w:eastAsia="zh-CN" w:bidi="ar"/>
              </w:rPr>
              <w:t>况，</w:t>
            </w:r>
            <w:r>
              <w:rPr>
                <w:rStyle w:val="74"/>
                <w:sz w:val="20"/>
                <w:szCs w:val="20"/>
                <w:highlight w:val="none"/>
                <w:lang w:val="en-US" w:eastAsia="zh-CN" w:bidi="ar"/>
              </w:rPr>
              <w:t>每月对水位计进行外部巡查、读数校准、清洗设备，数据异常时能及时查明原因并校准。</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未及时巡查，每次扣1分；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水文设施损坏或数据异常未能及时发现，每次扣2分；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数据未定期校准，每次扣1分；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水文设施设备未定期清洁，每次扣1分；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故障未及时修复，每次扣2分。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sz w:val="20"/>
                <w:szCs w:val="20"/>
                <w:highlight w:val="none"/>
                <w:lang w:val="en-US" w:eastAsia="zh-CN" w:bidi="ar"/>
              </w:rPr>
            </w:pPr>
            <w:r>
              <w:rPr>
                <w:rStyle w:val="74"/>
                <w:sz w:val="20"/>
                <w:szCs w:val="20"/>
                <w:highlight w:val="none"/>
                <w:lang w:val="en-US" w:eastAsia="zh-CN" w:bidi="ar"/>
              </w:rPr>
              <w:t>PLC巡检</w:t>
            </w:r>
          </w:p>
          <w:p>
            <w:pPr>
              <w:keepNext w:val="0"/>
              <w:keepLines w:val="0"/>
              <w:widowControl/>
              <w:suppressLineNumbers w:val="0"/>
              <w:jc w:val="left"/>
              <w:textAlignment w:val="center"/>
              <w:rPr>
                <w:rStyle w:val="74"/>
                <w:sz w:val="20"/>
                <w:szCs w:val="20"/>
                <w:highlight w:val="none"/>
                <w:lang w:val="en-US" w:eastAsia="zh-CN" w:bidi="ar"/>
              </w:rPr>
            </w:pPr>
            <w:r>
              <w:rPr>
                <w:rStyle w:val="74"/>
                <w:sz w:val="20"/>
                <w:szCs w:val="20"/>
                <w:highlight w:val="none"/>
                <w:lang w:val="en-US" w:eastAsia="zh-CN" w:bidi="ar"/>
              </w:rPr>
              <w:t>（1）每日巡检：运行环境温湿度状况、机柜风机运行状况；柜体无积灰、腐蚀、破损等现象；信号输入输出正常、指示灯正常、无烧焦异味等；</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74"/>
                <w:sz w:val="20"/>
                <w:szCs w:val="20"/>
                <w:highlight w:val="none"/>
                <w:lang w:val="en-US" w:eastAsia="zh-CN" w:bidi="ar"/>
              </w:rPr>
              <w:t>（2）季度检查：利用停机时间对PLC元件及控制柜清扫除尘，清洁</w:t>
            </w:r>
            <w:r>
              <w:rPr>
                <w:rStyle w:val="81"/>
                <w:sz w:val="20"/>
                <w:szCs w:val="20"/>
                <w:highlight w:val="none"/>
                <w:lang w:val="en-US" w:eastAsia="zh-CN" w:bidi="ar"/>
              </w:rPr>
              <w:t>机柜空气过滤网，更换易损部件。</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检查频次不符合要求，每次扣1分；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存在超温、超湿现象未及时发现，扣1分；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柜体及PLC元件有积灰、腐蚀、破损等现象扣1分；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PLC信号传输不畅、指示灯显示不正常未及时发现，扣2分；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未及时运维，导致数据传输异常，影响数据有效性、完整性，每次扣3分。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巡检主厂房内振摆系统控制柜指示灯及柜内设备指示灯情况，以及振摆数据入库情况，发生故障时及时修复。（非汛期每两天巡检一次，汛期每天巡检）</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振摆系统故障未能及时发现，每次扣1分；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振摆数据缺失，每次扣1分；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故障未及时修复，每次扣2分。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每日巡检自动化ICONICS组态软件、iFIX组态软件、报表查询软件系统，确保系统运行正常，数据传输、采集、显示正常。</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检查频次不符合要求，每次扣1分；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软件系统发生故障未及时发现，每次扣1分；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故障未及时修复，每次扣2分。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每日巡检中控室大屏系统状况，屏幕有无破损，系统运行是否正常。</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软件系统发生故障未及时发现，每次扣1分；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故障未及时修复，每次扣2分。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监控系统（10分）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4"/>
                <w:sz w:val="20"/>
                <w:szCs w:val="20"/>
                <w:highlight w:val="none"/>
                <w:lang w:val="en-US" w:eastAsia="zh-CN" w:bidi="ar"/>
              </w:rPr>
            </w:pPr>
            <w:r>
              <w:rPr>
                <w:rStyle w:val="74"/>
                <w:sz w:val="20"/>
                <w:szCs w:val="20"/>
                <w:highlight w:val="none"/>
                <w:lang w:val="en-US" w:eastAsia="zh-CN" w:bidi="ar"/>
              </w:rPr>
              <w:t>（1）每日巡检：巡检视频监控系统视频图像清晰度、变倍变焦变距功能灵敏度、户外摄像头进水情况、硬盘录像机录像、回放功能等；</w:t>
            </w:r>
          </w:p>
          <w:p>
            <w:pPr>
              <w:keepNext w:val="0"/>
              <w:keepLines w:val="0"/>
              <w:widowControl/>
              <w:suppressLineNumbers w:val="0"/>
              <w:jc w:val="left"/>
              <w:textAlignment w:val="center"/>
              <w:rPr>
                <w:rStyle w:val="74"/>
                <w:sz w:val="20"/>
                <w:szCs w:val="20"/>
                <w:highlight w:val="none"/>
                <w:lang w:val="en-US" w:eastAsia="zh-CN" w:bidi="ar"/>
              </w:rPr>
            </w:pPr>
            <w:r>
              <w:rPr>
                <w:rStyle w:val="74"/>
                <w:sz w:val="20"/>
                <w:szCs w:val="20"/>
                <w:highlight w:val="none"/>
                <w:lang w:val="en-US" w:eastAsia="zh-CN" w:bidi="ar"/>
              </w:rPr>
              <w:t>（2）月度巡查：检查监控基础设施（摄像头、立杆、控制柜、硬盘录像机等）状况，无损坏、松动现象，查看视频监控系统日志，排查故障并及时修复；</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81"/>
                <w:sz w:val="20"/>
                <w:szCs w:val="20"/>
                <w:highlight w:val="none"/>
                <w:lang w:val="en-US" w:eastAsia="zh-CN" w:bidi="ar"/>
              </w:rPr>
              <w:t>（3）季度检查：全面检查，及时更换、焊接易老化配件；并对监控设备进行彻底除尘清理。</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未及时检查，发现问题不及时，每次扣1分；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未及时更换、焊接老化配件，导致监控系统故障，每次扣2分；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未定期进行除尘，导致视频监控图像不清晰，每次扣2分；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未及时修复监控设施软硬件故障，每次扣2分；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信息化管理系统（10分）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每天检查信息化管理系统运行状况，满足日常工作需求，及时处理应用程序故障。</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系统故障未及时处理，每次扣2分。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通信及网络安全（15分）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周检查通信设施、网络安全设备（IPS、防火墙、日志审计、EDR等）运行状况；网络规划或资源分配调整后，及时更新网络拓扑图、网络规划资源分配表以及通信、网络设备及线路清单等；重点位置张贴网络拓扑图；发生故障及时修复。</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未及时更新网络拓扑图、通信、网络设备及线路清单、网络规划资源分配表等的，每次扣2分；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重点位置未张贴网络拓扑图，扣2分；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未及时修复通信、网络故障，每次扣2分。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检查、整理设备接线排线，无积灰、破损、松脱现象，并张贴线标。</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设备排线凌乱，每发现一处扣1分；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未张贴线标的，每发现一处扣1分。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对网络攻击保持高度敏感，每周查看防火墙日志，如发现网络攻击或存在病毒，及时上报并做出响应，确保单位网络系统运行正常。不允许擅自开放端口或违规使用远程连接工具。</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未及时检查防火墙，每次扣1分；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发生网络攻击行为未及时上报并响应，每次扣2分；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擅自开放端口或违规使用远程连接工具，每发现一次扣10分。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每月检查、测试视频会商设备及系统（终端、大屏、扬声器等），确保运行正常。每次会议前一天安排人员调试。</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未及时检查、测试会商系统，每次扣1分；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未及时安排人员调试，每次扣1分；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使用时出现故障，每次扣2分。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服务器、计算机及外设产品</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每周检查一次服务器运行状况，包括病毒防护软件、漏洞扫描、补丁修复、CPU及内存占用率情况、软硬件升级等，发现故障及时修复。</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每月检查一次计算机及外设产品，包括病毒防护软件、漏洞扫描、补丁修复、CPU及内存占用率情况、软硬件升级等，发现故障及时修复。打印机等外设产品半年一次除尘。</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未及时检查，每次扣1分；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打印机等外设产品未及时除尘，每次扣1分；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未及时修复故障，每次扣2分。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数据库管理</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每月一次全量备份，每次开机后进行一次全量备份；每周对系统进行安全检查，查看运行日志，及时消除漏洞。</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数据未及时备份，每次扣2分；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未及时进行数据库恢复测试，每次扣2分；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未及时对数据库进行安全检查，消除漏洞，每次扣2分。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每季度对机组运行数据进行有效性分析、按规范分类、清洗、整理与维护。</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未对机组运行数据进行有效性分析，并分类、清洗、整理，扣5分。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台账资料</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（10分）</w:t>
            </w: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每年按现场设备及状态、线路情况提供设备资产一览表（含后续新增系统及设备）、线路布置图等。每年对信息化设备进行等级评定。</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未提供或未及时更新，扣2分；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未及时开展设备等级评定，扣2分。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所有运行巡查、维护、检修等资料及时填写、收集、整理、分类、汇总和分析，资料内容符合国家级水管单位要求。各类达标创建，配合提供自动化及信息化软件资料。对服务器、LCU柜等重点设施设备建立维护档案。</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资料未及时填写、收集、整理，扣2分；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资料内容不符合规范要求，扣2分；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达标创建未配合提供相关资料，扣2分；</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未建立重点设备维护档案，缺一个设备扣1分。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合计扣分（各项扣分分值相加）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总得分（100分－合计扣分）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考核人：                考核日期：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bl>
    <w:p>
      <w:pPr>
        <w:rPr>
          <w:rFonts w:hint="default"/>
          <w:highlight w:val="none"/>
          <w:lang w:val="en-US" w:eastAsia="zh-CN"/>
        </w:rPr>
      </w:pPr>
    </w:p>
    <w:p>
      <w:pPr>
        <w:pStyle w:val="10"/>
        <w:rPr>
          <w:rFonts w:hint="eastAsia" w:ascii="仿宋" w:hAnsi="仿宋" w:eastAsia="仿宋" w:cs="仿宋"/>
          <w:sz w:val="24"/>
          <w:szCs w:val="24"/>
          <w:highlight w:val="none"/>
        </w:rPr>
      </w:pPr>
    </w:p>
    <w:p>
      <w:pPr>
        <w:rPr>
          <w:rFonts w:hint="default"/>
          <w:highlight w:val="none"/>
          <w:lang w:val="en-US" w:eastAsia="zh-CN"/>
        </w:rPr>
      </w:pPr>
    </w:p>
    <w:p>
      <w:pPr>
        <w:rPr>
          <w:rFonts w:hint="eastAsia" w:ascii="仿宋" w:hAnsi="仿宋" w:eastAsia="仿宋" w:cs="仿宋"/>
          <w:sz w:val="21"/>
          <w:szCs w:val="21"/>
          <w:highlight w:val="none"/>
          <w:lang w:val="en-US" w:eastAsia="zh-CN"/>
        </w:rPr>
      </w:pPr>
    </w:p>
    <w:p>
      <w:pPr>
        <w:spacing w:line="360" w:lineRule="auto"/>
        <w:ind w:firstLine="422" w:firstLineChars="200"/>
        <w:rPr>
          <w:rFonts w:hint="eastAsia" w:ascii="宋体" w:hAnsi="宋体" w:cs="宋体"/>
          <w:b/>
          <w:bCs/>
          <w:color w:val="auto"/>
          <w:szCs w:val="21"/>
          <w:highlight w:val="none"/>
          <w:lang w:eastAsia="zh-CN"/>
        </w:rPr>
      </w:pPr>
    </w:p>
    <w:p>
      <w:pPr>
        <w:pStyle w:val="10"/>
        <w:ind w:left="0" w:leftChars="0" w:firstLine="0" w:firstLineChars="0"/>
        <w:rPr>
          <w:rFonts w:hint="eastAsia" w:ascii="宋体" w:hAnsi="宋体" w:cs="宋体"/>
          <w:color w:val="auto"/>
          <w:szCs w:val="21"/>
          <w:highlight w:val="none"/>
        </w:rPr>
      </w:pPr>
    </w:p>
    <w:p>
      <w:pPr>
        <w:rPr>
          <w:rFonts w:hint="eastAsia"/>
          <w:highlight w:val="none"/>
        </w:rPr>
      </w:pPr>
    </w:p>
    <w:p>
      <w:pPr>
        <w:widowControl/>
        <w:snapToGrid w:val="0"/>
        <w:spacing w:line="360" w:lineRule="auto"/>
        <w:jc w:val="center"/>
        <w:outlineLvl w:val="0"/>
        <w:rPr>
          <w:rFonts w:hint="eastAsia" w:ascii="宋体" w:hAnsi="宋体"/>
          <w:b/>
          <w:bCs/>
          <w:color w:val="auto"/>
          <w:sz w:val="36"/>
          <w:highlight w:val="none"/>
        </w:rPr>
      </w:pPr>
      <w:r>
        <w:rPr>
          <w:rFonts w:hint="eastAsia" w:ascii="宋体" w:hAnsi="宋体"/>
          <w:b/>
          <w:bCs/>
          <w:color w:val="auto"/>
          <w:sz w:val="36"/>
          <w:highlight w:val="none"/>
        </w:rPr>
        <w:t>第五章  评审方法和评审标准</w:t>
      </w:r>
      <w:bookmarkEnd w:id="144"/>
      <w:bookmarkEnd w:id="145"/>
    </w:p>
    <w:p>
      <w:pPr>
        <w:pStyle w:val="61"/>
        <w:ind w:firstLine="422" w:firstLineChars="200"/>
        <w:rPr>
          <w:rFonts w:hint="eastAsia" w:ascii="宋体" w:hAnsi="宋体"/>
          <w:b/>
          <w:color w:val="auto"/>
          <w:kern w:val="2"/>
          <w:sz w:val="21"/>
          <w:szCs w:val="21"/>
          <w:highlight w:val="none"/>
        </w:rPr>
      </w:pPr>
      <w:r>
        <w:rPr>
          <w:rFonts w:hint="eastAsia" w:ascii="宋体" w:hAnsi="宋体"/>
          <w:b/>
          <w:color w:val="auto"/>
          <w:kern w:val="2"/>
          <w:sz w:val="21"/>
          <w:szCs w:val="21"/>
          <w:highlight w:val="none"/>
        </w:rPr>
        <w:t>一、评标方法</w:t>
      </w:r>
    </w:p>
    <w:p>
      <w:pPr>
        <w:spacing w:line="360" w:lineRule="auto"/>
        <w:ind w:firstLine="420" w:firstLineChars="200"/>
        <w:rPr>
          <w:rFonts w:hint="eastAsia"/>
          <w:color w:val="auto"/>
          <w:highlight w:val="none"/>
        </w:rPr>
      </w:pPr>
      <w:r>
        <w:rPr>
          <w:rFonts w:hint="eastAsia"/>
          <w:color w:val="auto"/>
          <w:highlight w:val="none"/>
        </w:rPr>
        <w:t>本项目采用综合评分法，评委会将对确定为实质性响应谈判文件要求的响应文件进行评价和比较。评标结果按评审后得分由高到低顺序排列。得分相同的，按谈判报价由低到高顺序排列。得分且谈判报价相同的并列，响应文件满足谈判文件全部实质性要求，且按照评审因素的量化指标评审得分最高的供应商为排名第一的成交候选人。</w:t>
      </w:r>
    </w:p>
    <w:p>
      <w:pPr>
        <w:numPr>
          <w:ilvl w:val="0"/>
          <w:numId w:val="14"/>
        </w:numPr>
        <w:spacing w:line="360" w:lineRule="auto"/>
        <w:rPr>
          <w:rFonts w:hint="eastAsia"/>
          <w:b/>
          <w:bCs/>
          <w:color w:val="auto"/>
          <w:highlight w:val="none"/>
        </w:rPr>
      </w:pPr>
      <w:r>
        <w:rPr>
          <w:rFonts w:hint="eastAsia"/>
          <w:b/>
          <w:bCs/>
          <w:color w:val="auto"/>
          <w:highlight w:val="none"/>
        </w:rPr>
        <w:t>评分标准</w:t>
      </w:r>
      <w:bookmarkStart w:id="147" w:name="_Toc29677"/>
      <w:bookmarkStart w:id="148" w:name="_Toc497145844"/>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    格</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423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以满足谈判文件要求的最低价为基准价，得满分1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分。其他报价得分=（基准价/其他报价）×1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×100%。保留两位小数。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55</w:t>
            </w:r>
            <w:r>
              <w:rPr>
                <w:rFonts w:hint="eastAsia" w:ascii="宋体" w:hAnsi="宋体" w:eastAsia="宋体" w:cs="宋体"/>
                <w:color w:val="auto"/>
                <w:szCs w:val="21"/>
                <w:highlight w:val="none"/>
              </w:rPr>
              <w:t>分）</w:t>
            </w:r>
          </w:p>
        </w:tc>
        <w:tc>
          <w:tcPr>
            <w:tcW w:w="4237" w:type="pct"/>
            <w:noWrap w:val="0"/>
            <w:vAlign w:val="center"/>
          </w:tcPr>
          <w:p>
            <w:pPr>
              <w:numPr>
                <w:ilvl w:val="0"/>
                <w:numId w:val="15"/>
              </w:num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针对本项目的水文监测系统(水位站、</w:t>
            </w:r>
            <w:r>
              <w:rPr>
                <w:rFonts w:hint="eastAsia" w:ascii="宋体" w:hAnsi="宋体" w:cs="宋体"/>
                <w:color w:val="auto"/>
                <w:szCs w:val="21"/>
                <w:highlight w:val="none"/>
                <w:lang w:val="en-US" w:eastAsia="zh-CN"/>
              </w:rPr>
              <w:t>光谱</w:t>
            </w:r>
            <w:r>
              <w:rPr>
                <w:rFonts w:hint="eastAsia" w:ascii="宋体" w:hAnsi="宋体" w:eastAsia="宋体" w:cs="宋体"/>
                <w:color w:val="auto"/>
                <w:szCs w:val="21"/>
                <w:highlight w:val="none"/>
                <w:lang w:val="zh-CN"/>
              </w:rPr>
              <w:t>水质站）提供详细的运维方案，</w:t>
            </w:r>
            <w:r>
              <w:rPr>
                <w:rFonts w:hint="eastAsia" w:ascii="宋体" w:hAnsi="宋体" w:eastAsia="宋体" w:cs="宋体"/>
                <w:color w:val="auto"/>
                <w:szCs w:val="21"/>
                <w:highlight w:val="none"/>
              </w:rPr>
              <w:t>总体服务方案概述全面完整程度高、可行性高的得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分；总体服务方案概述一般、可行性一般的得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分；总体服务方案概述具有不合理项、可行性略欠缺得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分；总体服</w:t>
            </w:r>
            <w:r>
              <w:rPr>
                <w:rFonts w:hint="eastAsia" w:ascii="宋体" w:hAnsi="宋体" w:eastAsia="宋体" w:cs="宋体"/>
                <w:color w:val="auto"/>
                <w:szCs w:val="21"/>
                <w:highlight w:val="none"/>
                <w:lang w:val="zh-CN"/>
              </w:rPr>
              <w:t>务方案概述具有明显不合理项、可行性欠缺得1分；未提供得0分。</w:t>
            </w:r>
          </w:p>
          <w:p>
            <w:pPr>
              <w:numPr>
                <w:ilvl w:val="0"/>
                <w:numId w:val="15"/>
              </w:num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针对本项目自动化控制系统（含控制系统软硬件现状、PLC维护注意事项等）提供符合现场实际情况的详细的运维方案，运维</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lang w:val="zh-CN"/>
              </w:rPr>
              <w:t>表述</w:t>
            </w:r>
            <w:r>
              <w:rPr>
                <w:rFonts w:hint="eastAsia" w:ascii="宋体" w:hAnsi="宋体" w:cs="宋体"/>
                <w:color w:val="auto"/>
                <w:szCs w:val="21"/>
                <w:highlight w:val="none"/>
                <w:lang w:val="en-US" w:eastAsia="zh-CN"/>
              </w:rPr>
              <w:t>完整</w:t>
            </w:r>
            <w:r>
              <w:rPr>
                <w:rFonts w:hint="eastAsia" w:ascii="宋体" w:hAnsi="宋体" w:eastAsia="宋体" w:cs="宋体"/>
                <w:color w:val="auto"/>
                <w:szCs w:val="21"/>
                <w:highlight w:val="none"/>
                <w:lang w:val="zh-CN"/>
              </w:rPr>
              <w:t>清晰，方案合理</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可行</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运维</w:t>
            </w:r>
            <w:r>
              <w:rPr>
                <w:rFonts w:hint="eastAsia" w:ascii="宋体" w:hAnsi="宋体" w:cs="宋体"/>
                <w:color w:val="auto"/>
                <w:szCs w:val="21"/>
                <w:highlight w:val="none"/>
                <w:lang w:val="en-US" w:eastAsia="zh-CN"/>
              </w:rPr>
              <w:t>方案表述完整</w:t>
            </w:r>
            <w:r>
              <w:rPr>
                <w:rFonts w:hint="eastAsia" w:ascii="宋体" w:hAnsi="宋体" w:eastAsia="宋体" w:cs="宋体"/>
                <w:color w:val="auto"/>
                <w:szCs w:val="21"/>
                <w:highlight w:val="none"/>
                <w:lang w:val="en-US" w:eastAsia="zh-CN"/>
              </w:rPr>
              <w:t>清晰</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具有一定的可行性，基本合理的，得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运维内容表述</w:t>
            </w:r>
            <w:r>
              <w:rPr>
                <w:rFonts w:hint="eastAsia" w:ascii="宋体" w:hAnsi="宋体" w:cs="宋体"/>
                <w:color w:val="auto"/>
                <w:szCs w:val="21"/>
                <w:highlight w:val="none"/>
                <w:lang w:val="en-US" w:eastAsia="zh-CN"/>
              </w:rPr>
              <w:t>一般，</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合理</w:t>
            </w:r>
            <w:r>
              <w:rPr>
                <w:rFonts w:hint="eastAsia" w:ascii="宋体" w:hAnsi="宋体" w:cs="宋体"/>
                <w:color w:val="auto"/>
                <w:szCs w:val="21"/>
                <w:highlight w:val="none"/>
                <w:lang w:val="en-US" w:eastAsia="zh-CN"/>
              </w:rPr>
              <w:t>得3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运维内容表述</w:t>
            </w:r>
            <w:r>
              <w:rPr>
                <w:rFonts w:hint="eastAsia" w:ascii="宋体" w:hAnsi="宋体" w:cs="宋体"/>
                <w:color w:val="auto"/>
                <w:szCs w:val="21"/>
                <w:highlight w:val="none"/>
                <w:lang w:val="en-US" w:eastAsia="zh-CN"/>
              </w:rPr>
              <w:t>一般，方案</w:t>
            </w:r>
            <w:r>
              <w:rPr>
                <w:rFonts w:hint="eastAsia" w:ascii="宋体" w:hAnsi="宋体" w:eastAsia="宋体" w:cs="宋体"/>
                <w:color w:val="auto"/>
                <w:szCs w:val="21"/>
                <w:highlight w:val="none"/>
                <w:lang w:val="zh-CN"/>
              </w:rPr>
              <w:t>表述具有明显不合理项得1分；未提供得0分。</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根据现场实际情况制定</w:t>
            </w:r>
            <w:r>
              <w:rPr>
                <w:rFonts w:hint="eastAsia" w:ascii="宋体" w:hAnsi="宋体" w:eastAsia="宋体" w:cs="宋体"/>
                <w:color w:val="auto"/>
                <w:szCs w:val="21"/>
                <w:highlight w:val="none"/>
                <w:lang w:val="zh-CN"/>
              </w:rPr>
              <w:t>提供详细的</w:t>
            </w:r>
            <w:r>
              <w:rPr>
                <w:rFonts w:hint="eastAsia" w:ascii="宋体" w:hAnsi="宋体" w:cs="宋体"/>
                <w:color w:val="auto"/>
                <w:szCs w:val="21"/>
                <w:highlight w:val="none"/>
                <w:lang w:val="en-US" w:eastAsia="zh-CN"/>
              </w:rPr>
              <w:t>网络安全</w:t>
            </w:r>
            <w:r>
              <w:rPr>
                <w:rFonts w:hint="eastAsia" w:ascii="宋体" w:hAnsi="宋体" w:eastAsia="宋体" w:cs="宋体"/>
                <w:color w:val="auto"/>
                <w:szCs w:val="21"/>
                <w:highlight w:val="none"/>
                <w:lang w:val="zh-CN"/>
              </w:rPr>
              <w:t>运维</w:t>
            </w:r>
            <w:r>
              <w:rPr>
                <w:rFonts w:hint="eastAsia" w:ascii="宋体" w:hAnsi="宋体" w:cs="宋体"/>
                <w:color w:val="auto"/>
                <w:szCs w:val="21"/>
                <w:highlight w:val="none"/>
                <w:lang w:val="en-US" w:eastAsia="zh-CN"/>
              </w:rPr>
              <w:t>保障</w:t>
            </w:r>
            <w:r>
              <w:rPr>
                <w:rFonts w:hint="eastAsia" w:ascii="宋体" w:hAnsi="宋体" w:eastAsia="宋体" w:cs="宋体"/>
                <w:color w:val="auto"/>
                <w:szCs w:val="21"/>
                <w:highlight w:val="none"/>
                <w:lang w:val="zh-CN"/>
              </w:rPr>
              <w:t>方案</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运维</w:t>
            </w:r>
            <w:r>
              <w:rPr>
                <w:rFonts w:hint="eastAsia" w:ascii="宋体" w:hAnsi="宋体" w:cs="宋体"/>
                <w:color w:val="auto"/>
                <w:szCs w:val="21"/>
                <w:highlight w:val="none"/>
                <w:lang w:val="en-US" w:eastAsia="zh-CN"/>
              </w:rPr>
              <w:t>方案表述完整</w:t>
            </w:r>
            <w:r>
              <w:rPr>
                <w:rFonts w:hint="eastAsia" w:ascii="宋体" w:hAnsi="宋体" w:eastAsia="宋体" w:cs="宋体"/>
                <w:color w:val="auto"/>
                <w:szCs w:val="21"/>
                <w:highlight w:val="none"/>
                <w:lang w:val="en-US" w:eastAsia="zh-CN"/>
              </w:rPr>
              <w:t>清晰，</w:t>
            </w:r>
            <w:r>
              <w:rPr>
                <w:rFonts w:hint="eastAsia" w:ascii="宋体" w:hAnsi="宋体" w:eastAsia="宋体" w:cs="宋体"/>
                <w:color w:val="auto"/>
                <w:szCs w:val="21"/>
                <w:highlight w:val="none"/>
              </w:rPr>
              <w:t>可行性高</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zh-CN"/>
              </w:rPr>
              <w:t>运维</w:t>
            </w:r>
            <w:r>
              <w:rPr>
                <w:rFonts w:hint="eastAsia" w:ascii="宋体" w:hAnsi="宋体" w:cs="宋体"/>
                <w:color w:val="auto"/>
                <w:szCs w:val="21"/>
                <w:highlight w:val="none"/>
                <w:lang w:val="en-US" w:eastAsia="zh-CN"/>
              </w:rPr>
              <w:t>方案表述完整</w:t>
            </w:r>
            <w:r>
              <w:rPr>
                <w:rFonts w:hint="eastAsia" w:ascii="宋体" w:hAnsi="宋体" w:eastAsia="宋体" w:cs="宋体"/>
                <w:color w:val="auto"/>
                <w:szCs w:val="21"/>
                <w:highlight w:val="none"/>
                <w:lang w:val="en-US" w:eastAsia="zh-CN"/>
              </w:rPr>
              <w:t>清晰</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具有一定的可行性，基本合理的，得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分；内容</w:t>
            </w:r>
            <w:r>
              <w:rPr>
                <w:rFonts w:hint="eastAsia" w:ascii="宋体" w:hAnsi="宋体" w:cs="宋体"/>
                <w:color w:val="auto"/>
                <w:szCs w:val="21"/>
                <w:highlight w:val="none"/>
                <w:lang w:val="en-US" w:eastAsia="zh-CN"/>
              </w:rPr>
              <w:t>表述一般</w:t>
            </w:r>
            <w:r>
              <w:rPr>
                <w:rFonts w:hint="eastAsia" w:ascii="宋体" w:hAnsi="宋体" w:eastAsia="宋体" w:cs="宋体"/>
                <w:color w:val="auto"/>
                <w:szCs w:val="21"/>
                <w:highlight w:val="none"/>
                <w:lang w:val="en-US" w:eastAsia="zh-CN"/>
              </w:rPr>
              <w:t>，可行性一般，</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合理</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运维内容表述</w:t>
            </w:r>
            <w:r>
              <w:rPr>
                <w:rFonts w:hint="eastAsia" w:ascii="宋体" w:hAnsi="宋体" w:cs="宋体"/>
                <w:color w:val="auto"/>
                <w:szCs w:val="21"/>
                <w:highlight w:val="none"/>
                <w:lang w:val="en-US" w:eastAsia="zh-CN"/>
              </w:rPr>
              <w:t>一般，方案</w:t>
            </w:r>
            <w:r>
              <w:rPr>
                <w:rFonts w:hint="eastAsia" w:ascii="宋体" w:hAnsi="宋体" w:eastAsia="宋体" w:cs="宋体"/>
                <w:color w:val="auto"/>
                <w:szCs w:val="21"/>
                <w:highlight w:val="none"/>
                <w:lang w:val="zh-CN"/>
              </w:rPr>
              <w:t>表述具有明显不合理项</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分；未提供不得分。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针对本项目</w:t>
            </w:r>
            <w:r>
              <w:rPr>
                <w:rFonts w:hint="eastAsia" w:ascii="宋体" w:hAnsi="宋体" w:eastAsia="宋体" w:cs="宋体"/>
                <w:color w:val="auto"/>
                <w:szCs w:val="21"/>
                <w:highlight w:val="none"/>
              </w:rPr>
              <w:t>开展内部管理架构</w:t>
            </w:r>
            <w:r>
              <w:rPr>
                <w:rFonts w:hint="eastAsia" w:ascii="宋体" w:hAnsi="宋体" w:eastAsia="宋体" w:cs="宋体"/>
                <w:color w:val="auto"/>
                <w:szCs w:val="21"/>
                <w:highlight w:val="none"/>
                <w:lang w:val="zh-CN"/>
              </w:rPr>
              <w:t>提供详细的运维方案</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架构方案制定的科学、合理、全面</w:t>
            </w:r>
            <w:r>
              <w:rPr>
                <w:rFonts w:hint="eastAsia" w:ascii="宋体" w:hAnsi="宋体" w:cs="宋体"/>
                <w:color w:val="auto"/>
                <w:szCs w:val="21"/>
                <w:highlight w:val="none"/>
                <w:lang w:val="en-US" w:eastAsia="zh-CN"/>
              </w:rPr>
              <w:t>得6分，</w:t>
            </w:r>
            <w:r>
              <w:rPr>
                <w:rFonts w:hint="eastAsia" w:ascii="宋体" w:hAnsi="宋体" w:eastAsia="宋体" w:cs="宋体"/>
                <w:color w:val="auto"/>
                <w:szCs w:val="21"/>
                <w:highlight w:val="none"/>
                <w:lang w:val="en-US" w:eastAsia="zh-CN"/>
              </w:rPr>
              <w:t>具有一定的可行性，</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lang w:val="en-US" w:eastAsia="zh-CN"/>
              </w:rPr>
              <w:t>基本合理的，得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明显不合理项、可行性欠缺得1分；未提供得0分。</w:t>
            </w:r>
          </w:p>
          <w:p>
            <w:pPr>
              <w:numPr>
                <w:ilvl w:val="0"/>
                <w:numId w:val="16"/>
              </w:num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针对本项目</w:t>
            </w:r>
            <w:r>
              <w:rPr>
                <w:rFonts w:hint="eastAsia" w:ascii="宋体" w:hAnsi="宋体" w:cs="宋体"/>
                <w:color w:val="auto"/>
                <w:szCs w:val="21"/>
                <w:highlight w:val="none"/>
                <w:lang w:val="en-US" w:eastAsia="zh-CN"/>
              </w:rPr>
              <w:t>提供机组在线监测系统运维方案，总体运维方案</w:t>
            </w:r>
            <w:r>
              <w:rPr>
                <w:rFonts w:hint="eastAsia" w:ascii="宋体" w:hAnsi="宋体" w:eastAsia="宋体" w:cs="宋体"/>
                <w:color w:val="auto"/>
                <w:szCs w:val="21"/>
                <w:highlight w:val="none"/>
                <w:lang w:val="zh-CN"/>
              </w:rPr>
              <w:t>科学、合理</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rPr>
              <w:t>可行性高</w:t>
            </w:r>
            <w:r>
              <w:rPr>
                <w:rFonts w:hint="eastAsia" w:ascii="宋体" w:hAnsi="宋体" w:eastAsia="宋体" w:cs="宋体"/>
                <w:color w:val="auto"/>
                <w:szCs w:val="21"/>
                <w:highlight w:val="none"/>
                <w:lang w:val="en-US" w:eastAsia="zh-CN"/>
              </w:rPr>
              <w:t>得9分；内容完整清晰，具有一定的可行性，</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lang w:val="en-US" w:eastAsia="zh-CN"/>
              </w:rPr>
              <w:t>基本合理的，得6分；内容不完整清晰，可行性一般，可操作性不强的，得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分；具有明显不合理项、描述欠缺、存在实施难度的，得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分；未提供不得分。</w:t>
            </w:r>
          </w:p>
          <w:p>
            <w:pPr>
              <w:numPr>
                <w:ilvl w:val="0"/>
                <w:numId w:val="1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对本项</w:t>
            </w:r>
            <w:r>
              <w:rPr>
                <w:rFonts w:hint="eastAsia" w:ascii="宋体" w:hAnsi="宋体" w:cs="宋体"/>
                <w:color w:val="auto"/>
                <w:szCs w:val="21"/>
                <w:highlight w:val="none"/>
                <w:lang w:val="en-US" w:eastAsia="zh-CN"/>
              </w:rPr>
              <w:t>目</w:t>
            </w:r>
            <w:r>
              <w:rPr>
                <w:rFonts w:hint="eastAsia" w:ascii="宋体" w:hAnsi="宋体" w:eastAsia="宋体" w:cs="宋体"/>
                <w:color w:val="auto"/>
                <w:szCs w:val="21"/>
                <w:highlight w:val="none"/>
                <w:lang w:val="en-US" w:eastAsia="zh-CN"/>
              </w:rPr>
              <w:t>根据现场实际情况制定</w:t>
            </w:r>
            <w:r>
              <w:rPr>
                <w:rFonts w:hint="eastAsia" w:ascii="宋体" w:hAnsi="宋体" w:eastAsia="宋体" w:cs="宋体"/>
                <w:color w:val="auto"/>
                <w:szCs w:val="21"/>
                <w:highlight w:val="none"/>
                <w:lang w:val="zh-CN"/>
              </w:rPr>
              <w:t>提供详细的</w:t>
            </w:r>
            <w:r>
              <w:rPr>
                <w:rFonts w:hint="eastAsia" w:ascii="宋体" w:hAnsi="宋体" w:cs="宋体"/>
                <w:color w:val="auto"/>
                <w:szCs w:val="21"/>
                <w:highlight w:val="none"/>
                <w:lang w:val="en-US" w:eastAsia="zh-CN"/>
              </w:rPr>
              <w:t>视频监控</w:t>
            </w:r>
            <w:r>
              <w:rPr>
                <w:rFonts w:hint="eastAsia" w:ascii="宋体" w:hAnsi="宋体" w:eastAsia="宋体" w:cs="宋体"/>
                <w:color w:val="auto"/>
                <w:szCs w:val="21"/>
                <w:highlight w:val="none"/>
                <w:lang w:val="zh-CN"/>
              </w:rPr>
              <w:t>运维</w:t>
            </w:r>
            <w:r>
              <w:rPr>
                <w:rFonts w:hint="eastAsia" w:ascii="宋体" w:hAnsi="宋体" w:cs="宋体"/>
                <w:color w:val="auto"/>
                <w:szCs w:val="21"/>
                <w:highlight w:val="none"/>
                <w:lang w:val="en-US" w:eastAsia="zh-CN"/>
              </w:rPr>
              <w:t>保障</w:t>
            </w:r>
            <w:r>
              <w:rPr>
                <w:rFonts w:hint="eastAsia" w:ascii="宋体" w:hAnsi="宋体" w:eastAsia="宋体" w:cs="宋体"/>
                <w:color w:val="auto"/>
                <w:szCs w:val="21"/>
                <w:highlight w:val="none"/>
                <w:lang w:val="zh-CN"/>
              </w:rPr>
              <w:t>方案</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lang w:val="en-US" w:eastAsia="zh-CN"/>
              </w:rPr>
              <w:t>内容完整清晰，</w:t>
            </w:r>
            <w:r>
              <w:rPr>
                <w:rFonts w:hint="eastAsia" w:ascii="宋体" w:hAnsi="宋体" w:cs="宋体"/>
                <w:color w:val="auto"/>
                <w:szCs w:val="21"/>
                <w:highlight w:val="none"/>
                <w:lang w:val="en-US" w:eastAsia="zh-CN"/>
              </w:rPr>
              <w:t>可行性高得6分，</w:t>
            </w:r>
            <w:r>
              <w:rPr>
                <w:rFonts w:hint="eastAsia" w:ascii="宋体" w:hAnsi="宋体" w:eastAsia="宋体" w:cs="宋体"/>
                <w:color w:val="auto"/>
                <w:szCs w:val="21"/>
                <w:highlight w:val="none"/>
                <w:lang w:val="en-US" w:eastAsia="zh-CN"/>
              </w:rPr>
              <w:t>具有一定的可行性，基本合理的，得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分；具有明显不合理项、描述欠缺、存在实施难度的，得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分；未提供不得分。</w:t>
            </w:r>
          </w:p>
          <w:p>
            <w:pPr>
              <w:numPr>
                <w:ilvl w:val="0"/>
                <w:numId w:val="16"/>
              </w:numPr>
              <w:spacing w:line="360" w:lineRule="auto"/>
              <w:ind w:firstLine="420" w:firstLineChars="200"/>
              <w:rPr>
                <w:rFonts w:hint="default"/>
                <w:color w:val="auto"/>
                <w:highlight w:val="none"/>
                <w:lang w:val="en-US"/>
              </w:rPr>
            </w:pPr>
            <w:r>
              <w:rPr>
                <w:rFonts w:hint="eastAsia" w:ascii="宋体" w:hAnsi="宋体" w:eastAsia="宋体" w:cs="宋体"/>
                <w:color w:val="auto"/>
                <w:szCs w:val="21"/>
                <w:highlight w:val="none"/>
                <w:lang w:val="zh-CN"/>
              </w:rPr>
              <w:t>根据投标人对本项目现场实际情况制定汛期</w:t>
            </w:r>
            <w:r>
              <w:rPr>
                <w:rFonts w:hint="eastAsia" w:ascii="宋体" w:hAnsi="宋体" w:eastAsia="宋体" w:cs="宋体"/>
                <w:color w:val="auto"/>
                <w:szCs w:val="21"/>
                <w:highlight w:val="none"/>
                <w:lang w:val="zh-CN" w:eastAsia="zh-CN"/>
              </w:rPr>
              <w:t>保障方案</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lang w:val="en-US" w:eastAsia="zh-CN"/>
              </w:rPr>
              <w:t>内容完整清晰</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zh-CN"/>
              </w:rPr>
              <w:t>合理</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rPr>
              <w:t>可行性高</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6分</w:t>
            </w:r>
            <w:r>
              <w:rPr>
                <w:rFonts w:hint="eastAsia" w:ascii="宋体" w:hAnsi="宋体" w:eastAsia="宋体" w:cs="宋体"/>
                <w:color w:val="auto"/>
                <w:szCs w:val="21"/>
                <w:highlight w:val="none"/>
                <w:lang w:val="en-US" w:eastAsia="zh-CN"/>
              </w:rPr>
              <w:t>，内容完整清晰具有一定的可行性，基本合理的，得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分；内容不完整清晰，可行性一般，可操作性不强的，得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服务与响应</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2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非汛期承诺1人驻</w:t>
            </w:r>
            <w:r>
              <w:rPr>
                <w:rFonts w:hint="eastAsia" w:ascii="宋体" w:hAnsi="宋体" w:cs="宋体"/>
                <w:color w:val="auto"/>
                <w:kern w:val="0"/>
                <w:sz w:val="21"/>
                <w:szCs w:val="21"/>
                <w:highlight w:val="none"/>
                <w:lang w:val="en-US" w:eastAsia="zh-CN" w:bidi="ar-SA"/>
              </w:rPr>
              <w:t>场。</w:t>
            </w:r>
            <w:r>
              <w:rPr>
                <w:rFonts w:hint="eastAsia" w:ascii="宋体" w:hAnsi="宋体" w:eastAsia="宋体" w:cs="宋体"/>
                <w:color w:val="auto"/>
                <w:kern w:val="0"/>
                <w:sz w:val="21"/>
                <w:szCs w:val="21"/>
                <w:highlight w:val="none"/>
                <w:lang w:val="en-US" w:eastAsia="zh-CN" w:bidi="ar-SA"/>
              </w:rPr>
              <w:t>承诺</w:t>
            </w:r>
            <w:r>
              <w:rPr>
                <w:rFonts w:hint="eastAsia" w:ascii="宋体" w:hAnsi="宋体" w:cs="宋体"/>
                <w:color w:val="auto"/>
                <w:kern w:val="0"/>
                <w:sz w:val="21"/>
                <w:szCs w:val="21"/>
                <w:highlight w:val="none"/>
                <w:lang w:val="en-US" w:eastAsia="zh-CN" w:bidi="ar-SA"/>
              </w:rPr>
              <w:t>非驻场团队</w:t>
            </w:r>
            <w:r>
              <w:rPr>
                <w:rFonts w:hint="eastAsia" w:ascii="宋体" w:hAnsi="宋体" w:eastAsia="宋体" w:cs="宋体"/>
                <w:color w:val="auto"/>
                <w:kern w:val="0"/>
                <w:sz w:val="21"/>
                <w:szCs w:val="21"/>
                <w:highlight w:val="none"/>
                <w:lang w:val="en-US" w:eastAsia="zh-CN" w:bidi="ar-SA"/>
              </w:rPr>
              <w:t>2小时内响应到现场，4小时内提供解决方案，硬件故障在2天内解决问题，如遇软件或线路故障，在24小时内提出方案，并在5天内解决</w:t>
            </w:r>
            <w:r>
              <w:rPr>
                <w:rFonts w:hint="eastAsia" w:ascii="宋体" w:hAnsi="宋体" w:cs="宋体"/>
                <w:color w:val="auto"/>
                <w:kern w:val="0"/>
                <w:sz w:val="21"/>
                <w:szCs w:val="21"/>
                <w:highlight w:val="none"/>
                <w:lang w:val="en-US" w:eastAsia="zh-CN" w:bidi="ar-SA"/>
              </w:rPr>
              <w:t>，</w:t>
            </w:r>
            <w:r>
              <w:rPr>
                <w:rFonts w:hint="eastAsia" w:ascii="宋体" w:hAnsi="宋体" w:eastAsia="宋体" w:cs="宋体"/>
                <w:b w:val="0"/>
                <w:bCs w:val="0"/>
                <w:color w:val="auto"/>
                <w:kern w:val="2"/>
                <w:sz w:val="21"/>
                <w:szCs w:val="21"/>
                <w:highlight w:val="none"/>
              </w:rPr>
              <w:t>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bCs/>
                <w:color w:val="auto"/>
                <w:kern w:val="2"/>
                <w:sz w:val="21"/>
                <w:szCs w:val="21"/>
                <w:highlight w:val="none"/>
              </w:rPr>
              <w:t>（提供承诺函原件，不提供不得分）</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汛期承诺1人驻</w:t>
            </w:r>
            <w:r>
              <w:rPr>
                <w:rFonts w:hint="eastAsia" w:ascii="宋体" w:hAnsi="宋体" w:cs="宋体"/>
                <w:color w:val="auto"/>
                <w:kern w:val="0"/>
                <w:sz w:val="21"/>
                <w:szCs w:val="21"/>
                <w:highlight w:val="none"/>
                <w:lang w:val="en-US" w:eastAsia="zh-CN" w:bidi="ar-SA"/>
              </w:rPr>
              <w:t>场。</w:t>
            </w:r>
            <w:r>
              <w:rPr>
                <w:rFonts w:hint="eastAsia" w:ascii="宋体" w:hAnsi="宋体" w:eastAsia="宋体" w:cs="宋体"/>
                <w:color w:val="auto"/>
                <w:kern w:val="0"/>
                <w:sz w:val="21"/>
                <w:szCs w:val="21"/>
                <w:highlight w:val="none"/>
                <w:lang w:val="en-US" w:eastAsia="zh-CN" w:bidi="ar-SA"/>
              </w:rPr>
              <w:t>承诺</w:t>
            </w:r>
            <w:r>
              <w:rPr>
                <w:rFonts w:hint="eastAsia" w:ascii="宋体" w:hAnsi="宋体" w:cs="宋体"/>
                <w:color w:val="auto"/>
                <w:kern w:val="0"/>
                <w:sz w:val="21"/>
                <w:szCs w:val="21"/>
                <w:highlight w:val="none"/>
                <w:lang w:val="en-US" w:eastAsia="zh-CN" w:bidi="ar-SA"/>
              </w:rPr>
              <w:t>非驻场团队</w:t>
            </w:r>
            <w:r>
              <w:rPr>
                <w:rFonts w:hint="eastAsia" w:ascii="宋体" w:hAnsi="宋体" w:eastAsia="宋体" w:cs="宋体"/>
                <w:color w:val="auto"/>
                <w:kern w:val="0"/>
                <w:sz w:val="21"/>
                <w:szCs w:val="21"/>
                <w:highlight w:val="none"/>
                <w:lang w:val="en-US" w:eastAsia="zh-CN" w:bidi="ar-SA"/>
              </w:rPr>
              <w:t>1小时响应到场并在2小时内提供解决方案，硬件故障在24小时内解决，如遇软件或线路故障，在24小时内提出方案，并在3天内解决</w:t>
            </w:r>
            <w:r>
              <w:rPr>
                <w:rFonts w:hint="eastAsia" w:ascii="宋体" w:hAnsi="宋体" w:cs="宋体"/>
                <w:color w:val="auto"/>
                <w:kern w:val="0"/>
                <w:sz w:val="21"/>
                <w:szCs w:val="21"/>
                <w:highlight w:val="none"/>
                <w:lang w:val="en-US" w:eastAsia="zh-CN" w:bidi="ar-SA"/>
              </w:rPr>
              <w:t>，</w:t>
            </w:r>
            <w:r>
              <w:rPr>
                <w:rFonts w:hint="eastAsia" w:ascii="宋体" w:hAnsi="宋体" w:eastAsia="宋体" w:cs="宋体"/>
                <w:b w:val="0"/>
                <w:bCs w:val="0"/>
                <w:color w:val="auto"/>
                <w:kern w:val="2"/>
                <w:sz w:val="21"/>
                <w:szCs w:val="21"/>
                <w:highlight w:val="none"/>
              </w:rPr>
              <w:t>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分</w:t>
            </w:r>
            <w:r>
              <w:rPr>
                <w:rFonts w:hint="eastAsia" w:ascii="宋体" w:hAnsi="宋体" w:cs="宋体"/>
                <w:b w:val="0"/>
                <w:bCs w:val="0"/>
                <w:color w:val="auto"/>
                <w:kern w:val="2"/>
                <w:sz w:val="21"/>
                <w:szCs w:val="21"/>
                <w:highlight w:val="none"/>
                <w:lang w:eastAsia="zh-CN"/>
              </w:rPr>
              <w:t>。</w:t>
            </w:r>
            <w:r>
              <w:rPr>
                <w:rFonts w:hint="eastAsia" w:ascii="宋体" w:hAnsi="宋体" w:eastAsia="宋体" w:cs="宋体"/>
                <w:b/>
                <w:bCs/>
                <w:color w:val="auto"/>
                <w:kern w:val="2"/>
                <w:sz w:val="21"/>
                <w:szCs w:val="21"/>
                <w:highlight w:val="none"/>
              </w:rPr>
              <w:t>（提供承诺函原件，不提供不得分）</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汛期</w:t>
            </w:r>
            <w:r>
              <w:rPr>
                <w:rFonts w:hint="eastAsia" w:ascii="宋体" w:hAnsi="宋体" w:cs="宋体"/>
                <w:color w:val="auto"/>
                <w:kern w:val="0"/>
                <w:sz w:val="21"/>
                <w:szCs w:val="21"/>
                <w:highlight w:val="none"/>
                <w:lang w:val="en-US" w:eastAsia="zh-CN" w:bidi="ar-SA"/>
              </w:rPr>
              <w:t>启动应急响应，</w:t>
            </w:r>
            <w:r>
              <w:rPr>
                <w:rFonts w:hint="eastAsia" w:ascii="宋体" w:hAnsi="宋体" w:eastAsia="宋体" w:cs="宋体"/>
                <w:color w:val="auto"/>
                <w:kern w:val="0"/>
                <w:sz w:val="21"/>
                <w:szCs w:val="21"/>
                <w:highlight w:val="none"/>
                <w:lang w:val="en-US" w:eastAsia="zh-CN" w:bidi="ar-SA"/>
              </w:rPr>
              <w:t>承诺</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人驻</w:t>
            </w:r>
            <w:r>
              <w:rPr>
                <w:rFonts w:hint="eastAsia" w:ascii="宋体" w:hAnsi="宋体" w:cs="宋体"/>
                <w:color w:val="auto"/>
                <w:kern w:val="0"/>
                <w:sz w:val="21"/>
                <w:szCs w:val="21"/>
                <w:highlight w:val="none"/>
                <w:lang w:val="en-US" w:eastAsia="zh-CN" w:bidi="ar-SA"/>
              </w:rPr>
              <w:t>场。</w:t>
            </w:r>
            <w:r>
              <w:rPr>
                <w:rFonts w:hint="eastAsia" w:ascii="宋体" w:hAnsi="宋体" w:eastAsia="宋体" w:cs="宋体"/>
                <w:color w:val="auto"/>
                <w:kern w:val="0"/>
                <w:sz w:val="21"/>
                <w:szCs w:val="21"/>
                <w:highlight w:val="none"/>
                <w:lang w:val="en-US" w:eastAsia="zh-CN" w:bidi="ar-SA"/>
              </w:rPr>
              <w:t>承诺</w:t>
            </w:r>
            <w:r>
              <w:rPr>
                <w:rFonts w:hint="eastAsia" w:ascii="宋体" w:hAnsi="宋体" w:cs="宋体"/>
                <w:color w:val="auto"/>
                <w:kern w:val="0"/>
                <w:sz w:val="21"/>
                <w:szCs w:val="21"/>
                <w:highlight w:val="none"/>
                <w:lang w:val="en-US" w:eastAsia="zh-CN" w:bidi="ar-SA"/>
              </w:rPr>
              <w:t>非驻场团队</w:t>
            </w:r>
            <w:r>
              <w:rPr>
                <w:rFonts w:hint="eastAsia" w:ascii="宋体" w:hAnsi="宋体" w:eastAsia="宋体" w:cs="宋体"/>
                <w:color w:val="auto"/>
                <w:kern w:val="0"/>
                <w:sz w:val="21"/>
                <w:szCs w:val="21"/>
                <w:highlight w:val="none"/>
                <w:lang w:val="en-US" w:eastAsia="zh-CN" w:bidi="ar-SA"/>
              </w:rPr>
              <w:t>硬件故障</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小时内</w:t>
            </w:r>
            <w:r>
              <w:rPr>
                <w:rFonts w:hint="eastAsia" w:ascii="宋体" w:hAnsi="宋体" w:cs="宋体"/>
                <w:color w:val="auto"/>
                <w:kern w:val="0"/>
                <w:sz w:val="21"/>
                <w:szCs w:val="21"/>
                <w:highlight w:val="none"/>
                <w:lang w:val="en-US" w:eastAsia="zh-CN" w:bidi="ar-SA"/>
              </w:rPr>
              <w:t>到现场</w:t>
            </w:r>
            <w:r>
              <w:rPr>
                <w:rFonts w:hint="eastAsia" w:ascii="宋体" w:hAnsi="宋体" w:eastAsia="宋体" w:cs="宋体"/>
                <w:color w:val="auto"/>
                <w:kern w:val="0"/>
                <w:sz w:val="21"/>
                <w:szCs w:val="21"/>
                <w:highlight w:val="none"/>
                <w:lang w:val="en-US" w:eastAsia="zh-CN" w:bidi="ar-SA"/>
              </w:rPr>
              <w:t>解决</w:t>
            </w:r>
            <w:r>
              <w:rPr>
                <w:rFonts w:hint="eastAsia" w:ascii="宋体" w:hAnsi="宋体" w:cs="宋体"/>
                <w:color w:val="auto"/>
                <w:kern w:val="0"/>
                <w:sz w:val="21"/>
                <w:szCs w:val="21"/>
                <w:highlight w:val="none"/>
                <w:lang w:val="en-US" w:eastAsia="zh-CN" w:bidi="ar-SA"/>
              </w:rPr>
              <w:t>问题，</w:t>
            </w:r>
            <w:r>
              <w:rPr>
                <w:rFonts w:hint="eastAsia" w:ascii="宋体" w:hAnsi="宋体" w:eastAsia="宋体" w:cs="宋体"/>
                <w:b w:val="0"/>
                <w:bCs w:val="0"/>
                <w:color w:val="auto"/>
                <w:kern w:val="2"/>
                <w:sz w:val="21"/>
                <w:szCs w:val="21"/>
                <w:highlight w:val="none"/>
              </w:rPr>
              <w:t>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b/>
                <w:bCs/>
                <w:color w:val="auto"/>
                <w:kern w:val="2"/>
                <w:sz w:val="21"/>
                <w:szCs w:val="21"/>
                <w:highlight w:val="none"/>
              </w:rPr>
              <w:t>（提供承诺函原件，不提供不得分）</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供应商承诺熟悉并具备施耐德等品牌PLC的维护保养及编程能力，能迅速处理PLC及相关电路、设备、软件产生的故障定位及分类，保障所有设备正常运行。得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b/>
                <w:bCs/>
                <w:color w:val="auto"/>
                <w:kern w:val="2"/>
                <w:sz w:val="21"/>
                <w:szCs w:val="21"/>
                <w:highlight w:val="none"/>
              </w:rPr>
              <w:t>（提供承诺函原件，不提供不得分）</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供应商须</w:t>
            </w:r>
            <w:r>
              <w:rPr>
                <w:rFonts w:hint="eastAsia" w:ascii="宋体" w:hAnsi="宋体" w:cs="宋体"/>
                <w:color w:val="auto"/>
                <w:kern w:val="0"/>
                <w:sz w:val="21"/>
                <w:szCs w:val="21"/>
                <w:highlight w:val="none"/>
                <w:lang w:val="en-US" w:eastAsia="zh-CN" w:bidi="ar-SA"/>
              </w:rPr>
              <w:t>运维团队</w:t>
            </w:r>
            <w:r>
              <w:rPr>
                <w:rFonts w:hint="eastAsia" w:ascii="宋体" w:hAnsi="宋体" w:eastAsia="宋体" w:cs="宋体"/>
                <w:color w:val="auto"/>
                <w:kern w:val="0"/>
                <w:sz w:val="21"/>
                <w:szCs w:val="21"/>
                <w:highlight w:val="none"/>
                <w:lang w:val="en-US" w:eastAsia="zh-CN" w:bidi="ar-SA"/>
              </w:rPr>
              <w:t>具备对自动化软硬件系统二次开发及优化的实施能力</w:t>
            </w:r>
            <w:r>
              <w:rPr>
                <w:rFonts w:hint="eastAsia" w:ascii="宋体" w:hAnsi="宋体" w:cs="宋体"/>
                <w:color w:val="auto"/>
                <w:kern w:val="0"/>
                <w:sz w:val="21"/>
                <w:szCs w:val="21"/>
                <w:highlight w:val="none"/>
                <w:lang w:val="en-US" w:eastAsia="zh-CN" w:bidi="ar-SA"/>
              </w:rPr>
              <w:t>（主要是</w:t>
            </w:r>
            <w:r>
              <w:rPr>
                <w:rFonts w:hint="eastAsia" w:ascii="宋体" w:hAnsi="宋体" w:eastAsia="宋体" w:cs="宋体"/>
                <w:color w:val="auto"/>
                <w:kern w:val="0"/>
                <w:sz w:val="21"/>
                <w:szCs w:val="21"/>
                <w:highlight w:val="none"/>
                <w:lang w:val="en-US" w:eastAsia="zh-CN" w:bidi="ar-SA"/>
              </w:rPr>
              <w:t>组态软件Iconics、ifix开发</w:t>
            </w:r>
            <w:r>
              <w:rPr>
                <w:rFonts w:hint="eastAsia" w:ascii="宋体" w:hAnsi="宋体" w:cs="宋体"/>
                <w:color w:val="auto"/>
                <w:kern w:val="0"/>
                <w:sz w:val="21"/>
                <w:szCs w:val="21"/>
                <w:highlight w:val="none"/>
                <w:lang w:val="en-US" w:eastAsia="zh-CN" w:bidi="ar-SA"/>
              </w:rPr>
              <w:t>及优化能力），</w:t>
            </w:r>
            <w:r>
              <w:rPr>
                <w:rFonts w:hint="eastAsia" w:ascii="宋体" w:hAnsi="宋体" w:eastAsia="宋体" w:cs="宋体"/>
                <w:color w:val="auto"/>
                <w:kern w:val="0"/>
                <w:sz w:val="21"/>
                <w:szCs w:val="21"/>
                <w:highlight w:val="none"/>
                <w:lang w:val="en-US" w:eastAsia="zh-CN" w:bidi="ar-SA"/>
              </w:rPr>
              <w:t>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b/>
                <w:bCs/>
                <w:color w:val="auto"/>
                <w:kern w:val="2"/>
                <w:sz w:val="21"/>
                <w:szCs w:val="21"/>
                <w:highlight w:val="none"/>
              </w:rPr>
              <w:t>（提供承诺函原件，不提供不得分）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noWrap w:val="0"/>
            <w:vAlign w:val="center"/>
          </w:tcPr>
          <w:p>
            <w:pPr>
              <w:keepNext w:val="0"/>
              <w:keepLines w:val="0"/>
              <w:widowControl w:val="0"/>
              <w:suppressLineNumbers w:val="0"/>
              <w:spacing w:before="0" w:beforeAutospacing="0" w:after="0" w:afterAutospacing="0" w:line="360" w:lineRule="auto"/>
              <w:ind w:left="0" w:right="0"/>
              <w:jc w:val="center"/>
              <w:rPr>
                <w:color w:val="auto"/>
                <w:highlight w:val="none"/>
                <w:lang w:val="en-US" w:eastAsia="zh-CN"/>
              </w:rPr>
            </w:pPr>
            <w:r>
              <w:rPr>
                <w:rFonts w:hint="eastAsia" w:ascii="Times New Roman" w:hAnsi="Times New Roman" w:eastAsia="宋体" w:cs="宋体"/>
                <w:color w:val="auto"/>
                <w:kern w:val="2"/>
                <w:sz w:val="21"/>
                <w:szCs w:val="22"/>
                <w:highlight w:val="none"/>
                <w:lang w:val="en-US" w:eastAsia="zh-CN" w:bidi="ar"/>
              </w:rPr>
              <w:t>企业</w:t>
            </w:r>
            <w:r>
              <w:rPr>
                <w:rFonts w:hint="eastAsia" w:cs="宋体"/>
                <w:color w:val="auto"/>
                <w:kern w:val="2"/>
                <w:sz w:val="21"/>
                <w:szCs w:val="22"/>
                <w:highlight w:val="none"/>
                <w:lang w:val="en-US" w:eastAsia="zh-CN" w:bidi="ar"/>
              </w:rPr>
              <w:t>实力</w:t>
            </w:r>
          </w:p>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highlight w:val="none"/>
              </w:rPr>
            </w:pPr>
            <w:r>
              <w:rPr>
                <w:rFonts w:hint="eastAsia" w:ascii="Times New Roman" w:hAnsi="Times New Roman" w:eastAsia="宋体" w:cs="宋体"/>
                <w:color w:val="auto"/>
                <w:kern w:val="2"/>
                <w:sz w:val="21"/>
                <w:szCs w:val="22"/>
                <w:highlight w:val="none"/>
                <w:lang w:val="en-US" w:eastAsia="zh-CN" w:bidi="ar"/>
              </w:rPr>
              <w:t>（</w:t>
            </w:r>
            <w:r>
              <w:rPr>
                <w:rFonts w:hint="eastAsia" w:cs="Times New Roman"/>
                <w:color w:val="auto"/>
                <w:kern w:val="2"/>
                <w:sz w:val="21"/>
                <w:szCs w:val="22"/>
                <w:highlight w:val="none"/>
                <w:lang w:val="en-US" w:eastAsia="zh-CN" w:bidi="ar"/>
              </w:rPr>
              <w:t>7</w:t>
            </w:r>
            <w:r>
              <w:rPr>
                <w:rFonts w:hint="eastAsia" w:ascii="Times New Roman" w:hAnsi="Times New Roman" w:eastAsia="宋体" w:cs="宋体"/>
                <w:color w:val="auto"/>
                <w:kern w:val="2"/>
                <w:sz w:val="21"/>
                <w:szCs w:val="22"/>
                <w:highlight w:val="none"/>
                <w:lang w:val="en-US" w:eastAsia="zh-CN" w:bidi="ar"/>
              </w:rPr>
              <w:t>分）</w:t>
            </w:r>
          </w:p>
        </w:tc>
        <w:tc>
          <w:tcPr>
            <w:tcW w:w="7219" w:type="dxa"/>
            <w:noWrap w:val="0"/>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供应商具有质量管理体系认证证书（ISO9001）、</w:t>
            </w:r>
            <w:r>
              <w:rPr>
                <w:rFonts w:hint="eastAsia" w:ascii="宋体" w:hAnsi="宋体" w:eastAsia="宋体" w:cs="宋体"/>
                <w:color w:val="auto"/>
                <w:kern w:val="2"/>
                <w:sz w:val="21"/>
                <w:szCs w:val="21"/>
                <w:highlight w:val="none"/>
                <w:lang w:val="en-US" w:eastAsia="zh-CN" w:bidi="ar"/>
              </w:rPr>
              <w:t>信息安全管理体系认证证书（ISO27001）、信息技术服务管理体系认证证书（ISO20000）、</w:t>
            </w:r>
            <w:r>
              <w:rPr>
                <w:rFonts w:hint="eastAsia" w:ascii="Times New Roman" w:hAnsi="Times New Roman" w:eastAsia="宋体" w:cs="宋体"/>
                <w:color w:val="auto"/>
                <w:kern w:val="2"/>
                <w:sz w:val="21"/>
                <w:szCs w:val="22"/>
                <w:highlight w:val="none"/>
                <w:lang w:val="en-US" w:eastAsia="zh-CN" w:bidi="ar"/>
              </w:rPr>
              <w:t>业务连续性管理体系认证证书（</w:t>
            </w:r>
            <w:r>
              <w:rPr>
                <w:rFonts w:hint="default" w:ascii="Times New Roman" w:hAnsi="Times New Roman" w:eastAsia="宋体" w:cs="Times New Roman"/>
                <w:color w:val="auto"/>
                <w:kern w:val="2"/>
                <w:sz w:val="21"/>
                <w:szCs w:val="22"/>
                <w:highlight w:val="none"/>
                <w:lang w:val="en-US" w:eastAsia="zh-CN" w:bidi="ar"/>
              </w:rPr>
              <w:t>ISO22301</w:t>
            </w:r>
            <w:r>
              <w:rPr>
                <w:rFonts w:hint="eastAsia" w:ascii="Times New Roman" w:hAnsi="Times New Roman" w:eastAsia="宋体" w:cs="宋体"/>
                <w:color w:val="auto"/>
                <w:kern w:val="2"/>
                <w:sz w:val="21"/>
                <w:szCs w:val="22"/>
                <w:highlight w:val="none"/>
                <w:lang w:val="en-US" w:eastAsia="zh-CN" w:bidi="ar"/>
              </w:rPr>
              <w:t>）</w:t>
            </w: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每提供一个得1分，最高得4分，没有不得分</w:t>
            </w:r>
            <w:r>
              <w:rPr>
                <w:rFonts w:hint="eastAsia" w:ascii="宋体" w:hAnsi="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2、供应商具有信息系统业务安全服务资质</w:t>
            </w:r>
            <w:r>
              <w:rPr>
                <w:rFonts w:hint="eastAsia" w:ascii="宋体" w:hAnsi="宋体" w:cs="宋体"/>
                <w:color w:val="auto"/>
                <w:kern w:val="2"/>
                <w:sz w:val="21"/>
                <w:szCs w:val="21"/>
                <w:highlight w:val="none"/>
                <w:lang w:val="en-US" w:eastAsia="zh-CN" w:bidi="ar"/>
              </w:rPr>
              <w:t>（壹级）</w:t>
            </w:r>
            <w:r>
              <w:rPr>
                <w:rFonts w:hint="eastAsia" w:ascii="宋体" w:hAnsi="宋体" w:eastAsia="宋体" w:cs="宋体"/>
                <w:color w:val="auto"/>
                <w:kern w:val="2"/>
                <w:sz w:val="21"/>
                <w:szCs w:val="21"/>
                <w:highlight w:val="none"/>
                <w:lang w:val="en-US" w:eastAsia="zh-CN" w:bidi="ar"/>
              </w:rPr>
              <w:t>证书</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得1分，没有不得分</w:t>
            </w:r>
            <w:r>
              <w:rPr>
                <w:rFonts w:hint="eastAsia" w:ascii="宋体" w:hAnsi="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3、供应商具有ITSS信息技术服务运行维护标准符合性证书（成熟度等级二级及以上）、CCRC信息安全服务资质认证证书（信息系统安全运维一级），每提供一个得1分，满分</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分，没有不得分。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Cs w:val="21"/>
                <w:highlight w:val="none"/>
                <w:lang w:eastAsia="zh-CN"/>
              </w:rPr>
            </w:pPr>
            <w:r>
              <w:rPr>
                <w:rFonts w:hint="eastAsia" w:ascii="宋体" w:hAnsi="宋体" w:eastAsia="宋体" w:cs="宋体"/>
                <w:b/>
                <w:bCs/>
                <w:color w:val="auto"/>
                <w:kern w:val="2"/>
                <w:sz w:val="21"/>
                <w:szCs w:val="21"/>
                <w:highlight w:val="none"/>
                <w:lang w:val="en-US" w:eastAsia="zh-CN" w:bidi="ar"/>
              </w:rPr>
              <w:t>注：以上证书提供复印件加盖供应商公章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类似业绩</w:t>
            </w:r>
          </w:p>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分）</w:t>
            </w:r>
          </w:p>
        </w:tc>
        <w:tc>
          <w:tcPr>
            <w:tcW w:w="7219" w:type="dxa"/>
            <w:noWrap w:val="0"/>
            <w:vAlign w:val="center"/>
          </w:tcPr>
          <w:p>
            <w:pPr>
              <w:keepNext w:val="0"/>
              <w:keepLines w:val="0"/>
              <w:widowControl/>
              <w:suppressLineNumbers w:val="0"/>
              <w:spacing w:before="0" w:beforeAutospacing="0" w:after="0" w:afterAutospacing="0" w:line="360" w:lineRule="auto"/>
              <w:ind w:left="0" w:leftChars="0" w:right="0" w:rightChars="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eastAsia="zh-CN" w:bidi="ar"/>
              </w:rPr>
              <w:t>供应商自</w:t>
            </w:r>
            <w:r>
              <w:rPr>
                <w:rFonts w:hint="eastAsia" w:ascii="宋体" w:hAnsi="宋体" w:eastAsia="宋体" w:cs="宋体"/>
                <w:color w:val="auto"/>
                <w:kern w:val="2"/>
                <w:sz w:val="21"/>
                <w:szCs w:val="21"/>
                <w:highlight w:val="none"/>
                <w:lang w:val="en-US" w:eastAsia="zh-CN" w:bidi="ar"/>
              </w:rPr>
              <w:t>202</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年1月1日（以合同签署时间为准）承接过类似项目的得2分，最多得</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b/>
                <w:bCs/>
                <w:color w:val="auto"/>
                <w:kern w:val="2"/>
                <w:sz w:val="21"/>
                <w:szCs w:val="21"/>
                <w:highlight w:val="none"/>
                <w:lang w:val="en-US" w:eastAsia="zh-CN" w:bidi="ar"/>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技术实力与人员保障（</w:t>
            </w:r>
            <w:r>
              <w:rPr>
                <w:rFonts w:hint="eastAsia" w:ascii="宋体" w:hAnsi="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val="en-US" w:eastAsia="zh-CN" w:bidi="ar"/>
              </w:rPr>
              <w:t>分）</w:t>
            </w:r>
          </w:p>
        </w:tc>
        <w:tc>
          <w:tcPr>
            <w:tcW w:w="7219" w:type="dxa"/>
            <w:noWrap w:val="0"/>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1、项目经理同时具有高级信息系统项目管理师和CISP证书得2分，没有不得分</w:t>
            </w:r>
            <w:r>
              <w:rPr>
                <w:rFonts w:hint="eastAsia" w:ascii="宋体" w:hAnsi="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2、除项目经理外，项目成员具有</w:t>
            </w:r>
            <w:r>
              <w:rPr>
                <w:rFonts w:hint="eastAsia" w:ascii="宋体" w:hAnsi="宋体" w:cs="宋体"/>
                <w:color w:val="auto"/>
                <w:kern w:val="2"/>
                <w:sz w:val="21"/>
                <w:szCs w:val="21"/>
                <w:highlight w:val="none"/>
                <w:lang w:val="en-US" w:eastAsia="zh-CN" w:bidi="ar"/>
              </w:rPr>
              <w:t>以下证书：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注册安全信息人员</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CISP</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证书</w:t>
            </w:r>
            <w:r>
              <w:rPr>
                <w:rFonts w:hint="eastAsia" w:ascii="宋体" w:hAnsi="宋体" w:cs="宋体"/>
                <w:color w:val="auto"/>
                <w:kern w:val="2"/>
                <w:sz w:val="21"/>
                <w:szCs w:val="21"/>
                <w:highlight w:val="none"/>
                <w:lang w:val="en-US" w:eastAsia="zh-CN" w:bidi="ar"/>
              </w:rPr>
              <w:t>、网络通信安全管理员三级证书、四级数据库工程师职业资格证书、高级计算机操作员证书、高级IT运维工程师证书。每类证书得2分（不累计得分），满分10分，</w:t>
            </w:r>
            <w:r>
              <w:rPr>
                <w:rFonts w:hint="eastAsia" w:ascii="宋体" w:hAnsi="宋体" w:eastAsia="宋体" w:cs="宋体"/>
                <w:color w:val="auto"/>
                <w:kern w:val="2"/>
                <w:sz w:val="21"/>
                <w:szCs w:val="21"/>
                <w:highlight w:val="none"/>
                <w:lang w:val="en-US" w:eastAsia="zh-CN" w:bidi="ar"/>
              </w:rPr>
              <w:t>没有不得分</w:t>
            </w:r>
            <w:r>
              <w:rPr>
                <w:rFonts w:hint="eastAsia" w:ascii="宋体" w:hAnsi="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val="en-US" w:eastAsia="zh-CN" w:bidi="ar"/>
              </w:rPr>
              <w:t>注：以上人员均需提供有效证书复印件加盖供应商公章、以及近三个月任意一个月的社保证明材料，不提供或提供不全的，不得分。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合计：100分</w:t>
            </w:r>
          </w:p>
        </w:tc>
      </w:tr>
    </w:tbl>
    <w:p>
      <w:pPr>
        <w:pStyle w:val="22"/>
        <w:spacing w:line="360" w:lineRule="auto"/>
        <w:rPr>
          <w:rFonts w:hint="eastAsia"/>
          <w:color w:val="auto"/>
          <w:highlight w:val="none"/>
        </w:rPr>
      </w:pPr>
    </w:p>
    <w:p>
      <w:pPr>
        <w:pStyle w:val="22"/>
        <w:spacing w:line="360" w:lineRule="auto"/>
        <w:rPr>
          <w:rFonts w:hint="eastAsia"/>
          <w:color w:val="auto"/>
          <w:highlight w:val="none"/>
        </w:rPr>
      </w:pPr>
    </w:p>
    <w:p>
      <w:pPr>
        <w:rPr>
          <w:rFonts w:hint="eastAsia" w:ascii="宋体" w:hAnsi="宋体"/>
          <w:b/>
          <w:bCs/>
          <w:color w:val="auto"/>
          <w:sz w:val="36"/>
          <w:highlight w:val="none"/>
        </w:rPr>
      </w:pPr>
      <w:r>
        <w:rPr>
          <w:rFonts w:hint="eastAsia" w:ascii="宋体" w:hAnsi="宋体"/>
          <w:b/>
          <w:bCs/>
          <w:color w:val="auto"/>
          <w:sz w:val="36"/>
          <w:highlight w:val="none"/>
        </w:rPr>
        <w:br w:type="page"/>
      </w:r>
    </w:p>
    <w:p>
      <w:pPr>
        <w:tabs>
          <w:tab w:val="left" w:pos="3629"/>
        </w:tabs>
        <w:spacing w:line="360" w:lineRule="auto"/>
        <w:ind w:firstLine="200"/>
        <w:jc w:val="center"/>
        <w:outlineLvl w:val="0"/>
        <w:rPr>
          <w:rFonts w:hint="eastAsia" w:ascii="宋体" w:hAnsi="宋体"/>
          <w:color w:val="auto"/>
          <w:sz w:val="36"/>
          <w:highlight w:val="none"/>
        </w:rPr>
      </w:pPr>
      <w:r>
        <w:rPr>
          <w:rFonts w:hint="eastAsia" w:ascii="宋体" w:hAnsi="宋体"/>
          <w:b/>
          <w:bCs/>
          <w:color w:val="auto"/>
          <w:sz w:val="36"/>
          <w:highlight w:val="none"/>
        </w:rPr>
        <w:t>第六章 谈判响应文件格式</w:t>
      </w:r>
      <w:bookmarkEnd w:id="147"/>
      <w:bookmarkEnd w:id="148"/>
    </w:p>
    <w:p>
      <w:pPr>
        <w:spacing w:line="360" w:lineRule="auto"/>
        <w:jc w:val="center"/>
        <w:rPr>
          <w:rFonts w:ascii="宋体" w:hAnsi="宋体"/>
          <w:b/>
          <w:color w:val="auto"/>
          <w:sz w:val="36"/>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 w:val="22"/>
          <w:szCs w:val="21"/>
          <w:highlight w:val="none"/>
        </w:rPr>
      </w:pPr>
    </w:p>
    <w:p>
      <w:pPr>
        <w:spacing w:line="360" w:lineRule="auto"/>
        <w:jc w:val="center"/>
        <w:rPr>
          <w:rFonts w:ascii="宋体" w:hAnsi="宋体"/>
          <w:b/>
          <w:color w:val="auto"/>
          <w:sz w:val="72"/>
          <w:highlight w:val="none"/>
        </w:rPr>
      </w:pPr>
      <w:bookmarkStart w:id="149" w:name="OLE_LINK137"/>
      <w:bookmarkEnd w:id="149"/>
      <w:bookmarkStart w:id="150" w:name="OLE_LINK141"/>
      <w:bookmarkEnd w:id="150"/>
    </w:p>
    <w:p>
      <w:pPr>
        <w:pStyle w:val="3"/>
        <w:spacing w:line="360" w:lineRule="auto"/>
        <w:rPr>
          <w:rFonts w:ascii="宋体" w:hAnsi="宋体" w:eastAsia="宋体" w:cs="Arial"/>
          <w:bCs w:val="0"/>
          <w:color w:val="auto"/>
          <w:highlight w:val="none"/>
        </w:rPr>
      </w:pPr>
      <w:bookmarkStart w:id="151" w:name="OLE_LINK144"/>
      <w:bookmarkEnd w:id="151"/>
      <w:bookmarkStart w:id="152" w:name="_Toc12088"/>
      <w:bookmarkStart w:id="153" w:name="_Toc497145845"/>
      <w:r>
        <w:rPr>
          <w:rFonts w:hint="eastAsia" w:ascii="宋体" w:hAnsi="宋体" w:eastAsia="宋体" w:cs="Arial"/>
          <w:bCs w:val="0"/>
          <w:color w:val="auto"/>
          <w:highlight w:val="none"/>
        </w:rPr>
        <w:t>谈判响应文件</w:t>
      </w:r>
      <w:bookmarkEnd w:id="152"/>
      <w:bookmarkEnd w:id="153"/>
    </w:p>
    <w:p>
      <w:pPr>
        <w:pStyle w:val="4"/>
        <w:spacing w:line="360" w:lineRule="auto"/>
        <w:jc w:val="center"/>
        <w:rPr>
          <w:b/>
          <w:bCs/>
          <w:color w:val="auto"/>
          <w:sz w:val="44"/>
          <w:szCs w:val="44"/>
          <w:highlight w:val="none"/>
        </w:rPr>
      </w:pPr>
      <w:r>
        <w:rPr>
          <w:rFonts w:hint="eastAsia" w:ascii="宋体" w:hAnsi="宋体" w:cs="Arial"/>
          <w:b/>
          <w:bCs/>
          <w:color w:val="auto"/>
          <w:sz w:val="44"/>
          <w:szCs w:val="44"/>
          <w:highlight w:val="none"/>
        </w:rPr>
        <w:t>（正或副本）</w:t>
      </w: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pStyle w:val="9"/>
        <w:spacing w:line="360" w:lineRule="auto"/>
        <w:rPr>
          <w:color w:val="auto"/>
          <w:highlight w:val="none"/>
        </w:rPr>
      </w:pPr>
      <w:bookmarkStart w:id="159" w:name="_GoBack"/>
      <w:bookmarkEnd w:id="159"/>
    </w:p>
    <w:p>
      <w:pPr>
        <w:spacing w:line="360" w:lineRule="auto"/>
        <w:ind w:firstLine="843" w:firstLineChars="300"/>
        <w:rPr>
          <w:rFonts w:hint="eastAsia" w:ascii="宋体" w:hAnsi="宋体" w:eastAsia="宋体"/>
          <w:color w:val="auto"/>
          <w:sz w:val="28"/>
          <w:szCs w:val="28"/>
          <w:highlight w:val="none"/>
          <w:lang w:eastAsia="zh-CN"/>
        </w:rPr>
      </w:pPr>
      <w:r>
        <w:rPr>
          <w:rFonts w:hint="eastAsia" w:ascii="宋体" w:hAnsi="宋体"/>
          <w:b/>
          <w:color w:val="auto"/>
          <w:sz w:val="28"/>
          <w:szCs w:val="20"/>
          <w:highlight w:val="none"/>
        </w:rPr>
        <w:t>项 目 名 称：</w:t>
      </w:r>
      <w:r>
        <w:rPr>
          <w:rFonts w:hint="eastAsia" w:ascii="宋体" w:hAnsi="宋体"/>
          <w:color w:val="auto"/>
          <w:sz w:val="28"/>
          <w:szCs w:val="28"/>
          <w:highlight w:val="none"/>
          <w:lang w:eastAsia="zh-CN"/>
        </w:rPr>
        <w:t>扬州市长江运河管理处信息化运维服务项目</w:t>
      </w:r>
    </w:p>
    <w:p>
      <w:pPr>
        <w:spacing w:line="360" w:lineRule="auto"/>
        <w:ind w:firstLine="843" w:firstLineChars="300"/>
        <w:rPr>
          <w:rFonts w:hint="eastAsia" w:ascii="宋体" w:hAnsi="宋体" w:eastAsia="宋体"/>
          <w:b/>
          <w:color w:val="auto"/>
          <w:sz w:val="28"/>
          <w:szCs w:val="20"/>
          <w:highlight w:val="none"/>
          <w:u w:val="single"/>
          <w:lang w:eastAsia="zh-CN"/>
        </w:rPr>
      </w:pPr>
      <w:r>
        <w:rPr>
          <w:rFonts w:hint="eastAsia" w:ascii="宋体" w:hAnsi="宋体"/>
          <w:b/>
          <w:color w:val="auto"/>
          <w:sz w:val="28"/>
          <w:szCs w:val="20"/>
          <w:highlight w:val="none"/>
        </w:rPr>
        <w:t>项 目 编 号：</w:t>
      </w:r>
      <w:r>
        <w:rPr>
          <w:rFonts w:hint="eastAsia" w:ascii="宋体" w:hAnsi="宋体"/>
          <w:color w:val="auto"/>
          <w:sz w:val="28"/>
          <w:szCs w:val="28"/>
          <w:highlight w:val="none"/>
          <w:lang w:eastAsia="zh-CN"/>
        </w:rPr>
        <w:t>YZLZDL-2024019号</w:t>
      </w:r>
    </w:p>
    <w:p>
      <w:pPr>
        <w:spacing w:line="360" w:lineRule="auto"/>
        <w:rPr>
          <w:rFonts w:ascii="宋体" w:hAnsi="宋体"/>
          <w:b/>
          <w:color w:val="auto"/>
          <w:sz w:val="28"/>
          <w:szCs w:val="20"/>
          <w:highlight w:val="none"/>
          <w:u w:val="single"/>
        </w:rPr>
      </w:pPr>
      <w:r>
        <w:rPr>
          <w:rFonts w:hint="eastAsia" w:ascii="宋体" w:hAnsi="宋体"/>
          <w:b/>
          <w:color w:val="auto"/>
          <w:sz w:val="28"/>
          <w:szCs w:val="20"/>
          <w:highlight w:val="none"/>
        </w:rPr>
        <w:t xml:space="preserve">      谈判供应商名称 ：</w:t>
      </w:r>
      <w:r>
        <w:rPr>
          <w:rFonts w:hint="eastAsia" w:ascii="宋体" w:hAnsi="宋体"/>
          <w:b/>
          <w:color w:val="auto"/>
          <w:sz w:val="28"/>
          <w:szCs w:val="20"/>
          <w:highlight w:val="none"/>
          <w:u w:val="single"/>
        </w:rPr>
        <w:t xml:space="preserve">           </w:t>
      </w:r>
    </w:p>
    <w:p>
      <w:pPr>
        <w:spacing w:line="360" w:lineRule="auto"/>
        <w:rPr>
          <w:rFonts w:ascii="宋体" w:hAnsi="宋体"/>
          <w:b/>
          <w:color w:val="auto"/>
          <w:sz w:val="28"/>
          <w:szCs w:val="20"/>
          <w:highlight w:val="none"/>
        </w:rPr>
      </w:pPr>
      <w:r>
        <w:rPr>
          <w:rFonts w:hint="eastAsia" w:ascii="宋体" w:hAnsi="宋体"/>
          <w:b/>
          <w:color w:val="auto"/>
          <w:sz w:val="28"/>
          <w:szCs w:val="20"/>
          <w:highlight w:val="none"/>
        </w:rPr>
        <w:t xml:space="preserve">      日      期 ：</w:t>
      </w:r>
      <w:r>
        <w:rPr>
          <w:rFonts w:hint="eastAsia" w:ascii="宋体" w:hAnsi="宋体"/>
          <w:b/>
          <w:color w:val="auto"/>
          <w:sz w:val="28"/>
          <w:szCs w:val="20"/>
          <w:highlight w:val="none"/>
          <w:u w:val="single"/>
        </w:rPr>
        <w:t xml:space="preserve">               </w:t>
      </w:r>
    </w:p>
    <w:p>
      <w:pPr>
        <w:autoSpaceDE w:val="0"/>
        <w:autoSpaceDN w:val="0"/>
        <w:adjustRightInd w:val="0"/>
        <w:spacing w:line="360" w:lineRule="auto"/>
        <w:rPr>
          <w:rFonts w:hint="eastAsia" w:ascii="宋体" w:hAnsi="宋体"/>
          <w:b/>
          <w:bCs/>
          <w:color w:val="auto"/>
          <w:sz w:val="28"/>
          <w:szCs w:val="28"/>
          <w:highlight w:val="none"/>
        </w:rPr>
      </w:pPr>
      <w:r>
        <w:rPr>
          <w:rFonts w:hint="eastAsia" w:ascii="宋体" w:hAnsi="宋体" w:cs="宋体"/>
          <w:b/>
          <w:bCs/>
          <w:color w:val="auto"/>
          <w:sz w:val="28"/>
          <w:szCs w:val="28"/>
          <w:highlight w:val="none"/>
          <w:lang w:val="zh-CN"/>
        </w:rPr>
        <w:t>说明：</w:t>
      </w:r>
    </w:p>
    <w:p>
      <w:pPr>
        <w:autoSpaceDE w:val="0"/>
        <w:autoSpaceDN w:val="0"/>
        <w:adjustRightInd w:val="0"/>
        <w:spacing w:line="360" w:lineRule="auto"/>
        <w:ind w:firstLine="618" w:firstLineChars="220"/>
        <w:rPr>
          <w:rFonts w:ascii="宋体" w:hAnsi="宋体"/>
          <w:b/>
          <w:bCs/>
          <w:color w:val="auto"/>
          <w:sz w:val="28"/>
          <w:szCs w:val="28"/>
          <w:highlight w:val="none"/>
        </w:rPr>
      </w:pPr>
      <w:r>
        <w:rPr>
          <w:rFonts w:hint="eastAsia" w:ascii="宋体" w:hAnsi="宋体" w:cs="宋体"/>
          <w:b/>
          <w:bCs/>
          <w:color w:val="auto"/>
          <w:sz w:val="28"/>
          <w:szCs w:val="28"/>
          <w:highlight w:val="none"/>
          <w:lang w:val="zh-CN"/>
        </w:rPr>
        <w:t>对本章所有的响应文件格式 ，供应商可根据自身情况进行补充和修改，但补充和修改不得造成与本格式内容有实质性的违背。</w:t>
      </w:r>
    </w:p>
    <w:p>
      <w:pPr>
        <w:spacing w:before="312" w:beforeLines="100" w:after="312" w:afterLines="100" w:line="360" w:lineRule="auto"/>
        <w:jc w:val="center"/>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评分索引表</w:t>
      </w:r>
    </w:p>
    <w:tbl>
      <w:tblPr>
        <w:tblStyle w:val="2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center"/>
              <w:rPr>
                <w:rFonts w:ascii="宋体" w:hAnsi="宋体"/>
                <w:b/>
                <w:bCs/>
                <w:color w:val="auto"/>
                <w:sz w:val="21"/>
                <w:szCs w:val="21"/>
                <w:highlight w:val="none"/>
                <w:lang w:eastAsia="zh-CN"/>
              </w:rPr>
            </w:pPr>
            <w:r>
              <w:rPr>
                <w:rFonts w:hint="eastAsia" w:ascii="宋体" w:hAnsi="宋体"/>
                <w:b/>
                <w:color w:val="auto"/>
                <w:sz w:val="21"/>
                <w:szCs w:val="21"/>
                <w:highlight w:val="none"/>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kern w:val="0"/>
                <w:szCs w:val="21"/>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both"/>
              <w:rPr>
                <w:rFonts w:ascii="宋体" w:hAnsi="宋体"/>
                <w:b/>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both"/>
              <w:rPr>
                <w:rFonts w:ascii="宋体" w:hAns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both"/>
              <w:rPr>
                <w:rFonts w:ascii="宋体" w:hAns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both"/>
              <w:rPr>
                <w:rFonts w:ascii="宋体" w:hAns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b/>
                <w:bCs/>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rPr>
                <w:rFonts w:ascii="宋体" w:hAnsi="宋体"/>
                <w:b/>
                <w:bCs/>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420"/>
              <w:jc w:val="both"/>
              <w:rPr>
                <w:rFonts w:ascii="宋体" w:hAns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47"/>
              <w:shd w:val="clear" w:color="auto" w:fill="FFFFFF"/>
              <w:spacing w:line="360" w:lineRule="auto"/>
              <w:ind w:left="0" w:firstLine="480" w:firstLineChars="200"/>
              <w:rPr>
                <w:rFonts w:ascii="宋体" w:hAnsi="宋体"/>
                <w:color w:val="auto"/>
                <w:szCs w:val="21"/>
                <w:highlight w:val="none"/>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rPr>
                <w:rFonts w:ascii="宋体" w:hAnsi="宋体" w:eastAsia="宋体" w:cs="Times New Roman"/>
                <w:color w:val="auto"/>
                <w:highlight w:val="none"/>
              </w:rPr>
            </w:pPr>
          </w:p>
        </w:tc>
      </w:tr>
    </w:tbl>
    <w:p>
      <w:pPr>
        <w:spacing w:line="360" w:lineRule="auto"/>
        <w:rPr>
          <w:rFonts w:ascii="宋体" w:hAnsi="宋体" w:eastAsia="微软雅黑"/>
          <w:color w:val="auto"/>
          <w:highlight w:val="none"/>
        </w:rPr>
      </w:pPr>
    </w:p>
    <w:p>
      <w:pPr>
        <w:spacing w:after="312" w:afterLines="100" w:line="360" w:lineRule="auto"/>
        <w:jc w:val="center"/>
        <w:rPr>
          <w:rFonts w:ascii="宋体" w:hAnsi="宋体"/>
          <w:b/>
          <w:bCs/>
          <w:color w:val="auto"/>
          <w:kern w:val="0"/>
          <w:szCs w:val="21"/>
          <w:highlight w:val="none"/>
        </w:rPr>
      </w:pPr>
      <w:r>
        <w:rPr>
          <w:rFonts w:hint="eastAsia" w:ascii="宋体" w:hAnsi="宋体"/>
          <w:b/>
          <w:color w:val="auto"/>
          <w:sz w:val="36"/>
          <w:highlight w:val="none"/>
          <w:u w:val="single"/>
        </w:rPr>
        <w:br w:type="page"/>
      </w:r>
      <w:r>
        <w:rPr>
          <w:rFonts w:hint="eastAsia" w:ascii="宋体" w:hAnsi="宋体"/>
          <w:b/>
          <w:bCs/>
          <w:color w:val="auto"/>
          <w:szCs w:val="21"/>
          <w:highlight w:val="none"/>
        </w:rPr>
        <w:t>响应文件主要目录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一、资格性和符合性检查响应对照表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二、资信证明文件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三、谈判响应函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四、谈判响应报价表</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五、分项报价表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六</w:t>
      </w:r>
      <w:r>
        <w:rPr>
          <w:rFonts w:hint="eastAsia" w:ascii="宋体" w:hAnsi="宋体"/>
          <w:color w:val="auto"/>
          <w:szCs w:val="21"/>
          <w:highlight w:val="none"/>
        </w:rPr>
        <w:t>、技术参数响应及偏离表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七</w:t>
      </w:r>
      <w:r>
        <w:rPr>
          <w:rFonts w:hint="eastAsia" w:ascii="宋体" w:hAnsi="宋体"/>
          <w:color w:val="auto"/>
          <w:szCs w:val="21"/>
          <w:highlight w:val="none"/>
        </w:rPr>
        <w:t>、商务条款响应及偏离表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、拟投入人员一览表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 w:val="22"/>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pPr>
    </w:p>
    <w:p>
      <w:pPr>
        <w:spacing w:line="360" w:lineRule="auto"/>
        <w:jc w:val="left"/>
        <w:rPr>
          <w:rFonts w:ascii="宋体" w:hAnsi="宋体"/>
          <w:b/>
          <w:color w:val="auto"/>
          <w:szCs w:val="21"/>
          <w:highlight w:val="none"/>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宋体" w:hAnsi="宋体"/>
          <w:b/>
          <w:color w:val="auto"/>
          <w:szCs w:val="21"/>
          <w:highlight w:val="none"/>
        </w:rPr>
      </w:pPr>
      <w:bookmarkStart w:id="154" w:name="OLE_LINK168"/>
      <w:bookmarkEnd w:id="154"/>
      <w:bookmarkStart w:id="155" w:name="OLE_LINK166"/>
      <w:bookmarkEnd w:id="155"/>
      <w:r>
        <w:rPr>
          <w:rFonts w:hint="eastAsia" w:ascii="宋体" w:hAnsi="宋体"/>
          <w:b/>
          <w:color w:val="auto"/>
          <w:szCs w:val="21"/>
          <w:highlight w:val="none"/>
        </w:rPr>
        <w:t>一、资格性和符合性检查响应对照表</w:t>
      </w:r>
    </w:p>
    <w:p>
      <w:pPr>
        <w:spacing w:line="360" w:lineRule="auto"/>
        <w:ind w:firstLine="309"/>
        <w:rPr>
          <w:rFonts w:ascii="宋体" w:hAnsi="宋体"/>
          <w:color w:val="auto"/>
          <w:szCs w:val="21"/>
          <w:highlight w:val="none"/>
        </w:rPr>
      </w:pPr>
      <w:r>
        <w:rPr>
          <w:rFonts w:hint="eastAsia" w:ascii="宋体" w:hAnsi="宋体"/>
          <w:color w:val="auto"/>
          <w:szCs w:val="21"/>
          <w:highlight w:val="none"/>
        </w:rPr>
        <w:t>谈判供应商全称（加盖公章）：</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29"/>
        <w:gridCol w:w="18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5129" w:type="dxa"/>
            <w:noWrap w:val="0"/>
            <w:vAlign w:val="center"/>
          </w:tcPr>
          <w:p>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资格和符合性检查响应内容</w:t>
            </w:r>
          </w:p>
        </w:tc>
        <w:tc>
          <w:tcPr>
            <w:tcW w:w="1845" w:type="dxa"/>
            <w:noWrap w:val="0"/>
            <w:vAlign w:val="center"/>
          </w:tcPr>
          <w:p>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是否响应</w:t>
            </w:r>
          </w:p>
          <w:p>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（填是或者否）</w:t>
            </w:r>
          </w:p>
        </w:tc>
        <w:tc>
          <w:tcPr>
            <w:tcW w:w="1575" w:type="dxa"/>
            <w:noWrap w:val="0"/>
            <w:vAlign w:val="center"/>
          </w:tcPr>
          <w:p>
            <w:pPr>
              <w:snapToGri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p>
        </w:tc>
        <w:tc>
          <w:tcPr>
            <w:tcW w:w="5129" w:type="dxa"/>
            <w:noWrap w:val="0"/>
            <w:vAlign w:val="center"/>
          </w:tcPr>
          <w:p>
            <w:pPr>
              <w:spacing w:line="360" w:lineRule="auto"/>
              <w:rPr>
                <w:rFonts w:ascii="宋体" w:hAnsi="宋体" w:eastAsia="宋体" w:cs="Times New Roman"/>
                <w:i/>
                <w:iCs/>
                <w:color w:val="auto"/>
                <w:szCs w:val="21"/>
                <w:highlight w:val="none"/>
                <w:u w:val="single"/>
              </w:rPr>
            </w:pP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2</w:t>
            </w:r>
          </w:p>
        </w:tc>
        <w:tc>
          <w:tcPr>
            <w:tcW w:w="5129" w:type="dxa"/>
            <w:noWrap w:val="0"/>
            <w:vAlign w:val="center"/>
          </w:tcPr>
          <w:p>
            <w:pPr>
              <w:spacing w:line="360" w:lineRule="auto"/>
              <w:rPr>
                <w:rFonts w:ascii="宋体" w:hAnsi="宋体" w:eastAsia="宋体" w:cs="Times New Roman"/>
                <w:i/>
                <w:iCs/>
                <w:color w:val="auto"/>
                <w:szCs w:val="21"/>
                <w:highlight w:val="none"/>
                <w:u w:val="single"/>
              </w:rPr>
            </w:pP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3</w:t>
            </w:r>
          </w:p>
        </w:tc>
        <w:tc>
          <w:tcPr>
            <w:tcW w:w="5129" w:type="dxa"/>
            <w:noWrap w:val="0"/>
            <w:vAlign w:val="center"/>
          </w:tcPr>
          <w:p>
            <w:pPr>
              <w:spacing w:line="360" w:lineRule="auto"/>
              <w:rPr>
                <w:rFonts w:ascii="宋体" w:hAnsi="宋体" w:eastAsia="宋体" w:cs="Times New Roman"/>
                <w:i/>
                <w:iCs/>
                <w:color w:val="auto"/>
                <w:szCs w:val="21"/>
                <w:highlight w:val="none"/>
                <w:u w:val="single"/>
              </w:rPr>
            </w:pP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4</w:t>
            </w:r>
          </w:p>
        </w:tc>
        <w:tc>
          <w:tcPr>
            <w:tcW w:w="5129" w:type="dxa"/>
            <w:noWrap w:val="0"/>
            <w:vAlign w:val="center"/>
          </w:tcPr>
          <w:p>
            <w:pPr>
              <w:spacing w:line="360" w:lineRule="auto"/>
              <w:rPr>
                <w:rFonts w:ascii="宋体" w:hAnsi="宋体" w:eastAsia="宋体" w:cs="Times New Roman"/>
                <w:i/>
                <w:iCs/>
                <w:color w:val="auto"/>
                <w:szCs w:val="21"/>
                <w:highlight w:val="none"/>
                <w:u w:val="single"/>
              </w:rPr>
            </w:pP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5</w:t>
            </w:r>
          </w:p>
        </w:tc>
        <w:tc>
          <w:tcPr>
            <w:tcW w:w="5129" w:type="dxa"/>
            <w:noWrap w:val="0"/>
            <w:vAlign w:val="center"/>
          </w:tcPr>
          <w:p>
            <w:pPr>
              <w:snapToGrid w:val="0"/>
              <w:spacing w:line="360" w:lineRule="auto"/>
              <w:rPr>
                <w:rFonts w:ascii="宋体" w:hAnsi="宋体" w:eastAsia="宋体" w:cs="Times New Roman"/>
                <w:i/>
                <w:iCs/>
                <w:color w:val="auto"/>
                <w:szCs w:val="21"/>
                <w:highlight w:val="none"/>
                <w:u w:val="single"/>
              </w:rPr>
            </w:pP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p>
        </w:tc>
        <w:tc>
          <w:tcPr>
            <w:tcW w:w="5129" w:type="dxa"/>
            <w:noWrap w:val="0"/>
            <w:vAlign w:val="center"/>
          </w:tcPr>
          <w:p>
            <w:pPr>
              <w:snapToGrid w:val="0"/>
              <w:spacing w:line="360" w:lineRule="auto"/>
              <w:jc w:val="center"/>
              <w:rPr>
                <w:rFonts w:hint="eastAsia" w:ascii="宋体" w:hAnsi="宋体" w:eastAsia="宋体" w:cs="Times New Roman"/>
                <w:i/>
                <w:iCs/>
                <w:color w:val="auto"/>
                <w:szCs w:val="21"/>
                <w:highlight w:val="none"/>
                <w:u w:val="single"/>
              </w:rPr>
            </w:pPr>
            <w:r>
              <w:rPr>
                <w:rFonts w:hint="eastAsia" w:ascii="宋体" w:hAnsi="宋体" w:eastAsia="宋体" w:cs="Times New Roman"/>
                <w:i/>
                <w:iCs/>
                <w:color w:val="auto"/>
                <w:szCs w:val="21"/>
                <w:highlight w:val="none"/>
              </w:rPr>
              <w:t>...</w:t>
            </w: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noWrap w:val="0"/>
            <w:vAlign w:val="center"/>
          </w:tcPr>
          <w:p>
            <w:pPr>
              <w:spacing w:line="360" w:lineRule="auto"/>
              <w:rPr>
                <w:rFonts w:ascii="宋体" w:hAnsi="宋体" w:eastAsia="宋体" w:cs="Times New Roman"/>
                <w:i/>
                <w:color w:val="auto"/>
                <w:szCs w:val="21"/>
                <w:highlight w:val="none"/>
                <w:u w:val="single"/>
              </w:rPr>
            </w:pPr>
          </w:p>
        </w:tc>
        <w:tc>
          <w:tcPr>
            <w:tcW w:w="5129" w:type="dxa"/>
            <w:noWrap w:val="0"/>
            <w:vAlign w:val="center"/>
          </w:tcPr>
          <w:p>
            <w:pPr>
              <w:snapToGrid w:val="0"/>
              <w:spacing w:line="360" w:lineRule="auto"/>
              <w:rPr>
                <w:rFonts w:ascii="宋体" w:hAnsi="宋体" w:eastAsia="宋体" w:cs="Times New Roman"/>
                <w:i/>
                <w:iCs/>
                <w:color w:val="auto"/>
                <w:szCs w:val="21"/>
                <w:highlight w:val="none"/>
                <w:u w:val="single"/>
              </w:rPr>
            </w:pPr>
            <w:r>
              <w:rPr>
                <w:rFonts w:hint="eastAsia" w:ascii="宋体" w:hAnsi="宋体" w:eastAsia="宋体" w:cs="Times New Roman"/>
                <w:i/>
                <w:iCs/>
                <w:color w:val="auto"/>
                <w:szCs w:val="21"/>
                <w:highlight w:val="none"/>
                <w:u w:val="single"/>
              </w:rPr>
              <w:t>谈判文件中的其他实质性要求</w:t>
            </w:r>
          </w:p>
        </w:tc>
        <w:tc>
          <w:tcPr>
            <w:tcW w:w="1845" w:type="dxa"/>
            <w:noWrap w:val="0"/>
            <w:vAlign w:val="center"/>
          </w:tcPr>
          <w:p>
            <w:pPr>
              <w:spacing w:line="360" w:lineRule="auto"/>
              <w:rPr>
                <w:rFonts w:ascii="宋体" w:hAnsi="宋体" w:eastAsia="宋体" w:cs="Times New Roman"/>
                <w:color w:val="auto"/>
                <w:szCs w:val="21"/>
                <w:highlight w:val="none"/>
              </w:rPr>
            </w:pPr>
          </w:p>
        </w:tc>
        <w:tc>
          <w:tcPr>
            <w:tcW w:w="1575" w:type="dxa"/>
            <w:noWrap w:val="0"/>
            <w:vAlign w:val="center"/>
          </w:tcPr>
          <w:p>
            <w:pPr>
              <w:spacing w:line="360" w:lineRule="auto"/>
              <w:rPr>
                <w:rFonts w:ascii="宋体" w:hAnsi="宋体" w:eastAsia="宋体" w:cs="Times New Roman"/>
                <w:color w:val="auto"/>
                <w:szCs w:val="21"/>
                <w:highlight w:val="none"/>
              </w:rPr>
            </w:pPr>
          </w:p>
        </w:tc>
      </w:tr>
    </w:tbl>
    <w:p>
      <w:pPr>
        <w:spacing w:before="50" w:after="50" w:line="360" w:lineRule="auto"/>
        <w:rPr>
          <w:rFonts w:ascii="黑体" w:eastAsia="黑体"/>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hint="eastAsia" w:ascii="宋体" w:hAnsi="宋体"/>
          <w:b/>
          <w:color w:val="auto"/>
          <w:szCs w:val="21"/>
          <w:highlight w:val="none"/>
        </w:rPr>
      </w:pPr>
    </w:p>
    <w:p>
      <w:pPr>
        <w:spacing w:line="360" w:lineRule="auto"/>
        <w:jc w:val="center"/>
        <w:rPr>
          <w:rFonts w:hint="eastAsia" w:ascii="宋体" w:hAnsi="宋体"/>
          <w:b/>
          <w:color w:val="auto"/>
          <w:szCs w:val="21"/>
          <w:highlight w:val="none"/>
        </w:rPr>
      </w:pPr>
    </w:p>
    <w:p>
      <w:pPr>
        <w:spacing w:line="360" w:lineRule="auto"/>
        <w:jc w:val="center"/>
        <w:rPr>
          <w:rFonts w:hint="eastAsia"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二、资信证明文件</w:t>
      </w:r>
    </w:p>
    <w:p>
      <w:pPr>
        <w:snapToGrid w:val="0"/>
        <w:spacing w:before="50" w:after="50"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1、实质性资格证明文件目录</w:t>
      </w:r>
    </w:p>
    <w:p>
      <w:pPr>
        <w:spacing w:line="360" w:lineRule="auto"/>
        <w:ind w:firstLine="396" w:firstLineChars="200"/>
        <w:rPr>
          <w:rFonts w:hint="eastAsia"/>
          <w:color w:val="auto"/>
          <w:highlight w:val="none"/>
        </w:rPr>
      </w:pPr>
      <w:r>
        <w:rPr>
          <w:rFonts w:hint="eastAsia" w:ascii="宋体" w:hAnsi="宋体" w:cs="Arial"/>
          <w:color w:val="auto"/>
          <w:spacing w:val="-6"/>
          <w:szCs w:val="21"/>
          <w:highlight w:val="none"/>
        </w:rPr>
        <w:t>（一）</w:t>
      </w:r>
      <w:r>
        <w:rPr>
          <w:rFonts w:ascii="宋体" w:hAnsi="宋体" w:cs="Arial"/>
          <w:color w:val="auto"/>
          <w:spacing w:val="-6"/>
          <w:szCs w:val="21"/>
          <w:highlight w:val="none"/>
        </w:rPr>
        <w:t>符合</w:t>
      </w:r>
      <w:r>
        <w:rPr>
          <w:rFonts w:hint="eastAsia" w:ascii="宋体" w:hAnsi="宋体" w:cs="Arial"/>
          <w:color w:val="auto"/>
          <w:spacing w:val="-6"/>
          <w:szCs w:val="21"/>
          <w:highlight w:val="none"/>
        </w:rPr>
        <w:t>相关法律法规</w:t>
      </w:r>
      <w:r>
        <w:rPr>
          <w:rFonts w:ascii="宋体" w:hAnsi="宋体" w:cs="Arial"/>
          <w:color w:val="auto"/>
          <w:spacing w:val="-6"/>
          <w:szCs w:val="21"/>
          <w:highlight w:val="none"/>
        </w:rPr>
        <w:t>规定</w:t>
      </w:r>
      <w:r>
        <w:rPr>
          <w:rFonts w:hint="eastAsia" w:ascii="宋体" w:hAnsi="宋体" w:cs="Arial"/>
          <w:color w:val="auto"/>
          <w:spacing w:val="-6"/>
          <w:szCs w:val="21"/>
          <w:highlight w:val="none"/>
        </w:rPr>
        <w:t>的条件，并提供下列材料：</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1 谈判响应函</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2 资格声明</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3</w:t>
      </w:r>
      <w:r>
        <w:rPr>
          <w:rFonts w:hint="eastAsia" w:ascii="宋体" w:hAnsi="宋体"/>
          <w:i/>
          <w:iCs/>
          <w:color w:val="auto"/>
          <w:highlight w:val="none"/>
          <w:u w:val="single"/>
        </w:rPr>
        <w:t>若法定代表人参加谈判的，须提供本人身份证复印件</w:t>
      </w:r>
      <w:r>
        <w:rPr>
          <w:rFonts w:hint="eastAsia" w:ascii="宋体" w:hAnsi="宋体"/>
          <w:b/>
          <w:i/>
          <w:iCs/>
          <w:color w:val="auto"/>
          <w:highlight w:val="none"/>
          <w:u w:val="single"/>
        </w:rPr>
        <w:t>(原件备查)</w:t>
      </w:r>
      <w:r>
        <w:rPr>
          <w:rFonts w:hint="eastAsia" w:ascii="宋体" w:hAnsi="宋体"/>
          <w:i/>
          <w:iCs/>
          <w:color w:val="auto"/>
          <w:highlight w:val="none"/>
          <w:u w:val="single"/>
        </w:rPr>
        <w:t>；若授权代表参加的，须提供《法人授权书》原件和被授权代表身份证复印件</w:t>
      </w:r>
      <w:r>
        <w:rPr>
          <w:rFonts w:hint="eastAsia" w:ascii="宋体" w:hAnsi="宋体"/>
          <w:b/>
          <w:i/>
          <w:iCs/>
          <w:color w:val="auto"/>
          <w:highlight w:val="none"/>
          <w:u w:val="single"/>
        </w:rPr>
        <w:t>（原件备查）</w:t>
      </w:r>
      <w:r>
        <w:rPr>
          <w:rFonts w:ascii="宋体" w:hAnsi="宋体"/>
          <w:i/>
          <w:iCs/>
          <w:color w:val="auto"/>
          <w:szCs w:val="21"/>
          <w:highlight w:val="none"/>
          <w:u w:val="single"/>
        </w:rPr>
        <w:t xml:space="preserve">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4 营业执照副本或民办非企业单位登记证书或事业单位法人证书等相关身份证明材料</w:t>
      </w:r>
      <w:r>
        <w:rPr>
          <w:rFonts w:hint="eastAsia" w:ascii="宋体" w:hAnsi="宋体"/>
          <w:b/>
          <w:i/>
          <w:iCs/>
          <w:color w:val="auto"/>
          <w:szCs w:val="21"/>
          <w:highlight w:val="none"/>
          <w:u w:val="single"/>
        </w:rPr>
        <w:t xml:space="preserve">(复印件加盖供应商公章)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5 依法缴纳职工社会保障资金的证明材料</w:t>
      </w:r>
      <w:r>
        <w:rPr>
          <w:rFonts w:hint="eastAsia" w:ascii="宋体" w:hAnsi="宋体"/>
          <w:b/>
          <w:i/>
          <w:iCs/>
          <w:color w:val="auto"/>
          <w:szCs w:val="21"/>
          <w:highlight w:val="none"/>
          <w:u w:val="single"/>
        </w:rPr>
        <w:t>(复印件加盖供应商公章)(税务、银行或社会保险基金管理部门出具的2023年1</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月-202</w:t>
      </w:r>
      <w:r>
        <w:rPr>
          <w:rFonts w:hint="eastAsia" w:ascii="宋体" w:hAnsi="宋体"/>
          <w:b/>
          <w:i/>
          <w:iCs/>
          <w:color w:val="auto"/>
          <w:szCs w:val="21"/>
          <w:highlight w:val="none"/>
          <w:u w:val="single"/>
          <w:lang w:val="en-US" w:eastAsia="zh-CN"/>
        </w:rPr>
        <w:t>4</w:t>
      </w:r>
      <w:r>
        <w:rPr>
          <w:rFonts w:hint="eastAsia" w:ascii="宋体" w:hAnsi="宋体"/>
          <w:b/>
          <w:i/>
          <w:iCs/>
          <w:color w:val="auto"/>
          <w:szCs w:val="21"/>
          <w:highlight w:val="none"/>
          <w:u w:val="single"/>
        </w:rPr>
        <w:t>年</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月三个月内任意一份缴纳职工社会保障资金的缴款凭证或缴款证明)</w:t>
      </w:r>
    </w:p>
    <w:p>
      <w:pPr>
        <w:spacing w:line="360" w:lineRule="auto"/>
        <w:ind w:firstLine="525" w:firstLineChars="250"/>
        <w:rPr>
          <w:rFonts w:ascii="宋体" w:hAnsi="宋体"/>
          <w:b/>
          <w:i/>
          <w:iCs/>
          <w:color w:val="auto"/>
          <w:szCs w:val="21"/>
          <w:highlight w:val="none"/>
          <w:u w:val="single"/>
        </w:rPr>
      </w:pPr>
      <w:r>
        <w:rPr>
          <w:rFonts w:hint="eastAsia" w:ascii="宋体" w:hAnsi="宋体"/>
          <w:i/>
          <w:iCs/>
          <w:color w:val="auto"/>
          <w:szCs w:val="21"/>
          <w:highlight w:val="none"/>
          <w:u w:val="single"/>
        </w:rPr>
        <w:t>6 供应商</w:t>
      </w:r>
      <w:r>
        <w:rPr>
          <w:rFonts w:hint="eastAsia" w:ascii="宋体" w:hAnsi="宋体"/>
          <w:b/>
          <w:i/>
          <w:iCs/>
          <w:color w:val="auto"/>
          <w:szCs w:val="21"/>
          <w:highlight w:val="none"/>
          <w:u w:val="single"/>
        </w:rPr>
        <w:t>2023年1</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月-202</w:t>
      </w:r>
      <w:r>
        <w:rPr>
          <w:rFonts w:hint="eastAsia" w:ascii="宋体" w:hAnsi="宋体"/>
          <w:b/>
          <w:i/>
          <w:iCs/>
          <w:color w:val="auto"/>
          <w:szCs w:val="21"/>
          <w:highlight w:val="none"/>
          <w:u w:val="single"/>
          <w:lang w:val="en-US" w:eastAsia="zh-CN"/>
        </w:rPr>
        <w:t>4</w:t>
      </w:r>
      <w:r>
        <w:rPr>
          <w:rFonts w:hint="eastAsia" w:ascii="宋体" w:hAnsi="宋体"/>
          <w:b/>
          <w:i/>
          <w:iCs/>
          <w:color w:val="auto"/>
          <w:szCs w:val="21"/>
          <w:highlight w:val="none"/>
          <w:u w:val="single"/>
        </w:rPr>
        <w:t>年</w:t>
      </w:r>
      <w:r>
        <w:rPr>
          <w:rFonts w:hint="eastAsia" w:ascii="宋体" w:hAnsi="宋体"/>
          <w:b/>
          <w:i/>
          <w:iCs/>
          <w:color w:val="auto"/>
          <w:szCs w:val="21"/>
          <w:highlight w:val="none"/>
          <w:u w:val="single"/>
          <w:lang w:val="en-US" w:eastAsia="zh-CN"/>
        </w:rPr>
        <w:t>2</w:t>
      </w:r>
      <w:r>
        <w:rPr>
          <w:rFonts w:hint="eastAsia" w:ascii="宋体" w:hAnsi="宋体"/>
          <w:b/>
          <w:i/>
          <w:iCs/>
          <w:color w:val="auto"/>
          <w:szCs w:val="21"/>
          <w:highlight w:val="none"/>
          <w:u w:val="single"/>
        </w:rPr>
        <w:t>月</w:t>
      </w:r>
      <w:r>
        <w:rPr>
          <w:rFonts w:hint="eastAsia" w:ascii="宋体" w:hAnsi="宋体"/>
          <w:i/>
          <w:iCs/>
          <w:color w:val="auto"/>
          <w:szCs w:val="21"/>
          <w:highlight w:val="none"/>
          <w:u w:val="single"/>
        </w:rPr>
        <w:t>三个月内任意一份依法纳税的缴款凭证</w:t>
      </w:r>
      <w:r>
        <w:rPr>
          <w:rFonts w:hint="eastAsia" w:ascii="宋体" w:hAnsi="宋体"/>
          <w:b/>
          <w:i/>
          <w:iCs/>
          <w:color w:val="auto"/>
          <w:szCs w:val="21"/>
          <w:highlight w:val="none"/>
          <w:u w:val="single"/>
        </w:rPr>
        <w:t>(复印件加盖供应商公章)</w:t>
      </w:r>
    </w:p>
    <w:p>
      <w:pPr>
        <w:spacing w:line="360" w:lineRule="auto"/>
        <w:ind w:firstLine="525" w:firstLineChars="250"/>
        <w:jc w:val="left"/>
        <w:rPr>
          <w:rFonts w:ascii="宋体" w:hAnsi="宋体"/>
          <w:i/>
          <w:iCs/>
          <w:color w:val="auto"/>
          <w:szCs w:val="21"/>
          <w:highlight w:val="none"/>
          <w:u w:val="single"/>
        </w:rPr>
      </w:pPr>
      <w:r>
        <w:rPr>
          <w:rFonts w:hint="eastAsia" w:ascii="宋体" w:hAnsi="宋体"/>
          <w:i/>
          <w:iCs/>
          <w:color w:val="auto"/>
          <w:szCs w:val="21"/>
          <w:highlight w:val="none"/>
          <w:u w:val="single"/>
        </w:rPr>
        <w:t>7 与第（6）条相对应的纳税申报表或经会计师事务所审计的2022年度财务报告</w:t>
      </w:r>
      <w:r>
        <w:rPr>
          <w:rFonts w:hint="eastAsia" w:ascii="宋体" w:hAnsi="宋体"/>
          <w:b/>
          <w:i/>
          <w:iCs/>
          <w:color w:val="auto"/>
          <w:szCs w:val="21"/>
          <w:highlight w:val="none"/>
          <w:u w:val="single"/>
        </w:rPr>
        <w:t xml:space="preserve"> (复印件加盖供应商公章)</w:t>
      </w:r>
    </w:p>
    <w:p>
      <w:pPr>
        <w:spacing w:line="360" w:lineRule="auto"/>
        <w:ind w:firstLine="420" w:firstLineChars="200"/>
        <w:jc w:val="left"/>
        <w:rPr>
          <w:rFonts w:hint="eastAsia" w:ascii="宋体" w:hAnsi="宋体"/>
          <w:b/>
          <w:bCs/>
          <w:i/>
          <w:iCs/>
          <w:color w:val="auto"/>
          <w:szCs w:val="21"/>
          <w:highlight w:val="none"/>
          <w:u w:val="single"/>
        </w:rPr>
      </w:pPr>
      <w:r>
        <w:rPr>
          <w:rFonts w:hint="eastAsia" w:ascii="宋体" w:hAnsi="宋体"/>
          <w:i/>
          <w:iCs/>
          <w:color w:val="auto"/>
          <w:szCs w:val="21"/>
          <w:highlight w:val="none"/>
          <w:u w:val="single"/>
        </w:rPr>
        <w:t>8 供应商参加本次采购活动前3年内在经营活动中没有重大违法记录的书面声明</w:t>
      </w:r>
      <w:r>
        <w:rPr>
          <w:rFonts w:hint="eastAsia" w:ascii="宋体" w:hAnsi="宋体"/>
          <w:b/>
          <w:bCs/>
          <w:i/>
          <w:iCs/>
          <w:color w:val="auto"/>
          <w:szCs w:val="21"/>
          <w:highlight w:val="none"/>
          <w:u w:val="single"/>
        </w:rPr>
        <w:t>（原件）</w:t>
      </w:r>
    </w:p>
    <w:p>
      <w:pPr>
        <w:spacing w:line="360" w:lineRule="auto"/>
        <w:ind w:firstLine="420" w:firstLineChars="200"/>
        <w:jc w:val="left"/>
        <w:rPr>
          <w:rFonts w:hint="eastAsia" w:ascii="宋体" w:hAnsi="宋体" w:eastAsia="宋体"/>
          <w:i/>
          <w:iCs/>
          <w:color w:val="auto"/>
          <w:szCs w:val="21"/>
          <w:highlight w:val="none"/>
          <w:u w:val="single"/>
          <w:lang w:eastAsia="zh-CN"/>
        </w:rPr>
      </w:pPr>
      <w:r>
        <w:rPr>
          <w:rFonts w:hint="eastAsia" w:ascii="宋体" w:hAnsi="宋体"/>
          <w:i/>
          <w:iCs/>
          <w:color w:val="auto"/>
          <w:szCs w:val="21"/>
          <w:highlight w:val="none"/>
          <w:u w:val="single"/>
        </w:rPr>
        <w:t>9、采购人根据本项目要求规定的特定条件：</w:t>
      </w:r>
      <w:r>
        <w:rPr>
          <w:rFonts w:hint="eastAsia" w:ascii="宋体" w:hAnsi="宋体"/>
          <w:i/>
          <w:iCs/>
          <w:color w:val="auto"/>
          <w:szCs w:val="21"/>
          <w:highlight w:val="none"/>
          <w:u w:val="single"/>
          <w:lang w:eastAsia="zh-CN"/>
        </w:rPr>
        <w:t>无</w:t>
      </w:r>
    </w:p>
    <w:p>
      <w:pPr>
        <w:spacing w:line="360" w:lineRule="auto"/>
        <w:ind w:firstLine="422" w:firstLineChars="200"/>
        <w:jc w:val="left"/>
        <w:rPr>
          <w:rFonts w:hint="eastAsia" w:ascii="宋体" w:hAnsi="宋体"/>
          <w:b/>
          <w:bCs/>
          <w:i/>
          <w:iCs/>
          <w:color w:val="auto"/>
          <w:szCs w:val="21"/>
          <w:highlight w:val="none"/>
          <w:u w:val="single"/>
        </w:rPr>
      </w:pPr>
    </w:p>
    <w:p>
      <w:pPr>
        <w:pStyle w:val="62"/>
        <w:spacing w:line="360" w:lineRule="auto"/>
        <w:ind w:firstLine="562"/>
        <w:jc w:val="center"/>
        <w:rPr>
          <w:rFonts w:ascii="宋体" w:hAnsi="宋体"/>
          <w:b/>
          <w:color w:val="auto"/>
          <w:sz w:val="21"/>
          <w:szCs w:val="21"/>
          <w:highlight w:val="none"/>
        </w:rPr>
      </w:pPr>
      <w:r>
        <w:rPr>
          <w:rFonts w:hint="eastAsia" w:ascii="宋体" w:hAnsi="宋体"/>
          <w:b/>
          <w:bCs/>
          <w:color w:val="auto"/>
          <w:szCs w:val="21"/>
          <w:highlight w:val="none"/>
        </w:rPr>
        <w:t>若供应商为事业单位等非企业法人，则5、6、7项无需提供。</w:t>
      </w:r>
      <w:r>
        <w:rPr>
          <w:rFonts w:hint="eastAsia" w:ascii="宋体" w:hAnsi="宋体"/>
          <w:b/>
          <w:bCs/>
          <w:color w:val="auto"/>
          <w:sz w:val="21"/>
          <w:szCs w:val="21"/>
          <w:highlight w:val="none"/>
        </w:rPr>
        <w:br w:type="page"/>
      </w:r>
      <w:r>
        <w:rPr>
          <w:rFonts w:hint="eastAsia" w:ascii="宋体" w:hAnsi="宋体"/>
          <w:b/>
          <w:bCs/>
          <w:color w:val="auto"/>
          <w:sz w:val="21"/>
          <w:szCs w:val="21"/>
          <w:highlight w:val="none"/>
        </w:rPr>
        <w:t>法人</w:t>
      </w:r>
      <w:r>
        <w:rPr>
          <w:rFonts w:hint="eastAsia" w:ascii="宋体" w:hAnsi="宋体"/>
          <w:b/>
          <w:color w:val="auto"/>
          <w:sz w:val="21"/>
          <w:szCs w:val="21"/>
          <w:highlight w:val="none"/>
        </w:rPr>
        <w:t>授权书</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本授权书声明：____________（供应商名称）授权________________（被授权人的姓名）为我方就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号项目采购活动的合法代理人，以本公司名义全权处理一切与该项目采购有关的事务。</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本授权书于______年____月____日起生效，特此声明。</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代理人（被授权人）：_______________________</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单位名称：_____________________________________</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授权单位盖章：_________________________________</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单位名称：_____________________________________</w:t>
      </w:r>
    </w:p>
    <w:p>
      <w:pPr>
        <w:pStyle w:val="62"/>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日期：</w:t>
      </w:r>
      <w:bookmarkStart w:id="156" w:name="_格式3__银行出具的资信证明"/>
      <w:bookmarkEnd w:id="156"/>
      <w:bookmarkStart w:id="157" w:name="_Hlt26955070"/>
      <w:bookmarkEnd w:id="157"/>
      <w:bookmarkStart w:id="158" w:name="_Hlt26671380"/>
      <w:bookmarkEnd w:id="158"/>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360" w:lineRule="auto"/>
        <w:rPr>
          <w:rFonts w:hint="eastAsia"/>
          <w:color w:val="auto"/>
          <w:highlight w:val="none"/>
        </w:rPr>
      </w:pPr>
      <w:r>
        <w:rPr>
          <w:rFonts w:hint="eastAsia"/>
          <w:color w:val="auto"/>
          <w:highlight w:val="none"/>
        </w:rPr>
        <w:t>授权代表身份证复印件</w:t>
      </w: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ab/>
      </w:r>
    </w:p>
    <w:p>
      <w:pPr>
        <w:pStyle w:val="62"/>
        <w:spacing w:line="360" w:lineRule="auto"/>
        <w:ind w:firstLine="801" w:firstLineChars="380"/>
        <w:rPr>
          <w:rFonts w:ascii="宋体" w:hAnsi="宋体"/>
          <w:color w:val="auto"/>
          <w:sz w:val="21"/>
          <w:szCs w:val="21"/>
          <w:highlight w:val="none"/>
        </w:rPr>
      </w:pPr>
      <w:r>
        <w:rPr>
          <w:rFonts w:hint="eastAsia" w:ascii="宋体" w:hAnsi="宋体"/>
          <w:b/>
          <w:color w:val="auto"/>
          <w:sz w:val="21"/>
          <w:szCs w:val="21"/>
          <w:highlight w:val="none"/>
        </w:rPr>
        <w:t>参加采购活动前 3 年内在经营活动中没有重大违法记录的书面声明</w:t>
      </w:r>
    </w:p>
    <w:p>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                          </w:t>
      </w:r>
    </w:p>
    <w:p>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                              声  明   </w:t>
      </w:r>
    </w:p>
    <w:p>
      <w:pPr>
        <w:spacing w:line="360" w:lineRule="auto"/>
        <w:rPr>
          <w:rFonts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w:t>
      </w:r>
    </w:p>
    <w:p>
      <w:pPr>
        <w:spacing w:line="360" w:lineRule="auto"/>
        <w:ind w:firstLine="4410" w:firstLineChars="2100"/>
        <w:rPr>
          <w:rFonts w:ascii="宋体" w:hAnsi="宋体"/>
          <w:bCs/>
          <w:color w:val="auto"/>
          <w:szCs w:val="21"/>
          <w:highlight w:val="none"/>
        </w:rPr>
      </w:pPr>
      <w:r>
        <w:rPr>
          <w:rFonts w:hint="eastAsia" w:ascii="宋体" w:hAnsi="宋体"/>
          <w:bCs/>
          <w:color w:val="auto"/>
          <w:szCs w:val="21"/>
          <w:highlight w:val="none"/>
        </w:rPr>
        <w:t>供应商名称（公章）：</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法定代表人或授权代表签字：</w:t>
      </w:r>
      <w:r>
        <w:rPr>
          <w:rFonts w:hint="eastAsia" w:ascii="宋体" w:hAnsi="宋体"/>
          <w:bCs/>
          <w:color w:val="auto"/>
          <w:szCs w:val="21"/>
          <w:highlight w:val="none"/>
          <w:u w:val="single"/>
        </w:rPr>
        <w:t>______</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日期：</w:t>
      </w:r>
      <w:r>
        <w:rPr>
          <w:rFonts w:hint="eastAsia" w:ascii="宋体" w:hAnsi="宋体"/>
          <w:bCs/>
          <w:color w:val="auto"/>
          <w:szCs w:val="21"/>
          <w:highlight w:val="none"/>
          <w:u w:val="single"/>
        </w:rPr>
        <w:t>______</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360" w:lineRule="auto"/>
        <w:jc w:val="center"/>
        <w:rPr>
          <w:rFonts w:ascii="宋体" w:hAnsi="宋体"/>
          <w:b/>
          <w:bCs/>
          <w:color w:val="auto"/>
          <w:szCs w:val="21"/>
          <w:highlight w:val="none"/>
        </w:rPr>
      </w:pPr>
      <w:r>
        <w:rPr>
          <w:rFonts w:hint="eastAsia" w:ascii="黑体" w:hAnsi="黑体" w:eastAsia="黑体"/>
          <w:b/>
          <w:color w:val="auto"/>
          <w:sz w:val="32"/>
          <w:szCs w:val="32"/>
          <w:highlight w:val="none"/>
        </w:rPr>
        <w:br w:type="page"/>
      </w:r>
      <w:r>
        <w:rPr>
          <w:rFonts w:hint="eastAsia" w:ascii="宋体" w:hAnsi="宋体"/>
          <w:b/>
          <w:bCs/>
          <w:color w:val="auto"/>
          <w:szCs w:val="21"/>
          <w:highlight w:val="none"/>
        </w:rPr>
        <w:t>资 格 声 明</w:t>
      </w:r>
    </w:p>
    <w:p>
      <w:pPr>
        <w:spacing w:line="360" w:lineRule="auto"/>
        <w:rPr>
          <w:rFonts w:ascii="宋体" w:hAnsi="宋体"/>
          <w:color w:val="auto"/>
          <w:szCs w:val="21"/>
          <w:highlight w:val="none"/>
        </w:rPr>
      </w:pPr>
      <w:r>
        <w:rPr>
          <w:rFonts w:hint="eastAsia" w:ascii="宋体" w:hAnsi="宋体"/>
          <w:color w:val="auto"/>
          <w:szCs w:val="21"/>
          <w:highlight w:val="none"/>
        </w:rPr>
        <w:t>1、名称及其它情况：</w:t>
      </w:r>
    </w:p>
    <w:p>
      <w:pPr>
        <w:spacing w:line="360" w:lineRule="auto"/>
        <w:rPr>
          <w:rFonts w:ascii="宋体" w:hAnsi="宋体"/>
          <w:color w:val="auto"/>
          <w:szCs w:val="21"/>
          <w:highlight w:val="none"/>
        </w:rPr>
      </w:pPr>
      <w:r>
        <w:rPr>
          <w:rFonts w:hint="eastAsia" w:ascii="宋体" w:hAnsi="宋体"/>
          <w:color w:val="auto"/>
          <w:szCs w:val="21"/>
          <w:highlight w:val="none"/>
        </w:rPr>
        <w:t>（1）供应商名称：</w:t>
      </w:r>
      <w:r>
        <w:rPr>
          <w:rFonts w:hint="eastAsia" w:ascii="宋体" w:hAnsi="宋体"/>
          <w:color w:val="auto"/>
          <w:szCs w:val="21"/>
          <w:highlight w:val="none"/>
          <w:u w:val="single"/>
        </w:rPr>
        <w:t xml:space="preserve">                            </w:t>
      </w:r>
    </w:p>
    <w:p>
      <w:pPr>
        <w:tabs>
          <w:tab w:val="left" w:pos="4530"/>
        </w:tabs>
        <w:spacing w:line="360" w:lineRule="auto"/>
        <w:rPr>
          <w:rFonts w:ascii="宋体" w:hAnsi="宋体"/>
          <w:color w:val="auto"/>
          <w:szCs w:val="21"/>
          <w:highlight w:val="none"/>
        </w:rPr>
      </w:pPr>
      <w:r>
        <w:rPr>
          <w:rFonts w:hint="eastAsia" w:ascii="宋体" w:hAnsi="宋体"/>
          <w:color w:val="auto"/>
          <w:szCs w:val="21"/>
          <w:highlight w:val="none"/>
        </w:rPr>
        <w:t>（2）地址：</w:t>
      </w:r>
      <w:r>
        <w:rPr>
          <w:rFonts w:hint="eastAsia" w:ascii="宋体" w:hAnsi="宋体"/>
          <w:color w:val="auto"/>
          <w:szCs w:val="21"/>
          <w:highlight w:val="none"/>
          <w:u w:val="single"/>
        </w:rPr>
        <w:t xml:space="preserve">                           </w:t>
      </w:r>
      <w:r>
        <w:rPr>
          <w:rFonts w:hint="eastAsia" w:ascii="宋体" w:hAnsi="宋体"/>
          <w:color w:val="auto"/>
          <w:szCs w:val="21"/>
          <w:highlight w:val="none"/>
        </w:rPr>
        <w:tab/>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tabs>
          <w:tab w:val="left" w:pos="600"/>
          <w:tab w:val="left" w:pos="4320"/>
        </w:tabs>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（3）成立和/或注册日期：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（4）法定代表人：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（5）实收资本：</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（6）近期资产负债表：（到</w:t>
      </w:r>
      <w:r>
        <w:rPr>
          <w:rFonts w:hint="eastAsia" w:ascii="宋体" w:hAnsi="宋体"/>
          <w:color w:val="auto"/>
          <w:szCs w:val="21"/>
          <w:highlight w:val="none"/>
          <w:u w:val="single"/>
        </w:rPr>
        <w:t>20  年12月31日</w:t>
      </w:r>
      <w:r>
        <w:rPr>
          <w:rFonts w:hint="eastAsia" w:ascii="宋体" w:hAnsi="宋体"/>
          <w:color w:val="auto"/>
          <w:szCs w:val="21"/>
          <w:highlight w:val="none"/>
        </w:rPr>
        <w:t>）</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&lt;1&gt; 固定资产：</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&lt;2&gt; 流动资金：</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&lt;3&gt; 长期负债：</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&lt;4&gt; 短期负债：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2、近三年同类货物和服务的主要销售业绩（无有效联系人、联系方式和合同复印件的视为未填报本项目）：</w:t>
      </w:r>
    </w:p>
    <w:tbl>
      <w:tblPr>
        <w:tblStyle w:val="27"/>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val="0"/>
            <w:vAlign w:val="top"/>
          </w:tcPr>
          <w:p>
            <w:pPr>
              <w:spacing w:line="360" w:lineRule="auto"/>
              <w:jc w:val="center"/>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甲方名称、联系人、联系方式</w:t>
            </w:r>
          </w:p>
        </w:tc>
        <w:tc>
          <w:tcPr>
            <w:tcW w:w="4251" w:type="dxa"/>
            <w:noWrap w:val="0"/>
            <w:vAlign w:val="top"/>
          </w:tcPr>
          <w:p>
            <w:pPr>
              <w:spacing w:line="360" w:lineRule="auto"/>
              <w:jc w:val="center"/>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项   目   名   称</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p>
        </w:tc>
        <w:tc>
          <w:tcPr>
            <w:tcW w:w="4251" w:type="dxa"/>
            <w:noWrap w:val="0"/>
            <w:vAlign w:val="top"/>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p>
        </w:tc>
        <w:tc>
          <w:tcPr>
            <w:tcW w:w="4251" w:type="dxa"/>
            <w:noWrap w:val="0"/>
            <w:vAlign w:val="top"/>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10" w:hanging="410"/>
        <w:rPr>
          <w:rFonts w:ascii="宋体" w:hAnsi="宋体"/>
          <w:color w:val="auto"/>
          <w:szCs w:val="21"/>
          <w:highlight w:val="none"/>
        </w:rPr>
      </w:pPr>
      <w:r>
        <w:rPr>
          <w:rFonts w:hint="eastAsia" w:ascii="宋体" w:hAnsi="宋体"/>
          <w:color w:val="auto"/>
          <w:szCs w:val="21"/>
          <w:highlight w:val="none"/>
        </w:rPr>
        <w:t>3、本次采购要求的其他资格文件以及供应商认为需要声明的其他情况：</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兹证明上述声明是真实的、正确的，并提供了全部能提供的资料和数据，我们同意遵照贵方要求出示有关证明文件，如有虚假，自愿丧失成交资格，一年内退出采购市场。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（注：资格声明为格式文件,实质性内容请勿修改，否则将导致响应文件无效）</w:t>
      </w:r>
    </w:p>
    <w:p>
      <w:pPr>
        <w:spacing w:line="360" w:lineRule="auto"/>
        <w:ind w:firstLine="210" w:firstLineChars="100"/>
        <w:jc w:val="center"/>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210" w:firstLineChars="100"/>
        <w:jc w:val="center"/>
        <w:rPr>
          <w:rFonts w:ascii="宋体" w:hAnsi="宋体"/>
          <w:color w:val="auto"/>
          <w:szCs w:val="21"/>
          <w:highlight w:val="none"/>
        </w:rPr>
      </w:pPr>
    </w:p>
    <w:p>
      <w:pPr>
        <w:spacing w:line="360" w:lineRule="auto"/>
        <w:rPr>
          <w:rFonts w:hint="eastAsia"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三、谈判响应函</w:t>
      </w:r>
    </w:p>
    <w:p>
      <w:pPr>
        <w:pStyle w:val="62"/>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致：扬州览众建设工程咨询服务有限公司</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根据贵方的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号谈判文件，正式授权下述签字人_________ (姓名和职务)代表我方______________（供应商的名称），全权处理本次项目谈判采购的有关事宜。</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1.按谈判文件规定的各项要求，向买方提供所需服务。</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2.我们已详细审核全部谈判文件及其有效补充文件，我们知道必须放弃提出含糊不清或误解问题的权利。</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3.我们同意从规定的响应文件接收截止时间起遵循本响应文件，并在规定的谈判有效期期满之前均具有约束力。</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4.如果在响应文件接收截止时间后规定的谈判有效期内撤回响应文件或成交后拒绝签订合同，我们的谈判保证金可被贵方没收（如有）。</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5.同意向贵方提供贵方可能另外要求的与谈判采购有关的任何证据或资料，并保证我方已提供和将要提供的文件是真实的、准确的。</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6.一旦我方成交，我方将根据谈判文件的规定，严格履行合同的责任和义务，并保证在谈判文件规定的时间完成项目，交付买方验收、使用。</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7.遵守谈判文件中要求的收费项目和标准。</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8.与本谈判采购有关的正式通讯地址为：</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地 址：                         邮 编：</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电 话：                         传 真：</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供应商开户行：                  账 户： </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法定代表人或授权代表姓名（签字）：     联系电话：</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供应商名称（公章）：            </w:t>
      </w:r>
    </w:p>
    <w:p>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日 期：________年____月____日</w:t>
      </w:r>
    </w:p>
    <w:p>
      <w:pPr>
        <w:spacing w:before="50" w:after="156" w:afterLines="50" w:line="360" w:lineRule="auto"/>
        <w:rPr>
          <w:rFonts w:eastAsia="仿宋_GB2312" w:cs="Calibri"/>
          <w:color w:val="auto"/>
          <w:sz w:val="24"/>
          <w:szCs w:val="20"/>
          <w:highlight w:val="none"/>
        </w:rPr>
      </w:pPr>
      <w:r>
        <w:rPr>
          <w:rFonts w:hint="eastAsia" w:ascii="黑体" w:eastAsia="黑体"/>
          <w:color w:val="auto"/>
          <w:sz w:val="44"/>
          <w:highlight w:val="none"/>
        </w:rPr>
        <w:t xml:space="preserve">          </w:t>
      </w:r>
    </w:p>
    <w:p>
      <w:pPr>
        <w:spacing w:line="360" w:lineRule="auto"/>
        <w:jc w:val="center"/>
        <w:rPr>
          <w:rFonts w:ascii="宋体" w:hAnsi="宋体"/>
          <w:b/>
          <w:color w:val="auto"/>
          <w:szCs w:val="21"/>
          <w:highlight w:val="none"/>
        </w:rPr>
      </w:pPr>
      <w:r>
        <w:rPr>
          <w:rFonts w:hint="eastAsia" w:ascii="宋体" w:hAnsi="宋体"/>
          <w:b/>
          <w:bCs/>
          <w:color w:val="auto"/>
          <w:sz w:val="32"/>
          <w:szCs w:val="32"/>
          <w:highlight w:val="none"/>
        </w:rPr>
        <w:br w:type="page"/>
      </w:r>
      <w:r>
        <w:rPr>
          <w:rFonts w:hint="eastAsia" w:ascii="宋体" w:hAnsi="宋体"/>
          <w:b/>
          <w:color w:val="auto"/>
          <w:szCs w:val="21"/>
          <w:highlight w:val="none"/>
        </w:rPr>
        <w:t>四、谈判响应报价表</w:t>
      </w:r>
    </w:p>
    <w:p>
      <w:pPr>
        <w:spacing w:line="360" w:lineRule="auto"/>
        <w:rPr>
          <w:rFonts w:ascii="宋体" w:hAnsi="宋体"/>
          <w:color w:val="auto"/>
          <w:szCs w:val="21"/>
          <w:highlight w:val="none"/>
        </w:rPr>
      </w:pPr>
    </w:p>
    <w:p>
      <w:pPr>
        <w:pStyle w:val="13"/>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项目名称： </w:t>
      </w:r>
    </w:p>
    <w:p>
      <w:pPr>
        <w:spacing w:line="360" w:lineRule="auto"/>
        <w:rPr>
          <w:rFonts w:ascii="宋体" w:hAnsi="宋体"/>
          <w:color w:val="auto"/>
          <w:szCs w:val="21"/>
          <w:highlight w:val="none"/>
        </w:rPr>
      </w:pPr>
      <w:r>
        <w:rPr>
          <w:rFonts w:hint="eastAsia" w:ascii="宋体" w:hAnsi="宋体"/>
          <w:color w:val="auto"/>
          <w:szCs w:val="21"/>
          <w:highlight w:val="none"/>
        </w:rPr>
        <w:t>项目编号：</w:t>
      </w:r>
    </w:p>
    <w:p>
      <w:pPr>
        <w:spacing w:line="360" w:lineRule="auto"/>
        <w:rPr>
          <w:rFonts w:ascii="宋体" w:hAnsi="宋体"/>
          <w:color w:val="auto"/>
          <w:szCs w:val="21"/>
          <w:highlight w:val="none"/>
        </w:rPr>
      </w:pPr>
    </w:p>
    <w:tbl>
      <w:tblPr>
        <w:tblStyle w:val="2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服务名称</w:t>
            </w:r>
          </w:p>
        </w:tc>
        <w:tc>
          <w:tcPr>
            <w:tcW w:w="67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line="360" w:lineRule="auto"/>
              <w:rPr>
                <w:rFonts w:ascii="宋体" w:hAnsi="宋体" w:eastAsia="宋体" w:cs="宋体"/>
                <w:color w:val="auto"/>
                <w:kern w:val="2"/>
                <w:sz w:val="21"/>
                <w:szCs w:val="21"/>
                <w:highlight w:val="none"/>
              </w:rPr>
            </w:pPr>
          </w:p>
        </w:tc>
        <w:tc>
          <w:tcPr>
            <w:tcW w:w="6765"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大写：</w:t>
            </w:r>
          </w:p>
          <w:p>
            <w:pPr>
              <w:pStyle w:val="61"/>
              <w:spacing w:before="0" w:after="0"/>
              <w:ind w:firstLine="0"/>
              <w:rPr>
                <w:rFonts w:ascii="宋体" w:hAnsi="宋体" w:cs="宋体"/>
                <w:color w:val="auto"/>
                <w:sz w:val="21"/>
                <w:szCs w:val="21"/>
                <w:highlight w:val="none"/>
              </w:rPr>
            </w:pPr>
            <w:r>
              <w:rPr>
                <w:rFonts w:hint="eastAsia" w:ascii="宋体" w:hAnsi="宋体" w:cs="宋体"/>
                <w:color w:val="auto"/>
                <w:sz w:val="21"/>
                <w:szCs w:val="21"/>
                <w:highlight w:val="none"/>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line="36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6765"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line="360" w:lineRule="auto"/>
              <w:ind w:firstLine="1365" w:firstLineChars="650"/>
              <w:rPr>
                <w:rFonts w:ascii="宋体" w:hAnsi="宋体" w:eastAsia="宋体" w:cs="宋体"/>
                <w:color w:val="auto"/>
                <w:kern w:val="2"/>
                <w:sz w:val="21"/>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法定代表人或者授权代表（签字或盖章）：                    </w:t>
      </w:r>
    </w:p>
    <w:p>
      <w:pPr>
        <w:spacing w:line="360" w:lineRule="auto"/>
        <w:rPr>
          <w:rFonts w:ascii="宋体" w:hAnsi="宋体"/>
          <w:color w:val="auto"/>
          <w:szCs w:val="21"/>
          <w:highlight w:val="none"/>
          <w:u w:val="single"/>
        </w:rPr>
      </w:pPr>
      <w:r>
        <w:rPr>
          <w:rFonts w:hint="eastAsia" w:ascii="宋体" w:hAnsi="宋体"/>
          <w:color w:val="auto"/>
          <w:szCs w:val="21"/>
          <w:highlight w:val="none"/>
        </w:rPr>
        <w:t>谈判供应商全称（盖章）：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日期：    年   月    日</w:t>
      </w:r>
    </w:p>
    <w:p>
      <w:pPr>
        <w:spacing w:line="360" w:lineRule="auto"/>
        <w:ind w:firstLine="480"/>
        <w:rPr>
          <w:rFonts w:ascii="宋体" w:hAnsi="宋体"/>
          <w:color w:val="auto"/>
          <w:szCs w:val="21"/>
          <w:highlight w:val="none"/>
        </w:rPr>
      </w:pPr>
      <w:r>
        <w:rPr>
          <w:rFonts w:hint="eastAsia" w:ascii="宋体" w:hAnsi="宋体"/>
          <w:color w:val="auto"/>
          <w:szCs w:val="21"/>
          <w:highlight w:val="none"/>
        </w:rPr>
        <w:t>填写说明：</w:t>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u w:val="single"/>
        </w:rPr>
        <w:t>响应报价表</w:t>
      </w:r>
      <w:r>
        <w:rPr>
          <w:rFonts w:hint="eastAsia" w:ascii="宋体" w:hAnsi="宋体"/>
          <w:bCs/>
          <w:i/>
          <w:iCs/>
          <w:color w:val="auto"/>
          <w:szCs w:val="21"/>
          <w:highlight w:val="none"/>
          <w:u w:val="single"/>
        </w:rPr>
        <w:t>必须加盖供应商公章（复印件无效）</w:t>
      </w:r>
      <w:r>
        <w:rPr>
          <w:rFonts w:hint="eastAsia" w:ascii="宋体" w:hAnsi="宋体"/>
          <w:i/>
          <w:color w:val="auto"/>
          <w:szCs w:val="21"/>
          <w:highlight w:val="none"/>
        </w:rPr>
        <w:t>。</w:t>
      </w:r>
    </w:p>
    <w:p>
      <w:pPr>
        <w:spacing w:line="360" w:lineRule="auto"/>
        <w:rPr>
          <w:rFonts w:ascii="宋体" w:hAnsi="宋体"/>
          <w:color w:val="auto"/>
          <w:szCs w:val="21"/>
          <w:highlight w:val="none"/>
        </w:rPr>
      </w:pPr>
    </w:p>
    <w:p>
      <w:pPr>
        <w:spacing w:after="312" w:afterLines="100" w:line="360" w:lineRule="auto"/>
        <w:jc w:val="center"/>
        <w:rPr>
          <w:rFonts w:ascii="宋体" w:hAnsi="宋体"/>
          <w:color w:val="auto"/>
          <w:sz w:val="24"/>
          <w:szCs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p>
    <w:p>
      <w:pPr>
        <w:spacing w:line="360" w:lineRule="auto"/>
        <w:jc w:val="center"/>
        <w:rPr>
          <w:rFonts w:ascii="宋体" w:hAnsi="宋体"/>
          <w:b/>
          <w:color w:val="auto"/>
          <w:szCs w:val="21"/>
          <w:highlight w:val="none"/>
        </w:rPr>
      </w:pPr>
      <w:r>
        <w:rPr>
          <w:rFonts w:hint="eastAsia" w:ascii="宋体" w:hAnsi="宋体"/>
          <w:b/>
          <w:bCs w:val="0"/>
          <w:color w:val="auto"/>
          <w:sz w:val="24"/>
          <w:highlight w:val="none"/>
          <w:lang w:eastAsia="zh-CN"/>
        </w:rPr>
        <w:t>五</w:t>
      </w:r>
      <w:r>
        <w:rPr>
          <w:rFonts w:hint="eastAsia" w:ascii="宋体" w:hAnsi="宋体"/>
          <w:b/>
          <w:color w:val="auto"/>
          <w:szCs w:val="21"/>
          <w:highlight w:val="none"/>
        </w:rPr>
        <w:t>、技术参数响应及偏离表</w:t>
      </w: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ind w:firstLine="315" w:firstLineChars="1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谈判要求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谈判响应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360" w:lineRule="auto"/>
              <w:jc w:val="center"/>
              <w:rPr>
                <w:rFonts w:ascii="宋体" w:hAnsi="宋体" w:eastAsia="宋体" w:cs="Times New Roman"/>
                <w:color w:val="auto"/>
                <w:sz w:val="24"/>
                <w:szCs w:val="24"/>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日期：     年    月     日</w:t>
      </w:r>
    </w:p>
    <w:p>
      <w:pPr>
        <w:spacing w:line="360" w:lineRule="auto"/>
        <w:rPr>
          <w:rFonts w:ascii="宋体" w:hAnsi="宋体"/>
          <w:b/>
          <w:color w:val="auto"/>
          <w:szCs w:val="21"/>
          <w:highlight w:val="none"/>
        </w:rPr>
      </w:pPr>
    </w:p>
    <w:p>
      <w:pPr>
        <w:spacing w:line="360" w:lineRule="auto"/>
        <w:rPr>
          <w:rFonts w:ascii="宋体" w:hAnsi="宋体"/>
          <w:bCs/>
          <w:color w:val="auto"/>
          <w:szCs w:val="21"/>
          <w:highlight w:val="none"/>
        </w:rPr>
      </w:pPr>
      <w:r>
        <w:rPr>
          <w:rFonts w:hint="eastAsia" w:ascii="宋体" w:hAnsi="宋体"/>
          <w:b/>
          <w:color w:val="auto"/>
          <w:szCs w:val="21"/>
          <w:highlight w:val="none"/>
        </w:rPr>
        <w:t>注：</w:t>
      </w:r>
      <w:r>
        <w:rPr>
          <w:rFonts w:hint="eastAsia" w:ascii="宋体" w:hAnsi="宋体"/>
          <w:bCs/>
          <w:color w:val="auto"/>
          <w:szCs w:val="21"/>
          <w:highlight w:val="none"/>
        </w:rPr>
        <w:t>1、按照基本技术要求详细填列；</w:t>
      </w:r>
    </w:p>
    <w:p>
      <w:pPr>
        <w:spacing w:line="360" w:lineRule="auto"/>
        <w:ind w:firstLine="480"/>
        <w:rPr>
          <w:rFonts w:ascii="宋体" w:hAnsi="宋体"/>
          <w:bCs/>
          <w:color w:val="auto"/>
          <w:szCs w:val="21"/>
          <w:highlight w:val="none"/>
        </w:rPr>
      </w:pPr>
      <w:r>
        <w:rPr>
          <w:rFonts w:hint="eastAsia" w:ascii="宋体" w:hAnsi="宋体"/>
          <w:bCs/>
          <w:color w:val="auto"/>
          <w:szCs w:val="21"/>
          <w:highlight w:val="none"/>
        </w:rPr>
        <w:t>2、行数不够，可自行添加。</w:t>
      </w:r>
    </w:p>
    <w:p>
      <w:pPr>
        <w:spacing w:line="360" w:lineRule="auto"/>
        <w:ind w:firstLine="480"/>
        <w:rPr>
          <w:rFonts w:ascii="宋体" w:hAnsi="宋体"/>
          <w:bCs/>
          <w:color w:val="auto"/>
          <w:szCs w:val="21"/>
          <w:highlight w:val="none"/>
        </w:rPr>
      </w:pPr>
      <w:r>
        <w:rPr>
          <w:rFonts w:hint="eastAsia" w:ascii="宋体" w:hAnsi="宋体"/>
          <w:bCs/>
          <w:color w:val="auto"/>
          <w:szCs w:val="21"/>
          <w:highlight w:val="none"/>
        </w:rPr>
        <w:t>3、技术偏离表应针对项目需求逐条应答。</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lang w:eastAsia="zh-CN"/>
        </w:rPr>
        <w:t>六</w:t>
      </w:r>
      <w:r>
        <w:rPr>
          <w:rFonts w:hint="eastAsia" w:ascii="宋体" w:hAnsi="宋体"/>
          <w:b/>
          <w:color w:val="auto"/>
          <w:szCs w:val="21"/>
          <w:highlight w:val="none"/>
        </w:rPr>
        <w:t>、商务条款响应及偏离表</w:t>
      </w:r>
    </w:p>
    <w:p>
      <w:pPr>
        <w:spacing w:line="360" w:lineRule="auto"/>
        <w:rPr>
          <w:rFonts w:ascii="宋体" w:hAnsi="宋体"/>
          <w:color w:val="auto"/>
          <w:szCs w:val="21"/>
          <w:highlight w:val="none"/>
        </w:rPr>
      </w:pPr>
      <w:r>
        <w:rPr>
          <w:rFonts w:hint="eastAsia" w:ascii="宋体" w:hAnsi="宋体"/>
          <w:color w:val="auto"/>
          <w:szCs w:val="21"/>
          <w:highlight w:val="none"/>
        </w:rPr>
        <w:t>供应商全称（加盖公章）：                      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480"/>
        <w:gridCol w:w="1206"/>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宋体" w:eastAsia="仿宋_GB2312" w:cs="Times New Roman"/>
                <w:color w:val="auto"/>
                <w:szCs w:val="21"/>
                <w:highlight w:val="none"/>
              </w:rPr>
            </w:pPr>
            <w:r>
              <w:rPr>
                <w:rFonts w:hint="eastAsia" w:ascii="仿宋_GB2312" w:hAnsi="宋体" w:eastAsia="宋体" w:cs="Times New Roman"/>
                <w:color w:val="auto"/>
                <w:szCs w:val="21"/>
                <w:highlight w:val="none"/>
              </w:rPr>
              <w:t>项目</w:t>
            </w:r>
          </w:p>
        </w:tc>
        <w:tc>
          <w:tcPr>
            <w:tcW w:w="24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r>
              <w:rPr>
                <w:rFonts w:hint="eastAsia" w:ascii="仿宋_GB2312" w:hAnsi="宋体" w:eastAsia="宋体" w:cs="Times New Roman"/>
                <w:color w:val="auto"/>
                <w:szCs w:val="21"/>
                <w:highlight w:val="none"/>
              </w:rPr>
              <w:t>谈判要求</w:t>
            </w: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r>
              <w:rPr>
                <w:rFonts w:hint="eastAsia" w:ascii="仿宋_GB2312" w:hAnsi="宋体" w:eastAsia="宋体" w:cs="Times New Roman"/>
                <w:color w:val="auto"/>
                <w:szCs w:val="21"/>
                <w:highlight w:val="none"/>
              </w:rPr>
              <w:t>是否响应</w:t>
            </w: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r>
              <w:rPr>
                <w:rFonts w:hint="eastAsia" w:ascii="仿宋_GB2312" w:hAnsi="宋体" w:eastAsia="宋体" w:cs="Times New Roman"/>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宋体" w:eastAsia="仿宋_GB2312"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宋体" w:eastAsia="仿宋_GB2312" w:cs="Times New Roman"/>
                <w:color w:val="auto"/>
                <w:szCs w:val="21"/>
                <w:highlight w:val="none"/>
              </w:rPr>
            </w:pPr>
            <w:r>
              <w:rPr>
                <w:rFonts w:hint="eastAsia" w:ascii="仿宋_GB2312" w:hAnsi="Times New Roman" w:eastAsia="宋体" w:cs="Times New Roman"/>
                <w:color w:val="auto"/>
                <w:szCs w:val="21"/>
                <w:highlight w:val="none"/>
              </w:rPr>
              <w:t>服务期限</w:t>
            </w:r>
          </w:p>
        </w:tc>
        <w:tc>
          <w:tcPr>
            <w:tcW w:w="24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宋体" w:eastAsia="仿宋_GB2312"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宋体" w:eastAsia="仿宋_GB2312" w:cs="Times New Roman"/>
                <w:color w:val="auto"/>
                <w:szCs w:val="21"/>
                <w:highlight w:val="none"/>
              </w:rPr>
            </w:pPr>
            <w:r>
              <w:rPr>
                <w:rFonts w:hint="eastAsia" w:ascii="仿宋_GB2312" w:hAnsi="Times New Roman" w:eastAsia="宋体" w:cs="Times New Roman"/>
                <w:color w:val="auto"/>
                <w:szCs w:val="21"/>
                <w:highlight w:val="none"/>
              </w:rPr>
              <w:t>服务要求</w:t>
            </w:r>
          </w:p>
        </w:tc>
        <w:tc>
          <w:tcPr>
            <w:tcW w:w="24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宋体" w:eastAsia="仿宋_GB2312"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宋体" w:eastAsia="仿宋_GB2312" w:cs="Times New Roman"/>
                <w:color w:val="auto"/>
                <w:szCs w:val="21"/>
                <w:highlight w:val="none"/>
              </w:rPr>
            </w:pPr>
            <w:r>
              <w:rPr>
                <w:rFonts w:hint="eastAsia" w:ascii="仿宋_GB2312" w:hAnsi="Times New Roman" w:eastAsia="宋体" w:cs="Times New Roman"/>
                <w:color w:val="auto"/>
                <w:szCs w:val="21"/>
                <w:highlight w:val="none"/>
              </w:rPr>
              <w:t>服务时间</w:t>
            </w:r>
          </w:p>
        </w:tc>
        <w:tc>
          <w:tcPr>
            <w:tcW w:w="24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Tahoma" w:eastAsia="宋体"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Tahoma" w:eastAsia="宋体" w:cs="Times New Roman"/>
                <w:color w:val="auto"/>
                <w:szCs w:val="21"/>
                <w:highlight w:val="none"/>
              </w:rPr>
            </w:pPr>
            <w:r>
              <w:rPr>
                <w:rFonts w:hint="eastAsia" w:ascii="仿宋_GB2312" w:hAnsi="Times New Roman" w:eastAsia="宋体" w:cs="Times New Roman"/>
                <w:color w:val="auto"/>
                <w:szCs w:val="21"/>
                <w:highlight w:val="none"/>
              </w:rPr>
              <w:t>服务方式</w:t>
            </w:r>
          </w:p>
        </w:tc>
        <w:tc>
          <w:tcPr>
            <w:tcW w:w="24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360" w:lineRule="auto"/>
              <w:rPr>
                <w:rFonts w:ascii="仿宋_GB2312" w:hAnsi="宋体" w:eastAsia="微软雅黑" w:cs="Times New Roman"/>
                <w:color w:val="auto"/>
                <w:szCs w:val="21"/>
                <w:highlight w:val="none"/>
              </w:rPr>
            </w:pPr>
          </w:p>
          <w:p>
            <w:pPr>
              <w:adjustRightInd w:val="0"/>
              <w:snapToGrid w:val="0"/>
              <w:spacing w:before="156" w:beforeLines="50" w:after="200" w:line="360" w:lineRule="auto"/>
              <w:rPr>
                <w:rFonts w:ascii="仿宋_GB2312" w:hAnsi="宋体" w:eastAsia="宋体"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Tahoma" w:eastAsia="宋体"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Tahoma" w:eastAsia="宋体" w:cs="Times New Roman"/>
                <w:color w:val="auto"/>
                <w:szCs w:val="21"/>
                <w:highlight w:val="none"/>
              </w:rPr>
            </w:pPr>
            <w:r>
              <w:rPr>
                <w:rFonts w:hint="eastAsia" w:ascii="仿宋_GB2312" w:hAnsi="Times New Roman" w:eastAsia="宋体" w:cs="Times New Roman"/>
                <w:color w:val="auto"/>
                <w:szCs w:val="21"/>
                <w:highlight w:val="none"/>
              </w:rPr>
              <w:t>服务地点</w:t>
            </w:r>
          </w:p>
        </w:tc>
        <w:tc>
          <w:tcPr>
            <w:tcW w:w="24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360" w:lineRule="auto"/>
              <w:rPr>
                <w:rFonts w:ascii="仿宋_GB2312" w:hAnsi="宋体" w:eastAsia="微软雅黑" w:cs="Times New Roman"/>
                <w:color w:val="auto"/>
                <w:szCs w:val="21"/>
                <w:highlight w:val="none"/>
              </w:rPr>
            </w:pPr>
          </w:p>
          <w:p>
            <w:pPr>
              <w:adjustRightInd w:val="0"/>
              <w:snapToGrid w:val="0"/>
              <w:spacing w:before="156" w:beforeLines="50" w:after="200" w:line="360" w:lineRule="auto"/>
              <w:rPr>
                <w:rFonts w:ascii="仿宋_GB2312" w:hAnsi="宋体" w:eastAsia="宋体"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ind w:left="43"/>
              <w:rPr>
                <w:rFonts w:ascii="仿宋_GB2312" w:hAnsi="宋体"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right"/>
              <w:rPr>
                <w:rFonts w:ascii="仿宋_GB2312" w:hAnsi="宋体" w:eastAsia="仿宋_GB2312" w:cs="Times New Roman"/>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jc w:val="left"/>
              <w:rPr>
                <w:rFonts w:ascii="仿宋_GB2312" w:hAnsi="宋体" w:eastAsia="仿宋_GB2312" w:cs="Times New Roman"/>
                <w:color w:val="auto"/>
                <w:szCs w:val="21"/>
                <w:highlight w:val="none"/>
              </w:rPr>
            </w:pPr>
            <w:r>
              <w:rPr>
                <w:rFonts w:hint="eastAsia" w:ascii="仿宋_GB2312" w:hAnsi="宋体" w:eastAsia="宋体" w:cs="Times New Roman"/>
                <w:color w:val="auto"/>
                <w:szCs w:val="21"/>
                <w:highlight w:val="none"/>
              </w:rPr>
              <w:t>其他</w:t>
            </w:r>
          </w:p>
        </w:tc>
        <w:tc>
          <w:tcPr>
            <w:tcW w:w="24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360" w:lineRule="auto"/>
              <w:rPr>
                <w:rFonts w:ascii="仿宋_GB2312" w:hAnsi="宋体" w:eastAsia="仿宋_GB2312" w:cs="Times New Roman"/>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法定代表人或授权代表签字：</w:t>
      </w:r>
    </w:p>
    <w:p>
      <w:pPr>
        <w:spacing w:line="360" w:lineRule="auto"/>
        <w:jc w:val="right"/>
        <w:rPr>
          <w:rFonts w:hint="eastAsia" w:ascii="宋体" w:hAnsi="宋体"/>
          <w:color w:val="auto"/>
          <w:szCs w:val="21"/>
          <w:highlight w:val="none"/>
        </w:rPr>
      </w:pPr>
    </w:p>
    <w:p>
      <w:pPr>
        <w:spacing w:line="360" w:lineRule="auto"/>
        <w:jc w:val="right"/>
        <w:rPr>
          <w:rFonts w:hint="eastAsia" w:ascii="宋体" w:hAnsi="宋体" w:eastAsia="宋体"/>
          <w:color w:val="auto"/>
          <w:szCs w:val="21"/>
          <w:highlight w:val="none"/>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olor w:val="auto"/>
          <w:szCs w:val="21"/>
          <w:highlight w:val="none"/>
        </w:rPr>
        <w:t xml:space="preserve">日期：     年    月     </w:t>
      </w:r>
      <w:r>
        <w:rPr>
          <w:rFonts w:hint="eastAsia" w:ascii="宋体" w:hAnsi="宋体"/>
          <w:color w:val="auto"/>
          <w:szCs w:val="21"/>
          <w:highlight w:val="none"/>
          <w:lang w:eastAsia="zh-CN"/>
        </w:rPr>
        <w:t>日</w:t>
      </w:r>
    </w:p>
    <w:p>
      <w:pPr>
        <w:spacing w:line="360" w:lineRule="auto"/>
        <w:ind w:right="-2"/>
        <w:jc w:val="center"/>
        <w:rPr>
          <w:rFonts w:hint="eastAsia" w:ascii="宋体" w:hAnsi="宋体"/>
          <w:b/>
          <w:bCs/>
          <w:color w:val="auto"/>
          <w:szCs w:val="21"/>
          <w:highlight w:val="none"/>
        </w:rPr>
      </w:pPr>
      <w:r>
        <w:rPr>
          <w:rFonts w:hint="eastAsia" w:ascii="宋体" w:hAnsi="宋体"/>
          <w:b/>
          <w:bCs/>
          <w:color w:val="auto"/>
          <w:szCs w:val="21"/>
          <w:highlight w:val="none"/>
          <w:lang w:eastAsia="zh-CN"/>
        </w:rPr>
        <w:t>七</w:t>
      </w:r>
      <w:r>
        <w:rPr>
          <w:rFonts w:hint="eastAsia" w:ascii="宋体" w:hAnsi="宋体"/>
          <w:b/>
          <w:bCs/>
          <w:color w:val="auto"/>
          <w:szCs w:val="21"/>
          <w:highlight w:val="none"/>
        </w:rPr>
        <w:t>、拟投入人员一览表</w:t>
      </w:r>
    </w:p>
    <w:p>
      <w:pPr>
        <w:spacing w:line="360" w:lineRule="auto"/>
        <w:rPr>
          <w:rFonts w:hint="eastAsia" w:ascii="宋体" w:hAnsi="宋体"/>
          <w:color w:val="auto"/>
          <w:szCs w:val="21"/>
          <w:highlight w:val="none"/>
        </w:rPr>
      </w:pPr>
    </w:p>
    <w:p>
      <w:pPr>
        <w:spacing w:line="360" w:lineRule="auto"/>
        <w:rPr>
          <w:rFonts w:hint="eastAsia" w:ascii="宋体" w:hAnsi="宋体"/>
          <w:b/>
          <w:bCs/>
          <w:color w:val="auto"/>
          <w:szCs w:val="21"/>
          <w:highlight w:val="none"/>
        </w:rPr>
      </w:pPr>
      <w:r>
        <w:rPr>
          <w:rFonts w:hint="eastAsia" w:ascii="宋体" w:hAnsi="宋体"/>
          <w:color w:val="auto"/>
          <w:szCs w:val="21"/>
          <w:highlight w:val="none"/>
        </w:rPr>
        <w:t>供应商全称（加盖公章）：               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85"/>
        <w:gridCol w:w="886"/>
        <w:gridCol w:w="732"/>
        <w:gridCol w:w="890"/>
        <w:gridCol w:w="1037"/>
        <w:gridCol w:w="886"/>
        <w:gridCol w:w="115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8"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085" w:type="dxa"/>
            <w:noWrap w:val="0"/>
            <w:vAlign w:val="center"/>
          </w:tcPr>
          <w:p>
            <w:pPr>
              <w:spacing w:before="312" w:beforeLines="100" w:line="360" w:lineRule="auto"/>
              <w:ind w:right="-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岗位</w:t>
            </w:r>
          </w:p>
        </w:tc>
        <w:tc>
          <w:tcPr>
            <w:tcW w:w="886" w:type="dxa"/>
            <w:noWrap w:val="0"/>
            <w:vAlign w:val="center"/>
          </w:tcPr>
          <w:p>
            <w:pPr>
              <w:spacing w:before="312" w:beforeLines="100" w:line="360" w:lineRule="auto"/>
              <w:ind w:right="-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 名</w:t>
            </w:r>
          </w:p>
        </w:tc>
        <w:tc>
          <w:tcPr>
            <w:tcW w:w="732" w:type="dxa"/>
            <w:noWrap w:val="0"/>
            <w:vAlign w:val="center"/>
          </w:tcPr>
          <w:p>
            <w:pPr>
              <w:spacing w:before="312" w:beforeLines="100" w:line="360" w:lineRule="auto"/>
              <w:ind w:right="-2"/>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性别</w:t>
            </w:r>
          </w:p>
        </w:tc>
        <w:tc>
          <w:tcPr>
            <w:tcW w:w="890"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学历</w:t>
            </w:r>
          </w:p>
        </w:tc>
        <w:tc>
          <w:tcPr>
            <w:tcW w:w="1037"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年龄</w:t>
            </w:r>
          </w:p>
        </w:tc>
        <w:tc>
          <w:tcPr>
            <w:tcW w:w="886"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职称</w:t>
            </w:r>
          </w:p>
        </w:tc>
        <w:tc>
          <w:tcPr>
            <w:tcW w:w="1158"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执业资格</w:t>
            </w:r>
          </w:p>
        </w:tc>
        <w:tc>
          <w:tcPr>
            <w:tcW w:w="1158" w:type="dxa"/>
            <w:noWrap w:val="0"/>
            <w:vAlign w:val="center"/>
          </w:tcPr>
          <w:p>
            <w:pPr>
              <w:spacing w:before="312" w:beforeLines="100" w:line="360" w:lineRule="auto"/>
              <w:ind w:right="-2"/>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spacing w:line="360" w:lineRule="auto"/>
              <w:ind w:right="-2"/>
              <w:jc w:val="center"/>
              <w:rPr>
                <w:rFonts w:ascii="宋体" w:hAnsi="宋体" w:eastAsia="宋体" w:cs="Times New Roman"/>
                <w:color w:val="auto"/>
                <w:szCs w:val="21"/>
                <w:highlight w:val="none"/>
              </w:rPr>
            </w:pPr>
          </w:p>
        </w:tc>
        <w:tc>
          <w:tcPr>
            <w:tcW w:w="1085"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732" w:type="dxa"/>
            <w:noWrap w:val="0"/>
            <w:vAlign w:val="center"/>
          </w:tcPr>
          <w:p>
            <w:pPr>
              <w:spacing w:line="360" w:lineRule="auto"/>
              <w:ind w:right="-2"/>
              <w:jc w:val="center"/>
              <w:rPr>
                <w:rFonts w:ascii="宋体" w:hAnsi="宋体" w:eastAsia="宋体" w:cs="Times New Roman"/>
                <w:color w:val="auto"/>
                <w:szCs w:val="21"/>
                <w:highlight w:val="none"/>
              </w:rPr>
            </w:pPr>
          </w:p>
        </w:tc>
        <w:tc>
          <w:tcPr>
            <w:tcW w:w="890" w:type="dxa"/>
            <w:noWrap w:val="0"/>
            <w:vAlign w:val="center"/>
          </w:tcPr>
          <w:p>
            <w:pPr>
              <w:spacing w:line="360" w:lineRule="auto"/>
              <w:ind w:right="-2"/>
              <w:jc w:val="center"/>
              <w:rPr>
                <w:rFonts w:ascii="宋体" w:hAnsi="宋体" w:eastAsia="宋体" w:cs="Times New Roman"/>
                <w:color w:val="auto"/>
                <w:szCs w:val="21"/>
                <w:highlight w:val="none"/>
              </w:rPr>
            </w:pPr>
          </w:p>
        </w:tc>
        <w:tc>
          <w:tcPr>
            <w:tcW w:w="1037" w:type="dxa"/>
            <w:noWrap w:val="0"/>
            <w:vAlign w:val="center"/>
          </w:tcPr>
          <w:p>
            <w:pPr>
              <w:spacing w:line="360" w:lineRule="auto"/>
              <w:ind w:right="-2"/>
              <w:jc w:val="center"/>
              <w:rPr>
                <w:rFonts w:ascii="宋体" w:hAnsi="宋体" w:eastAsia="宋体" w:cs="Times New Roman"/>
                <w:color w:val="auto"/>
                <w:szCs w:val="21"/>
                <w:highlight w:val="none"/>
              </w:rPr>
            </w:pPr>
          </w:p>
        </w:tc>
        <w:tc>
          <w:tcPr>
            <w:tcW w:w="886"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c>
          <w:tcPr>
            <w:tcW w:w="1158" w:type="dxa"/>
            <w:noWrap w:val="0"/>
            <w:vAlign w:val="center"/>
          </w:tcPr>
          <w:p>
            <w:pPr>
              <w:spacing w:line="360" w:lineRule="auto"/>
              <w:ind w:right="-2"/>
              <w:jc w:val="center"/>
              <w:rPr>
                <w:rFonts w:ascii="宋体" w:hAnsi="宋体" w:eastAsia="宋体" w:cs="Times New Roman"/>
                <w:color w:val="auto"/>
                <w:szCs w:val="21"/>
                <w:highlight w:val="none"/>
              </w:rPr>
            </w:pPr>
          </w:p>
        </w:tc>
      </w:tr>
    </w:tbl>
    <w:p>
      <w:pPr>
        <w:spacing w:line="360" w:lineRule="auto"/>
        <w:rPr>
          <w:color w:val="auto"/>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法定代表人或授权代表签字：</w:t>
      </w:r>
    </w:p>
    <w:p>
      <w:pPr>
        <w:spacing w:line="360" w:lineRule="auto"/>
        <w:jc w:val="right"/>
        <w:rPr>
          <w:rFonts w:hint="eastAsia" w:ascii="宋体" w:hAnsi="宋体"/>
          <w:color w:val="auto"/>
          <w:szCs w:val="21"/>
          <w:highlight w:val="none"/>
        </w:rPr>
      </w:pP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日期：     年    月     日</w:t>
      </w:r>
    </w:p>
    <w:p>
      <w:pPr>
        <w:spacing w:line="360" w:lineRule="auto"/>
        <w:jc w:val="center"/>
        <w:rPr>
          <w:rFonts w:hint="eastAsia" w:ascii="宋体" w:hAnsi="宋体"/>
          <w:color w:val="auto"/>
          <w:highlight w:val="none"/>
        </w:rPr>
      </w:pPr>
      <w:r>
        <w:rPr>
          <w:rFonts w:hint="eastAsia" w:ascii="宋体" w:hAnsi="宋体"/>
          <w:color w:val="auto"/>
          <w:szCs w:val="21"/>
          <w:highlight w:val="none"/>
        </w:rPr>
        <w:br w:type="page"/>
      </w:r>
    </w:p>
    <w:p>
      <w:pPr>
        <w:spacing w:line="360" w:lineRule="auto"/>
        <w:jc w:val="center"/>
        <w:rPr>
          <w:rFonts w:hint="eastAsia"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供应商参加谈判确认函</w:t>
      </w:r>
    </w:p>
    <w:p>
      <w:pPr>
        <w:pStyle w:val="14"/>
        <w:spacing w:line="360" w:lineRule="auto"/>
        <w:rPr>
          <w:rFonts w:hint="eastAsia"/>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扬州览众建设工程咨询服务有限公司：</w:t>
      </w:r>
    </w:p>
    <w:p>
      <w:pPr>
        <w:spacing w:line="360" w:lineRule="auto"/>
        <w:rPr>
          <w:rFonts w:hint="eastAsia" w:ascii="宋体" w:hAnsi="宋体"/>
          <w:color w:val="auto"/>
          <w:highlight w:val="none"/>
        </w:rPr>
      </w:pPr>
      <w:r>
        <w:rPr>
          <w:rFonts w:hint="eastAsia" w:ascii="宋体" w:hAnsi="宋体"/>
          <w:color w:val="auto"/>
          <w:highlight w:val="none"/>
        </w:rPr>
        <w:t>　　本单位将参加贵公司于</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日开标的采购编号为</w:t>
      </w: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u w:val="single"/>
        </w:rPr>
        <w:t xml:space="preserve">              </w:t>
      </w:r>
      <w:r>
        <w:rPr>
          <w:rFonts w:hint="eastAsia" w:ascii="宋体" w:hAnsi="宋体"/>
          <w:color w:val="auto"/>
          <w:highlight w:val="none"/>
        </w:rPr>
        <w:t>项目的投标。本单位已在“扬州市政府采购服务商城”成功下载标书，特发函确认。</w:t>
      </w:r>
    </w:p>
    <w:p>
      <w:pPr>
        <w:spacing w:line="360" w:lineRule="auto"/>
        <w:ind w:left="2730" w:hanging="2730" w:hangingChars="1300"/>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（单位公章）</w:t>
      </w:r>
    </w:p>
    <w:p>
      <w:pPr>
        <w:pBdr>
          <w:bottom w:val="single" w:color="auto" w:sz="6" w:space="1"/>
        </w:pBdr>
        <w:spacing w:line="360" w:lineRule="auto"/>
        <w:ind w:left="3465" w:hanging="3465" w:hangingChars="1650"/>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年　　　月　　　日</w:t>
      </w:r>
    </w:p>
    <w:p>
      <w:pPr>
        <w:spacing w:line="360" w:lineRule="auto"/>
        <w:ind w:left="3465" w:hanging="3465" w:hangingChars="1650"/>
        <w:rPr>
          <w:rFonts w:hint="eastAsia" w:ascii="宋体" w:hAnsi="宋体"/>
          <w:color w:val="auto"/>
          <w:highlight w:val="none"/>
        </w:rPr>
      </w:pPr>
      <w:r>
        <w:rPr>
          <w:rFonts w:hint="eastAsia" w:ascii="宋体" w:hAnsi="宋体"/>
          <w:color w:val="auto"/>
          <w:highlight w:val="none"/>
        </w:rPr>
        <w:t>附：</w:t>
      </w:r>
    </w:p>
    <w:p>
      <w:pPr>
        <w:spacing w:line="360" w:lineRule="auto"/>
        <w:ind w:left="3479" w:hanging="3479" w:hangingChars="1650"/>
        <w:jc w:val="center"/>
        <w:rPr>
          <w:rFonts w:hint="eastAsia" w:ascii="宋体" w:hAnsi="宋体"/>
          <w:b/>
          <w:color w:val="auto"/>
          <w:highlight w:val="none"/>
        </w:rPr>
      </w:pPr>
      <w:r>
        <w:rPr>
          <w:rFonts w:hint="eastAsia" w:ascii="宋体" w:hAnsi="宋体"/>
          <w:b/>
          <w:color w:val="auto"/>
          <w:highlight w:val="none"/>
        </w:rPr>
        <w:t xml:space="preserve">     供应商联系表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235" w:type="dxa"/>
            <w:gridSpan w:val="3"/>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单位地址</w:t>
            </w:r>
          </w:p>
        </w:tc>
        <w:tc>
          <w:tcPr>
            <w:tcW w:w="6235" w:type="dxa"/>
            <w:gridSpan w:val="3"/>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法定代表人</w:t>
            </w:r>
          </w:p>
        </w:tc>
        <w:tc>
          <w:tcPr>
            <w:tcW w:w="1873" w:type="dxa"/>
            <w:noWrap w:val="0"/>
            <w:vAlign w:val="top"/>
          </w:tcPr>
          <w:p>
            <w:pPr>
              <w:spacing w:line="360" w:lineRule="auto"/>
              <w:rPr>
                <w:rFonts w:hint="eastAsia" w:ascii="宋体" w:hAnsi="宋体" w:eastAsia="宋体" w:cs="Times New Roman"/>
                <w:color w:val="auto"/>
                <w:highlight w:val="none"/>
              </w:rPr>
            </w:pPr>
          </w:p>
        </w:tc>
        <w:tc>
          <w:tcPr>
            <w:tcW w:w="2550"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邮    编</w:t>
            </w:r>
          </w:p>
        </w:tc>
        <w:tc>
          <w:tcPr>
            <w:tcW w:w="1812" w:type="dxa"/>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单位电话</w:t>
            </w:r>
          </w:p>
        </w:tc>
        <w:tc>
          <w:tcPr>
            <w:tcW w:w="1873" w:type="dxa"/>
            <w:noWrap w:val="0"/>
            <w:vAlign w:val="top"/>
          </w:tcPr>
          <w:p>
            <w:pPr>
              <w:spacing w:line="360" w:lineRule="auto"/>
              <w:jc w:val="center"/>
              <w:rPr>
                <w:rFonts w:hint="eastAsia" w:ascii="宋体" w:hAnsi="宋体" w:eastAsia="宋体" w:cs="Times New Roman"/>
                <w:color w:val="auto"/>
                <w:highlight w:val="none"/>
              </w:rPr>
            </w:pPr>
          </w:p>
        </w:tc>
        <w:tc>
          <w:tcPr>
            <w:tcW w:w="2550" w:type="dxa"/>
            <w:noWrap w:val="0"/>
            <w:vAlign w:val="top"/>
          </w:tcPr>
          <w:p>
            <w:pPr>
              <w:spacing w:line="360" w:lineRule="auto"/>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传真号码</w:t>
            </w:r>
          </w:p>
        </w:tc>
        <w:tc>
          <w:tcPr>
            <w:tcW w:w="1812" w:type="dxa"/>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项目联系人</w:t>
            </w:r>
          </w:p>
        </w:tc>
        <w:tc>
          <w:tcPr>
            <w:tcW w:w="1873" w:type="dxa"/>
            <w:noWrap w:val="0"/>
            <w:vAlign w:val="top"/>
          </w:tcPr>
          <w:p>
            <w:pPr>
              <w:spacing w:line="360" w:lineRule="auto"/>
              <w:jc w:val="center"/>
              <w:rPr>
                <w:rFonts w:hint="eastAsia" w:ascii="宋体" w:hAnsi="宋体" w:eastAsia="宋体" w:cs="Times New Roman"/>
                <w:color w:val="auto"/>
                <w:highlight w:val="none"/>
              </w:rPr>
            </w:pPr>
          </w:p>
        </w:tc>
        <w:tc>
          <w:tcPr>
            <w:tcW w:w="2550"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邮    箱</w:t>
            </w:r>
          </w:p>
        </w:tc>
        <w:tc>
          <w:tcPr>
            <w:tcW w:w="1812" w:type="dxa"/>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联系人电话</w:t>
            </w:r>
          </w:p>
        </w:tc>
        <w:tc>
          <w:tcPr>
            <w:tcW w:w="1873" w:type="dxa"/>
            <w:noWrap w:val="0"/>
            <w:vAlign w:val="top"/>
          </w:tcPr>
          <w:p>
            <w:pPr>
              <w:spacing w:line="360" w:lineRule="auto"/>
              <w:jc w:val="center"/>
              <w:rPr>
                <w:rFonts w:hint="eastAsia" w:ascii="宋体" w:hAnsi="宋体" w:eastAsia="宋体" w:cs="Times New Roman"/>
                <w:color w:val="auto"/>
                <w:highlight w:val="none"/>
              </w:rPr>
            </w:pPr>
          </w:p>
        </w:tc>
        <w:tc>
          <w:tcPr>
            <w:tcW w:w="2550"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联系人手机</w:t>
            </w:r>
          </w:p>
        </w:tc>
        <w:tc>
          <w:tcPr>
            <w:tcW w:w="1812" w:type="dxa"/>
            <w:noWrap w:val="0"/>
            <w:vAlign w:val="top"/>
          </w:tcPr>
          <w:p>
            <w:pPr>
              <w:spacing w:line="360" w:lineRule="auto"/>
              <w:jc w:val="center"/>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所投项目名称</w:t>
            </w:r>
          </w:p>
        </w:tc>
        <w:tc>
          <w:tcPr>
            <w:tcW w:w="6235" w:type="dxa"/>
            <w:gridSpan w:val="3"/>
            <w:noWrap w:val="0"/>
            <w:vAlign w:val="top"/>
          </w:tcPr>
          <w:p>
            <w:pPr>
              <w:spacing w:line="360" w:lineRule="auto"/>
              <w:jc w:val="center"/>
              <w:rPr>
                <w:rFonts w:hint="eastAsia" w:ascii="宋体" w:hAnsi="宋体" w:eastAsia="宋体" w:cs="Times New Roman"/>
                <w:color w:val="auto"/>
                <w:highlight w:val="none"/>
              </w:rPr>
            </w:pPr>
          </w:p>
        </w:tc>
      </w:tr>
    </w:tbl>
    <w:p>
      <w:pPr>
        <w:spacing w:line="360" w:lineRule="auto"/>
        <w:rPr>
          <w:rFonts w:hint="eastAsia" w:ascii="宋体" w:hAnsi="宋体"/>
          <w:b/>
          <w:color w:val="auto"/>
          <w:highlight w:val="none"/>
        </w:rPr>
      </w:pPr>
    </w:p>
    <w:p>
      <w:pPr>
        <w:spacing w:line="360" w:lineRule="auto"/>
        <w:rPr>
          <w:rFonts w:hint="eastAsia" w:ascii="宋体" w:hAnsi="宋体"/>
          <w:b/>
          <w:color w:val="auto"/>
          <w:highlight w:val="none"/>
        </w:rPr>
      </w:pPr>
      <w:r>
        <w:rPr>
          <w:rFonts w:hint="eastAsia" w:ascii="宋体" w:hAnsi="宋体"/>
          <w:b/>
          <w:color w:val="auto"/>
          <w:highlight w:val="none"/>
        </w:rPr>
        <w:t>备注：1、请准备参与本项目谈判的供应商如实填写（以上信息均为必填内容）后邮件至采购代理机构（邮箱：</w:t>
      </w:r>
      <w:r>
        <w:rPr>
          <w:rFonts w:hint="eastAsia" w:ascii="宋体" w:hAnsi="宋体"/>
          <w:b/>
          <w:color w:val="auto"/>
          <w:highlight w:val="none"/>
        </w:rPr>
        <w:fldChar w:fldCharType="begin"/>
      </w:r>
      <w:r>
        <w:rPr>
          <w:rFonts w:hint="eastAsia" w:ascii="宋体" w:hAnsi="宋体"/>
          <w:b/>
          <w:color w:val="auto"/>
          <w:highlight w:val="none"/>
        </w:rPr>
        <w:instrText xml:space="preserve"> HYPERLINK "mailto:43075122@qq.com" </w:instrText>
      </w:r>
      <w:r>
        <w:rPr>
          <w:rFonts w:hint="eastAsia" w:ascii="宋体" w:hAnsi="宋体"/>
          <w:b/>
          <w:color w:val="auto"/>
          <w:highlight w:val="none"/>
        </w:rPr>
        <w:fldChar w:fldCharType="separate"/>
      </w:r>
      <w:r>
        <w:rPr>
          <w:rFonts w:hint="eastAsia" w:ascii="宋体" w:hAnsi="宋体"/>
          <w:b/>
          <w:color w:val="auto"/>
          <w:highlight w:val="none"/>
        </w:rPr>
        <w:t>418682631@qq.com</w:t>
      </w:r>
      <w:r>
        <w:rPr>
          <w:rFonts w:hint="eastAsia" w:ascii="宋体" w:hAnsi="宋体"/>
          <w:b/>
          <w:color w:val="auto"/>
          <w:highlight w:val="none"/>
        </w:rPr>
        <w:fldChar w:fldCharType="end"/>
      </w:r>
      <w:r>
        <w:rPr>
          <w:rFonts w:hint="eastAsia" w:ascii="宋体" w:hAnsi="宋体"/>
          <w:b/>
          <w:color w:val="auto"/>
          <w:highlight w:val="none"/>
        </w:rPr>
        <w:t>，固定电话：18952781590）。</w:t>
      </w:r>
    </w:p>
    <w:p>
      <w:pPr>
        <w:spacing w:line="360" w:lineRule="auto"/>
        <w:rPr>
          <w:rFonts w:hint="eastAsia" w:ascii="宋体" w:hAnsi="宋体"/>
          <w:b/>
          <w:color w:val="auto"/>
          <w:highlight w:val="none"/>
        </w:rPr>
      </w:pPr>
      <w:r>
        <w:rPr>
          <w:rFonts w:hint="eastAsia" w:ascii="宋体" w:hAnsi="宋体"/>
          <w:b/>
          <w:color w:val="auto"/>
          <w:highlight w:val="none"/>
        </w:rPr>
        <w:t xml:space="preserve">      2、因供应商填写有误，造成以上信息资料的不实将由供应商承担责任。</w:t>
      </w:r>
    </w:p>
    <w:p>
      <w:pPr>
        <w:spacing w:line="360" w:lineRule="auto"/>
        <w:rPr>
          <w:rFonts w:hint="eastAsia" w:ascii="宋体" w:hAnsi="宋体"/>
          <w:color w:val="auto"/>
          <w:szCs w:val="21"/>
          <w:highlight w:val="none"/>
        </w:rPr>
      </w:pPr>
    </w:p>
    <w:p>
      <w:pPr>
        <w:pStyle w:val="9"/>
        <w:spacing w:line="360" w:lineRule="auto"/>
        <w:rPr>
          <w:rFonts w:hint="eastAsia" w:ascii="宋体" w:hAnsi="宋体" w:cs="宋体"/>
          <w:b/>
          <w:color w:val="auto"/>
          <w:sz w:val="24"/>
          <w:szCs w:val="24"/>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宋体_GB2312">
    <w:altName w:val="宋体"/>
    <w:panose1 w:val="00000000000000000000"/>
    <w:charset w:val="00"/>
    <w:family w:val="moder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_GB2312" w:hAns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2057"/>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文本框 2057"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7FI4NAAAAADAQAADwAAAAAAAAABACAAAAAiAAAAZHJzL2Rv&#10;d25yZXYueG1sUEsBAhQAFAAAAAgAh07iQCkcED/QAQAAmgMAAA4AAAAAAAAAAQAgAAAAHwEAAGRy&#10;cy9lMm9Eb2MueG1sUEsFBgAAAAAGAAYAWQEAAGE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w:rPr>
        <w:rFonts w:hint="eastAsia"/>
        <w:lang w:eastAsia="zh-CN"/>
      </w:rPr>
      <w:t>YZLZDL-2024019号</w:t>
    </w:r>
    <w:r>
      <w:rPr>
        <w:rFonts w:hint="eastAsia"/>
      </w:rPr>
      <w:t xml:space="preserve">                                        扬州览众建设工程咨询服务有限公司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r>
      <w:rPr>
        <w:rFonts w:hint="eastAsia"/>
        <w:lang w:eastAsia="zh-CN"/>
      </w:rPr>
      <w:t>YZLZDL-2024019号</w:t>
    </w:r>
    <w:r>
      <w:rPr>
        <w:rFonts w:hint="eastAsia"/>
      </w:rPr>
      <w:t xml:space="preserve">                                          扬州览众建设工程咨询服务有限公司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r>
      <w:rPr>
        <w:rFonts w:hint="eastAsia"/>
      </w:rPr>
      <w:t xml:space="preserve"> </w:t>
    </w:r>
    <w:r>
      <w:rPr>
        <w:rFonts w:hint="eastAsia"/>
        <w:lang w:eastAsia="zh-CN"/>
      </w:rPr>
      <w:t>YZLZDL-2024019号</w:t>
    </w:r>
    <w:r>
      <w:rPr>
        <w:rFonts w:hint="eastAsia"/>
      </w:rPr>
      <w:t xml:space="preserve">                                      扬州览众建设工程咨询服务有限公司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1320"/>
    <w:multiLevelType w:val="singleLevel"/>
    <w:tmpl w:val="82CD1320"/>
    <w:lvl w:ilvl="0" w:tentative="0">
      <w:start w:val="1"/>
      <w:numFmt w:val="decimal"/>
      <w:suff w:val="nothing"/>
      <w:lvlText w:val="%1、"/>
      <w:lvlJc w:val="left"/>
    </w:lvl>
  </w:abstractNum>
  <w:abstractNum w:abstractNumId="1">
    <w:nsid w:val="8DF18D0C"/>
    <w:multiLevelType w:val="singleLevel"/>
    <w:tmpl w:val="8DF18D0C"/>
    <w:lvl w:ilvl="0" w:tentative="0">
      <w:start w:val="1"/>
      <w:numFmt w:val="decimal"/>
      <w:suff w:val="nothing"/>
      <w:lvlText w:val="%1、"/>
      <w:lvlJc w:val="left"/>
      <w:pPr>
        <w:ind w:left="420"/>
      </w:pPr>
    </w:lvl>
  </w:abstractNum>
  <w:abstractNum w:abstractNumId="2">
    <w:nsid w:val="8E98D89A"/>
    <w:multiLevelType w:val="singleLevel"/>
    <w:tmpl w:val="8E98D89A"/>
    <w:lvl w:ilvl="0" w:tentative="0">
      <w:start w:val="2"/>
      <w:numFmt w:val="chineseCounting"/>
      <w:suff w:val="nothing"/>
      <w:lvlText w:val="%1、"/>
      <w:lvlJc w:val="left"/>
      <w:rPr>
        <w:rFonts w:hint="eastAsia"/>
      </w:rPr>
    </w:lvl>
  </w:abstractNum>
  <w:abstractNum w:abstractNumId="3">
    <w:nsid w:val="90EABCD5"/>
    <w:multiLevelType w:val="singleLevel"/>
    <w:tmpl w:val="90EABCD5"/>
    <w:lvl w:ilvl="0" w:tentative="0">
      <w:start w:val="1"/>
      <w:numFmt w:val="decimal"/>
      <w:suff w:val="nothing"/>
      <w:lvlText w:val="（%1）"/>
      <w:lvlJc w:val="left"/>
    </w:lvl>
  </w:abstractNum>
  <w:abstractNum w:abstractNumId="4">
    <w:nsid w:val="C959152A"/>
    <w:multiLevelType w:val="singleLevel"/>
    <w:tmpl w:val="C959152A"/>
    <w:lvl w:ilvl="0" w:tentative="0">
      <w:start w:val="1"/>
      <w:numFmt w:val="bullet"/>
      <w:pStyle w:val="78"/>
      <w:lvlText w:val=""/>
      <w:lvlJc w:val="left"/>
      <w:pPr>
        <w:tabs>
          <w:tab w:val="left" w:pos="780"/>
        </w:tabs>
        <w:ind w:left="780" w:hanging="360"/>
      </w:pPr>
      <w:rPr>
        <w:rFonts w:ascii="Wingdings" w:hAnsi="Wingdings"/>
      </w:rPr>
    </w:lvl>
  </w:abstractNum>
  <w:abstractNum w:abstractNumId="5">
    <w:nsid w:val="DAB3AF84"/>
    <w:multiLevelType w:val="singleLevel"/>
    <w:tmpl w:val="DAB3AF84"/>
    <w:lvl w:ilvl="0" w:tentative="0">
      <w:start w:val="1"/>
      <w:numFmt w:val="decimal"/>
      <w:suff w:val="nothing"/>
      <w:lvlText w:val="（%1）"/>
      <w:lvlJc w:val="left"/>
    </w:lvl>
  </w:abstractNum>
  <w:abstractNum w:abstractNumId="6">
    <w:nsid w:val="EDAA509B"/>
    <w:multiLevelType w:val="singleLevel"/>
    <w:tmpl w:val="EDAA509B"/>
    <w:lvl w:ilvl="0" w:tentative="0">
      <w:start w:val="1"/>
      <w:numFmt w:val="decimal"/>
      <w:suff w:val="nothing"/>
      <w:lvlText w:val="（%1）"/>
      <w:lvlJc w:val="left"/>
    </w:lvl>
  </w:abstractNum>
  <w:abstractNum w:abstractNumId="7">
    <w:nsid w:val="00000002"/>
    <w:multiLevelType w:val="singleLevel"/>
    <w:tmpl w:val="00000002"/>
    <w:lvl w:ilvl="0" w:tentative="0">
      <w:start w:val="2"/>
      <w:numFmt w:val="chineseCounting"/>
      <w:suff w:val="nothing"/>
      <w:lvlText w:val="（%1）"/>
      <w:lvlJc w:val="left"/>
      <w:rPr>
        <w:rFonts w:hint="eastAsia"/>
      </w:rPr>
    </w:lvl>
  </w:abstractNum>
  <w:abstractNum w:abstractNumId="8">
    <w:nsid w:val="00000005"/>
    <w:multiLevelType w:val="multilevel"/>
    <w:tmpl w:val="00000005"/>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63"/>
      <w:isLgl/>
      <w:lvlText w:val="%1.%2"/>
      <w:lvlJc w:val="left"/>
      <w:pPr>
        <w:tabs>
          <w:tab w:val="left" w:pos="851"/>
        </w:tabs>
        <w:ind w:left="0" w:firstLine="0"/>
      </w:pPr>
    </w:lvl>
    <w:lvl w:ilvl="2" w:tentative="0">
      <w:start w:val="1"/>
      <w:numFmt w:val="decimal"/>
      <w:pStyle w:val="64"/>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074081AD"/>
    <w:multiLevelType w:val="singleLevel"/>
    <w:tmpl w:val="074081AD"/>
    <w:lvl w:ilvl="0" w:tentative="0">
      <w:start w:val="2"/>
      <w:numFmt w:val="chineseCounting"/>
      <w:suff w:val="nothing"/>
      <w:lvlText w:val="%1、"/>
      <w:lvlJc w:val="left"/>
      <w:rPr>
        <w:rFonts w:hint="eastAsia"/>
      </w:rPr>
    </w:lvl>
  </w:abstractNum>
  <w:abstractNum w:abstractNumId="10">
    <w:nsid w:val="591D2A18"/>
    <w:multiLevelType w:val="singleLevel"/>
    <w:tmpl w:val="591D2A18"/>
    <w:lvl w:ilvl="0" w:tentative="0">
      <w:start w:val="1"/>
      <w:numFmt w:val="decimal"/>
      <w:suff w:val="nothing"/>
      <w:lvlText w:val="（%1）"/>
      <w:lvlJc w:val="left"/>
    </w:lvl>
  </w:abstractNum>
  <w:abstractNum w:abstractNumId="11">
    <w:nsid w:val="5A54040D"/>
    <w:multiLevelType w:val="singleLevel"/>
    <w:tmpl w:val="5A54040D"/>
    <w:lvl w:ilvl="0" w:tentative="0">
      <w:start w:val="1"/>
      <w:numFmt w:val="decimal"/>
      <w:suff w:val="nothing"/>
      <w:lvlText w:val="%1、"/>
      <w:lvlJc w:val="left"/>
    </w:lvl>
  </w:abstractNum>
  <w:abstractNum w:abstractNumId="12">
    <w:nsid w:val="65331E9A"/>
    <w:multiLevelType w:val="singleLevel"/>
    <w:tmpl w:val="65331E9A"/>
    <w:lvl w:ilvl="0" w:tentative="0">
      <w:start w:val="5"/>
      <w:numFmt w:val="decimal"/>
      <w:suff w:val="nothing"/>
      <w:lvlText w:val="%1、"/>
      <w:lvlJc w:val="left"/>
    </w:lvl>
  </w:abstractNum>
  <w:abstractNum w:abstractNumId="13">
    <w:nsid w:val="6BA95A9F"/>
    <w:multiLevelType w:val="singleLevel"/>
    <w:tmpl w:val="6BA95A9F"/>
    <w:lvl w:ilvl="0" w:tentative="0">
      <w:start w:val="1"/>
      <w:numFmt w:val="decimal"/>
      <w:suff w:val="nothing"/>
      <w:lvlText w:val="（%1）"/>
      <w:lvlJc w:val="left"/>
    </w:lvl>
  </w:abstractNum>
  <w:abstractNum w:abstractNumId="14">
    <w:nsid w:val="787B92BB"/>
    <w:multiLevelType w:val="singleLevel"/>
    <w:tmpl w:val="787B92BB"/>
    <w:lvl w:ilvl="0" w:tentative="0">
      <w:start w:val="3"/>
      <w:numFmt w:val="chineseCounting"/>
      <w:suff w:val="space"/>
      <w:lvlText w:val="第%1章"/>
      <w:lvlJc w:val="left"/>
      <w:rPr>
        <w:rFonts w:hint="eastAsia"/>
      </w:rPr>
    </w:lvl>
  </w:abstractNum>
  <w:abstractNum w:abstractNumId="15">
    <w:nsid w:val="79D391FA"/>
    <w:multiLevelType w:val="singleLevel"/>
    <w:tmpl w:val="79D391FA"/>
    <w:lvl w:ilvl="0" w:tentative="0">
      <w:start w:val="1"/>
      <w:numFmt w:val="decimal"/>
      <w:suff w:val="nothing"/>
      <w:lvlText w:val="（%1）"/>
      <w:lvlJc w:val="left"/>
    </w:lvl>
  </w:abstractNum>
  <w:num w:numId="1">
    <w:abstractNumId w:val="8"/>
  </w:num>
  <w:num w:numId="2">
    <w:abstractNumId w:val="4"/>
  </w:num>
  <w:num w:numId="3">
    <w:abstractNumId w:val="7"/>
  </w:num>
  <w:num w:numId="4">
    <w:abstractNumId w:val="14"/>
  </w:num>
  <w:num w:numId="5">
    <w:abstractNumId w:val="1"/>
  </w:num>
  <w:num w:numId="6">
    <w:abstractNumId w:val="15"/>
  </w:num>
  <w:num w:numId="7">
    <w:abstractNumId w:val="6"/>
  </w:num>
  <w:num w:numId="8">
    <w:abstractNumId w:val="13"/>
  </w:num>
  <w:num w:numId="9">
    <w:abstractNumId w:val="5"/>
  </w:num>
  <w:num w:numId="10">
    <w:abstractNumId w:val="10"/>
  </w:num>
  <w:num w:numId="11">
    <w:abstractNumId w:val="3"/>
  </w:num>
  <w:num w:numId="12">
    <w:abstractNumId w:val="9"/>
  </w:num>
  <w:num w:numId="13">
    <w:abstractNumId w:val="11"/>
  </w:num>
  <w:num w:numId="14">
    <w:abstractNumId w:val="2"/>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2JiMjBiMjk5MmE5ZGI2NTYzYjkxMTI3OTY5MmMifQ=="/>
  </w:docVars>
  <w:rsids>
    <w:rsidRoot w:val="00172A27"/>
    <w:rsid w:val="000020A0"/>
    <w:rsid w:val="00003582"/>
    <w:rsid w:val="000079C6"/>
    <w:rsid w:val="0001498E"/>
    <w:rsid w:val="000171AF"/>
    <w:rsid w:val="00017FF2"/>
    <w:rsid w:val="00020F1F"/>
    <w:rsid w:val="00023573"/>
    <w:rsid w:val="00024510"/>
    <w:rsid w:val="000257DA"/>
    <w:rsid w:val="00027727"/>
    <w:rsid w:val="000336F9"/>
    <w:rsid w:val="000366DA"/>
    <w:rsid w:val="00041333"/>
    <w:rsid w:val="00042BCB"/>
    <w:rsid w:val="00045F43"/>
    <w:rsid w:val="000466C4"/>
    <w:rsid w:val="00054759"/>
    <w:rsid w:val="00063008"/>
    <w:rsid w:val="00072D76"/>
    <w:rsid w:val="00081FD7"/>
    <w:rsid w:val="00084037"/>
    <w:rsid w:val="00084A0E"/>
    <w:rsid w:val="00096441"/>
    <w:rsid w:val="000A1F45"/>
    <w:rsid w:val="000B286F"/>
    <w:rsid w:val="000C2882"/>
    <w:rsid w:val="000C3E5E"/>
    <w:rsid w:val="000D38F2"/>
    <w:rsid w:val="000D4432"/>
    <w:rsid w:val="000E198E"/>
    <w:rsid w:val="000E1FED"/>
    <w:rsid w:val="000E467C"/>
    <w:rsid w:val="000E4D63"/>
    <w:rsid w:val="001058A7"/>
    <w:rsid w:val="00106DF4"/>
    <w:rsid w:val="001075DF"/>
    <w:rsid w:val="001307F0"/>
    <w:rsid w:val="00137AA1"/>
    <w:rsid w:val="001406B1"/>
    <w:rsid w:val="00142E54"/>
    <w:rsid w:val="00151005"/>
    <w:rsid w:val="00151B8C"/>
    <w:rsid w:val="001632BA"/>
    <w:rsid w:val="00180BDF"/>
    <w:rsid w:val="00190F1D"/>
    <w:rsid w:val="001A0F32"/>
    <w:rsid w:val="001A0FA0"/>
    <w:rsid w:val="001A450D"/>
    <w:rsid w:val="001A467D"/>
    <w:rsid w:val="001A5B36"/>
    <w:rsid w:val="001A72F1"/>
    <w:rsid w:val="001B240B"/>
    <w:rsid w:val="001B29EB"/>
    <w:rsid w:val="001B780B"/>
    <w:rsid w:val="001C5322"/>
    <w:rsid w:val="001E3BE9"/>
    <w:rsid w:val="001E44E9"/>
    <w:rsid w:val="001E6A7E"/>
    <w:rsid w:val="001F7DB0"/>
    <w:rsid w:val="00205FC6"/>
    <w:rsid w:val="002205DA"/>
    <w:rsid w:val="002327FC"/>
    <w:rsid w:val="00233C76"/>
    <w:rsid w:val="00252A24"/>
    <w:rsid w:val="00254143"/>
    <w:rsid w:val="0025453A"/>
    <w:rsid w:val="002552AA"/>
    <w:rsid w:val="00260065"/>
    <w:rsid w:val="00260EFF"/>
    <w:rsid w:val="00261896"/>
    <w:rsid w:val="00270BE1"/>
    <w:rsid w:val="00274C41"/>
    <w:rsid w:val="002750A0"/>
    <w:rsid w:val="00276047"/>
    <w:rsid w:val="002823B7"/>
    <w:rsid w:val="002831B3"/>
    <w:rsid w:val="00292CBD"/>
    <w:rsid w:val="00294CDD"/>
    <w:rsid w:val="002A1B81"/>
    <w:rsid w:val="002A6757"/>
    <w:rsid w:val="002B6EA1"/>
    <w:rsid w:val="002E77D8"/>
    <w:rsid w:val="002F3D87"/>
    <w:rsid w:val="002F5BF1"/>
    <w:rsid w:val="003042F5"/>
    <w:rsid w:val="00311BCA"/>
    <w:rsid w:val="00313539"/>
    <w:rsid w:val="003139BF"/>
    <w:rsid w:val="00323FD7"/>
    <w:rsid w:val="00326A6D"/>
    <w:rsid w:val="0033650F"/>
    <w:rsid w:val="0033757F"/>
    <w:rsid w:val="003510D7"/>
    <w:rsid w:val="003548C9"/>
    <w:rsid w:val="003577E9"/>
    <w:rsid w:val="00357EFA"/>
    <w:rsid w:val="00365D19"/>
    <w:rsid w:val="00374E6A"/>
    <w:rsid w:val="00375CED"/>
    <w:rsid w:val="003B45AC"/>
    <w:rsid w:val="003B5C2D"/>
    <w:rsid w:val="003C0FC1"/>
    <w:rsid w:val="003C3173"/>
    <w:rsid w:val="003C4239"/>
    <w:rsid w:val="003C4479"/>
    <w:rsid w:val="003D2A1B"/>
    <w:rsid w:val="003D6ED5"/>
    <w:rsid w:val="003E1463"/>
    <w:rsid w:val="003E1811"/>
    <w:rsid w:val="003F2CB4"/>
    <w:rsid w:val="00411092"/>
    <w:rsid w:val="00416821"/>
    <w:rsid w:val="004228CF"/>
    <w:rsid w:val="00433753"/>
    <w:rsid w:val="00442D29"/>
    <w:rsid w:val="0044746A"/>
    <w:rsid w:val="00454785"/>
    <w:rsid w:val="004557B5"/>
    <w:rsid w:val="00456A14"/>
    <w:rsid w:val="00457304"/>
    <w:rsid w:val="00460A02"/>
    <w:rsid w:val="0046188B"/>
    <w:rsid w:val="00464063"/>
    <w:rsid w:val="0047126C"/>
    <w:rsid w:val="00481490"/>
    <w:rsid w:val="00481557"/>
    <w:rsid w:val="0048305D"/>
    <w:rsid w:val="004A2F32"/>
    <w:rsid w:val="004A5EAE"/>
    <w:rsid w:val="004C64F3"/>
    <w:rsid w:val="004D3BC9"/>
    <w:rsid w:val="004D52D8"/>
    <w:rsid w:val="004E62AF"/>
    <w:rsid w:val="004E7022"/>
    <w:rsid w:val="004F6AC4"/>
    <w:rsid w:val="004F7264"/>
    <w:rsid w:val="0050076F"/>
    <w:rsid w:val="00500B68"/>
    <w:rsid w:val="00500E35"/>
    <w:rsid w:val="00506585"/>
    <w:rsid w:val="00515D4F"/>
    <w:rsid w:val="0051739D"/>
    <w:rsid w:val="0051755B"/>
    <w:rsid w:val="00524C6D"/>
    <w:rsid w:val="00547DA1"/>
    <w:rsid w:val="00563206"/>
    <w:rsid w:val="0056405A"/>
    <w:rsid w:val="005754CD"/>
    <w:rsid w:val="00580C8B"/>
    <w:rsid w:val="00582F34"/>
    <w:rsid w:val="00584CEE"/>
    <w:rsid w:val="005857F7"/>
    <w:rsid w:val="00586185"/>
    <w:rsid w:val="005918DA"/>
    <w:rsid w:val="00596E5D"/>
    <w:rsid w:val="005A0A0A"/>
    <w:rsid w:val="005A5A3D"/>
    <w:rsid w:val="005B1187"/>
    <w:rsid w:val="005B1ECE"/>
    <w:rsid w:val="005B4BB9"/>
    <w:rsid w:val="005C088A"/>
    <w:rsid w:val="005C4E76"/>
    <w:rsid w:val="005D2172"/>
    <w:rsid w:val="005D55CD"/>
    <w:rsid w:val="005E0802"/>
    <w:rsid w:val="005E3D95"/>
    <w:rsid w:val="005E408D"/>
    <w:rsid w:val="005E6837"/>
    <w:rsid w:val="005F0881"/>
    <w:rsid w:val="005F0FA2"/>
    <w:rsid w:val="005F3FD9"/>
    <w:rsid w:val="005F6961"/>
    <w:rsid w:val="00601551"/>
    <w:rsid w:val="00606F3F"/>
    <w:rsid w:val="00610AB8"/>
    <w:rsid w:val="006129CA"/>
    <w:rsid w:val="00613E66"/>
    <w:rsid w:val="00657F87"/>
    <w:rsid w:val="00664C7C"/>
    <w:rsid w:val="00666D5D"/>
    <w:rsid w:val="00676484"/>
    <w:rsid w:val="00681967"/>
    <w:rsid w:val="0068336C"/>
    <w:rsid w:val="00683864"/>
    <w:rsid w:val="006858EB"/>
    <w:rsid w:val="00691561"/>
    <w:rsid w:val="00696E23"/>
    <w:rsid w:val="0069745C"/>
    <w:rsid w:val="006A5D76"/>
    <w:rsid w:val="006B1A72"/>
    <w:rsid w:val="006C414C"/>
    <w:rsid w:val="006E6210"/>
    <w:rsid w:val="006F7FE9"/>
    <w:rsid w:val="007311B7"/>
    <w:rsid w:val="0073147D"/>
    <w:rsid w:val="007317BF"/>
    <w:rsid w:val="00733CE3"/>
    <w:rsid w:val="00740A22"/>
    <w:rsid w:val="0074223D"/>
    <w:rsid w:val="00743EF2"/>
    <w:rsid w:val="007462CB"/>
    <w:rsid w:val="00752FB8"/>
    <w:rsid w:val="00755421"/>
    <w:rsid w:val="0075598E"/>
    <w:rsid w:val="00756B83"/>
    <w:rsid w:val="00761903"/>
    <w:rsid w:val="00767051"/>
    <w:rsid w:val="00773F7E"/>
    <w:rsid w:val="0077627A"/>
    <w:rsid w:val="00777E73"/>
    <w:rsid w:val="00783A6F"/>
    <w:rsid w:val="00787E9A"/>
    <w:rsid w:val="007B79D3"/>
    <w:rsid w:val="007C54BB"/>
    <w:rsid w:val="007D71B5"/>
    <w:rsid w:val="007F23A4"/>
    <w:rsid w:val="00800D56"/>
    <w:rsid w:val="0080146F"/>
    <w:rsid w:val="008106BA"/>
    <w:rsid w:val="008168F1"/>
    <w:rsid w:val="00830C10"/>
    <w:rsid w:val="008314EF"/>
    <w:rsid w:val="00832981"/>
    <w:rsid w:val="00845D9A"/>
    <w:rsid w:val="008639F6"/>
    <w:rsid w:val="008734F3"/>
    <w:rsid w:val="00875A12"/>
    <w:rsid w:val="00876CD6"/>
    <w:rsid w:val="00885772"/>
    <w:rsid w:val="0088752F"/>
    <w:rsid w:val="00893D34"/>
    <w:rsid w:val="008940E5"/>
    <w:rsid w:val="00895E2E"/>
    <w:rsid w:val="008A06C8"/>
    <w:rsid w:val="008A07E8"/>
    <w:rsid w:val="008A1735"/>
    <w:rsid w:val="008A3B9B"/>
    <w:rsid w:val="008B48D9"/>
    <w:rsid w:val="008B63D0"/>
    <w:rsid w:val="008C25D3"/>
    <w:rsid w:val="008C5839"/>
    <w:rsid w:val="008D190E"/>
    <w:rsid w:val="008D1CBA"/>
    <w:rsid w:val="008D1CDD"/>
    <w:rsid w:val="008E2C80"/>
    <w:rsid w:val="008F12E5"/>
    <w:rsid w:val="008F491B"/>
    <w:rsid w:val="009058F4"/>
    <w:rsid w:val="00906A55"/>
    <w:rsid w:val="00906C8D"/>
    <w:rsid w:val="009070DB"/>
    <w:rsid w:val="00907469"/>
    <w:rsid w:val="00910280"/>
    <w:rsid w:val="009158D7"/>
    <w:rsid w:val="0093089C"/>
    <w:rsid w:val="009323B1"/>
    <w:rsid w:val="0093717C"/>
    <w:rsid w:val="00940FD3"/>
    <w:rsid w:val="00942EDF"/>
    <w:rsid w:val="009439A4"/>
    <w:rsid w:val="009447B1"/>
    <w:rsid w:val="00963AD9"/>
    <w:rsid w:val="00964E90"/>
    <w:rsid w:val="009676EA"/>
    <w:rsid w:val="00974FDC"/>
    <w:rsid w:val="00985120"/>
    <w:rsid w:val="009905D7"/>
    <w:rsid w:val="009926C2"/>
    <w:rsid w:val="009A513B"/>
    <w:rsid w:val="009B0E03"/>
    <w:rsid w:val="009B3759"/>
    <w:rsid w:val="009B4235"/>
    <w:rsid w:val="009B776D"/>
    <w:rsid w:val="009C1DF1"/>
    <w:rsid w:val="009C4DB5"/>
    <w:rsid w:val="009C6469"/>
    <w:rsid w:val="009D4C36"/>
    <w:rsid w:val="009D4E2C"/>
    <w:rsid w:val="009D6B1D"/>
    <w:rsid w:val="009E00B5"/>
    <w:rsid w:val="009E6040"/>
    <w:rsid w:val="00A0444D"/>
    <w:rsid w:val="00A0572A"/>
    <w:rsid w:val="00A10F72"/>
    <w:rsid w:val="00A14BF0"/>
    <w:rsid w:val="00A1559D"/>
    <w:rsid w:val="00A1659D"/>
    <w:rsid w:val="00A16AD2"/>
    <w:rsid w:val="00A17041"/>
    <w:rsid w:val="00A2271F"/>
    <w:rsid w:val="00A268C3"/>
    <w:rsid w:val="00A308D6"/>
    <w:rsid w:val="00A30932"/>
    <w:rsid w:val="00A30D72"/>
    <w:rsid w:val="00A33139"/>
    <w:rsid w:val="00A34BFF"/>
    <w:rsid w:val="00A35C59"/>
    <w:rsid w:val="00A423BD"/>
    <w:rsid w:val="00A53F9E"/>
    <w:rsid w:val="00A66FB9"/>
    <w:rsid w:val="00A70490"/>
    <w:rsid w:val="00A72704"/>
    <w:rsid w:val="00A73315"/>
    <w:rsid w:val="00A76D5B"/>
    <w:rsid w:val="00A81A14"/>
    <w:rsid w:val="00A850BB"/>
    <w:rsid w:val="00A932BA"/>
    <w:rsid w:val="00A95FAD"/>
    <w:rsid w:val="00AA0549"/>
    <w:rsid w:val="00AA5139"/>
    <w:rsid w:val="00AB0033"/>
    <w:rsid w:val="00AB15EA"/>
    <w:rsid w:val="00AB62BA"/>
    <w:rsid w:val="00AB68FA"/>
    <w:rsid w:val="00AC4CB3"/>
    <w:rsid w:val="00AC65C5"/>
    <w:rsid w:val="00AD306F"/>
    <w:rsid w:val="00AD4FAE"/>
    <w:rsid w:val="00AE295D"/>
    <w:rsid w:val="00AE2A89"/>
    <w:rsid w:val="00AE7BBE"/>
    <w:rsid w:val="00AF06CA"/>
    <w:rsid w:val="00AF3AB3"/>
    <w:rsid w:val="00B101A7"/>
    <w:rsid w:val="00B1128A"/>
    <w:rsid w:val="00B15C31"/>
    <w:rsid w:val="00B273BD"/>
    <w:rsid w:val="00B31EC6"/>
    <w:rsid w:val="00B32750"/>
    <w:rsid w:val="00B3297F"/>
    <w:rsid w:val="00B33B07"/>
    <w:rsid w:val="00B507FD"/>
    <w:rsid w:val="00B52D65"/>
    <w:rsid w:val="00B53BE4"/>
    <w:rsid w:val="00B571F3"/>
    <w:rsid w:val="00B60C96"/>
    <w:rsid w:val="00B66058"/>
    <w:rsid w:val="00B706CF"/>
    <w:rsid w:val="00B8115F"/>
    <w:rsid w:val="00B81A49"/>
    <w:rsid w:val="00B81CE1"/>
    <w:rsid w:val="00B82871"/>
    <w:rsid w:val="00B91537"/>
    <w:rsid w:val="00B926AC"/>
    <w:rsid w:val="00BA3080"/>
    <w:rsid w:val="00BB4B18"/>
    <w:rsid w:val="00BC2537"/>
    <w:rsid w:val="00BE3A7C"/>
    <w:rsid w:val="00BE7319"/>
    <w:rsid w:val="00BF1C25"/>
    <w:rsid w:val="00BF270C"/>
    <w:rsid w:val="00BF3B71"/>
    <w:rsid w:val="00BF5D50"/>
    <w:rsid w:val="00C066B4"/>
    <w:rsid w:val="00C207EF"/>
    <w:rsid w:val="00C24F53"/>
    <w:rsid w:val="00C2509D"/>
    <w:rsid w:val="00C31247"/>
    <w:rsid w:val="00C328CA"/>
    <w:rsid w:val="00C43805"/>
    <w:rsid w:val="00C52C99"/>
    <w:rsid w:val="00C55332"/>
    <w:rsid w:val="00C7221A"/>
    <w:rsid w:val="00C80C37"/>
    <w:rsid w:val="00C85DE1"/>
    <w:rsid w:val="00C87558"/>
    <w:rsid w:val="00CA21AB"/>
    <w:rsid w:val="00CB2076"/>
    <w:rsid w:val="00CB2D1F"/>
    <w:rsid w:val="00CB2E76"/>
    <w:rsid w:val="00CC434E"/>
    <w:rsid w:val="00CC7848"/>
    <w:rsid w:val="00CD2119"/>
    <w:rsid w:val="00CD4503"/>
    <w:rsid w:val="00CD5F40"/>
    <w:rsid w:val="00CE0E8C"/>
    <w:rsid w:val="00CF3397"/>
    <w:rsid w:val="00D05F5D"/>
    <w:rsid w:val="00D10308"/>
    <w:rsid w:val="00D10ECD"/>
    <w:rsid w:val="00D161E2"/>
    <w:rsid w:val="00D17B09"/>
    <w:rsid w:val="00D222E4"/>
    <w:rsid w:val="00D25BE3"/>
    <w:rsid w:val="00D411CC"/>
    <w:rsid w:val="00D419A2"/>
    <w:rsid w:val="00D473D5"/>
    <w:rsid w:val="00D5141B"/>
    <w:rsid w:val="00D51D19"/>
    <w:rsid w:val="00D5331C"/>
    <w:rsid w:val="00D55BDB"/>
    <w:rsid w:val="00D6302E"/>
    <w:rsid w:val="00D65902"/>
    <w:rsid w:val="00D70AE2"/>
    <w:rsid w:val="00D70B15"/>
    <w:rsid w:val="00D75DE6"/>
    <w:rsid w:val="00D86B77"/>
    <w:rsid w:val="00D87900"/>
    <w:rsid w:val="00D90EAD"/>
    <w:rsid w:val="00D9443B"/>
    <w:rsid w:val="00DA0E14"/>
    <w:rsid w:val="00DA50F4"/>
    <w:rsid w:val="00DA61BE"/>
    <w:rsid w:val="00DA7D1B"/>
    <w:rsid w:val="00DA7F89"/>
    <w:rsid w:val="00DB2AD0"/>
    <w:rsid w:val="00DB74B7"/>
    <w:rsid w:val="00DC4710"/>
    <w:rsid w:val="00DD24CA"/>
    <w:rsid w:val="00DD2DE0"/>
    <w:rsid w:val="00DD300C"/>
    <w:rsid w:val="00DD3AAB"/>
    <w:rsid w:val="00DD5C70"/>
    <w:rsid w:val="00DE2262"/>
    <w:rsid w:val="00DF4809"/>
    <w:rsid w:val="00E006F5"/>
    <w:rsid w:val="00E34225"/>
    <w:rsid w:val="00E44736"/>
    <w:rsid w:val="00E5323A"/>
    <w:rsid w:val="00E54EF7"/>
    <w:rsid w:val="00E60132"/>
    <w:rsid w:val="00E65098"/>
    <w:rsid w:val="00E679C0"/>
    <w:rsid w:val="00E70FDD"/>
    <w:rsid w:val="00E72B94"/>
    <w:rsid w:val="00E764CF"/>
    <w:rsid w:val="00E834CB"/>
    <w:rsid w:val="00E85EA2"/>
    <w:rsid w:val="00E87D88"/>
    <w:rsid w:val="00E90301"/>
    <w:rsid w:val="00E95FE4"/>
    <w:rsid w:val="00E96653"/>
    <w:rsid w:val="00E97F26"/>
    <w:rsid w:val="00EA427F"/>
    <w:rsid w:val="00EA7025"/>
    <w:rsid w:val="00EB0FD5"/>
    <w:rsid w:val="00EB3A0D"/>
    <w:rsid w:val="00EB73EB"/>
    <w:rsid w:val="00EC0588"/>
    <w:rsid w:val="00EE04E8"/>
    <w:rsid w:val="00EE2CBC"/>
    <w:rsid w:val="00EE5873"/>
    <w:rsid w:val="00EE77B4"/>
    <w:rsid w:val="00EE7E7F"/>
    <w:rsid w:val="00EF0428"/>
    <w:rsid w:val="00EF2021"/>
    <w:rsid w:val="00EF3CE9"/>
    <w:rsid w:val="00EF66F5"/>
    <w:rsid w:val="00EF7FC9"/>
    <w:rsid w:val="00F03C1B"/>
    <w:rsid w:val="00F12E36"/>
    <w:rsid w:val="00F31BA4"/>
    <w:rsid w:val="00F35AF7"/>
    <w:rsid w:val="00F36BA2"/>
    <w:rsid w:val="00F44F93"/>
    <w:rsid w:val="00F45612"/>
    <w:rsid w:val="00F51518"/>
    <w:rsid w:val="00F55FD3"/>
    <w:rsid w:val="00F71DE0"/>
    <w:rsid w:val="00F71FA0"/>
    <w:rsid w:val="00F73BB6"/>
    <w:rsid w:val="00F778AB"/>
    <w:rsid w:val="00F829E8"/>
    <w:rsid w:val="00F8390D"/>
    <w:rsid w:val="00F943F1"/>
    <w:rsid w:val="00F94725"/>
    <w:rsid w:val="00F96DF4"/>
    <w:rsid w:val="00FA603F"/>
    <w:rsid w:val="00FA6F01"/>
    <w:rsid w:val="00FD6399"/>
    <w:rsid w:val="00FD65D0"/>
    <w:rsid w:val="00FE2D49"/>
    <w:rsid w:val="00FF3B95"/>
    <w:rsid w:val="010F6498"/>
    <w:rsid w:val="01101C9F"/>
    <w:rsid w:val="01106E84"/>
    <w:rsid w:val="01140823"/>
    <w:rsid w:val="0119677B"/>
    <w:rsid w:val="011B51B7"/>
    <w:rsid w:val="011C07C7"/>
    <w:rsid w:val="011F1C5B"/>
    <w:rsid w:val="011F5CC1"/>
    <w:rsid w:val="01233248"/>
    <w:rsid w:val="012C77E6"/>
    <w:rsid w:val="01340970"/>
    <w:rsid w:val="013660FD"/>
    <w:rsid w:val="013E4434"/>
    <w:rsid w:val="01453FBC"/>
    <w:rsid w:val="01473D73"/>
    <w:rsid w:val="01485147"/>
    <w:rsid w:val="014A7ABD"/>
    <w:rsid w:val="014E7D20"/>
    <w:rsid w:val="014F5468"/>
    <w:rsid w:val="015001B2"/>
    <w:rsid w:val="01521294"/>
    <w:rsid w:val="015F5F0D"/>
    <w:rsid w:val="01666DF7"/>
    <w:rsid w:val="017E0CD4"/>
    <w:rsid w:val="0188654C"/>
    <w:rsid w:val="018C1CCC"/>
    <w:rsid w:val="01957C15"/>
    <w:rsid w:val="019D25CC"/>
    <w:rsid w:val="01A559D3"/>
    <w:rsid w:val="01A82A1E"/>
    <w:rsid w:val="01A87296"/>
    <w:rsid w:val="01AE698A"/>
    <w:rsid w:val="01B12E51"/>
    <w:rsid w:val="01B26EAA"/>
    <w:rsid w:val="01B5403F"/>
    <w:rsid w:val="01B728B7"/>
    <w:rsid w:val="01BD67B0"/>
    <w:rsid w:val="01C94206"/>
    <w:rsid w:val="01CA417B"/>
    <w:rsid w:val="01CC491E"/>
    <w:rsid w:val="01CD5010"/>
    <w:rsid w:val="01D40419"/>
    <w:rsid w:val="01D60161"/>
    <w:rsid w:val="01D8191B"/>
    <w:rsid w:val="01DA6751"/>
    <w:rsid w:val="01DA6BD0"/>
    <w:rsid w:val="01E37FF4"/>
    <w:rsid w:val="01E527CE"/>
    <w:rsid w:val="01EF395C"/>
    <w:rsid w:val="01EF572E"/>
    <w:rsid w:val="01F5219D"/>
    <w:rsid w:val="01F66ABD"/>
    <w:rsid w:val="01F86825"/>
    <w:rsid w:val="01FF7430"/>
    <w:rsid w:val="02055DC0"/>
    <w:rsid w:val="0207596E"/>
    <w:rsid w:val="020A0302"/>
    <w:rsid w:val="020E231D"/>
    <w:rsid w:val="021632D4"/>
    <w:rsid w:val="02203329"/>
    <w:rsid w:val="02285960"/>
    <w:rsid w:val="02342D24"/>
    <w:rsid w:val="023E555C"/>
    <w:rsid w:val="023F41C2"/>
    <w:rsid w:val="024044E2"/>
    <w:rsid w:val="02454550"/>
    <w:rsid w:val="02455FF9"/>
    <w:rsid w:val="02485E6C"/>
    <w:rsid w:val="025C33EE"/>
    <w:rsid w:val="025E4008"/>
    <w:rsid w:val="02753698"/>
    <w:rsid w:val="028357C8"/>
    <w:rsid w:val="02847CBF"/>
    <w:rsid w:val="028D295C"/>
    <w:rsid w:val="02910A6D"/>
    <w:rsid w:val="02946C18"/>
    <w:rsid w:val="029632C2"/>
    <w:rsid w:val="029A10E2"/>
    <w:rsid w:val="029F53A6"/>
    <w:rsid w:val="02A348B5"/>
    <w:rsid w:val="02A74A76"/>
    <w:rsid w:val="02AD0A67"/>
    <w:rsid w:val="02B45AD1"/>
    <w:rsid w:val="02BD53B0"/>
    <w:rsid w:val="02BF7762"/>
    <w:rsid w:val="02C3359F"/>
    <w:rsid w:val="02C46F3A"/>
    <w:rsid w:val="02CD17E6"/>
    <w:rsid w:val="02CF68C3"/>
    <w:rsid w:val="02D42E5C"/>
    <w:rsid w:val="02D94A3C"/>
    <w:rsid w:val="02E4100B"/>
    <w:rsid w:val="02E43D70"/>
    <w:rsid w:val="02E555B0"/>
    <w:rsid w:val="02E77579"/>
    <w:rsid w:val="02F27208"/>
    <w:rsid w:val="02F513EE"/>
    <w:rsid w:val="02F95301"/>
    <w:rsid w:val="03026FE1"/>
    <w:rsid w:val="030A7A82"/>
    <w:rsid w:val="030C6E8A"/>
    <w:rsid w:val="0310556F"/>
    <w:rsid w:val="03172DD2"/>
    <w:rsid w:val="0319659D"/>
    <w:rsid w:val="031A113A"/>
    <w:rsid w:val="031A1660"/>
    <w:rsid w:val="031D085A"/>
    <w:rsid w:val="0322167D"/>
    <w:rsid w:val="03251183"/>
    <w:rsid w:val="032C4CE8"/>
    <w:rsid w:val="03305407"/>
    <w:rsid w:val="03395ADF"/>
    <w:rsid w:val="033D5032"/>
    <w:rsid w:val="03411275"/>
    <w:rsid w:val="03446DEB"/>
    <w:rsid w:val="036640F9"/>
    <w:rsid w:val="036713E0"/>
    <w:rsid w:val="036D5F4D"/>
    <w:rsid w:val="036D7749"/>
    <w:rsid w:val="036F5708"/>
    <w:rsid w:val="03715984"/>
    <w:rsid w:val="03732015"/>
    <w:rsid w:val="037847BF"/>
    <w:rsid w:val="038148AE"/>
    <w:rsid w:val="038A42B6"/>
    <w:rsid w:val="03966DFE"/>
    <w:rsid w:val="039879B3"/>
    <w:rsid w:val="039E1BB7"/>
    <w:rsid w:val="03A20E29"/>
    <w:rsid w:val="03AF1D2A"/>
    <w:rsid w:val="03AF6D28"/>
    <w:rsid w:val="03B20D78"/>
    <w:rsid w:val="03B542FA"/>
    <w:rsid w:val="03BB424C"/>
    <w:rsid w:val="03BB68C3"/>
    <w:rsid w:val="03C7610B"/>
    <w:rsid w:val="03D46029"/>
    <w:rsid w:val="03D858A5"/>
    <w:rsid w:val="03DE228A"/>
    <w:rsid w:val="03E41BFD"/>
    <w:rsid w:val="03E47B3B"/>
    <w:rsid w:val="03EF2050"/>
    <w:rsid w:val="03F0781A"/>
    <w:rsid w:val="03F777AC"/>
    <w:rsid w:val="03F77B01"/>
    <w:rsid w:val="03FB6131"/>
    <w:rsid w:val="040033A9"/>
    <w:rsid w:val="040C6FDB"/>
    <w:rsid w:val="0418245F"/>
    <w:rsid w:val="041E325D"/>
    <w:rsid w:val="042F1589"/>
    <w:rsid w:val="04313963"/>
    <w:rsid w:val="04331964"/>
    <w:rsid w:val="044A6CB7"/>
    <w:rsid w:val="044E3330"/>
    <w:rsid w:val="04501E50"/>
    <w:rsid w:val="04535BE5"/>
    <w:rsid w:val="0455457D"/>
    <w:rsid w:val="04555D96"/>
    <w:rsid w:val="045C49D6"/>
    <w:rsid w:val="04611DA8"/>
    <w:rsid w:val="04611F24"/>
    <w:rsid w:val="047C5665"/>
    <w:rsid w:val="047D4ADB"/>
    <w:rsid w:val="04850C83"/>
    <w:rsid w:val="048B427B"/>
    <w:rsid w:val="049A40B9"/>
    <w:rsid w:val="049F7643"/>
    <w:rsid w:val="04A32BED"/>
    <w:rsid w:val="04A32DEA"/>
    <w:rsid w:val="04A46667"/>
    <w:rsid w:val="04AA0200"/>
    <w:rsid w:val="04AB40A4"/>
    <w:rsid w:val="04C015A5"/>
    <w:rsid w:val="04C0345C"/>
    <w:rsid w:val="04C74740"/>
    <w:rsid w:val="04C8144D"/>
    <w:rsid w:val="04D7237F"/>
    <w:rsid w:val="04D97B37"/>
    <w:rsid w:val="04DB0DF1"/>
    <w:rsid w:val="04DD6231"/>
    <w:rsid w:val="04DF6BF7"/>
    <w:rsid w:val="04EC1DD7"/>
    <w:rsid w:val="04EE1218"/>
    <w:rsid w:val="04FA5FFD"/>
    <w:rsid w:val="04FB2C4B"/>
    <w:rsid w:val="04FC12B5"/>
    <w:rsid w:val="050016B1"/>
    <w:rsid w:val="050A1D63"/>
    <w:rsid w:val="05121B3E"/>
    <w:rsid w:val="05237F58"/>
    <w:rsid w:val="052B247E"/>
    <w:rsid w:val="052C47EA"/>
    <w:rsid w:val="053718C6"/>
    <w:rsid w:val="053A4615"/>
    <w:rsid w:val="053D0036"/>
    <w:rsid w:val="05402410"/>
    <w:rsid w:val="05413E8A"/>
    <w:rsid w:val="054948BA"/>
    <w:rsid w:val="054F155B"/>
    <w:rsid w:val="05502269"/>
    <w:rsid w:val="05542E41"/>
    <w:rsid w:val="05560F8B"/>
    <w:rsid w:val="055B2A83"/>
    <w:rsid w:val="055D0872"/>
    <w:rsid w:val="0569276E"/>
    <w:rsid w:val="058F7F05"/>
    <w:rsid w:val="059371AE"/>
    <w:rsid w:val="05972626"/>
    <w:rsid w:val="059B65CB"/>
    <w:rsid w:val="05A45296"/>
    <w:rsid w:val="05A733AF"/>
    <w:rsid w:val="05AD2CD8"/>
    <w:rsid w:val="05AF4E29"/>
    <w:rsid w:val="05B16C32"/>
    <w:rsid w:val="05B47AD4"/>
    <w:rsid w:val="05B50A72"/>
    <w:rsid w:val="05B82808"/>
    <w:rsid w:val="05CB0AF5"/>
    <w:rsid w:val="05EA0098"/>
    <w:rsid w:val="06054D3A"/>
    <w:rsid w:val="060C4A99"/>
    <w:rsid w:val="060D1600"/>
    <w:rsid w:val="06146688"/>
    <w:rsid w:val="06253DC7"/>
    <w:rsid w:val="06293413"/>
    <w:rsid w:val="062B4636"/>
    <w:rsid w:val="062D5218"/>
    <w:rsid w:val="062F0D23"/>
    <w:rsid w:val="063C4134"/>
    <w:rsid w:val="064A0C1C"/>
    <w:rsid w:val="06500DC0"/>
    <w:rsid w:val="065572C8"/>
    <w:rsid w:val="0658230C"/>
    <w:rsid w:val="065913F0"/>
    <w:rsid w:val="065A2F36"/>
    <w:rsid w:val="065B1C13"/>
    <w:rsid w:val="065D3C4F"/>
    <w:rsid w:val="065F1ADD"/>
    <w:rsid w:val="0660299E"/>
    <w:rsid w:val="066504D9"/>
    <w:rsid w:val="066656D1"/>
    <w:rsid w:val="066971E9"/>
    <w:rsid w:val="066F26DE"/>
    <w:rsid w:val="066F3F30"/>
    <w:rsid w:val="067009D5"/>
    <w:rsid w:val="06711832"/>
    <w:rsid w:val="06744A1A"/>
    <w:rsid w:val="06756F5C"/>
    <w:rsid w:val="06792A95"/>
    <w:rsid w:val="06857FC6"/>
    <w:rsid w:val="06950867"/>
    <w:rsid w:val="069D4895"/>
    <w:rsid w:val="06A560E9"/>
    <w:rsid w:val="06A8066A"/>
    <w:rsid w:val="06AB3BF0"/>
    <w:rsid w:val="06BA4B99"/>
    <w:rsid w:val="06C113BC"/>
    <w:rsid w:val="06C15779"/>
    <w:rsid w:val="06D03D80"/>
    <w:rsid w:val="06D60386"/>
    <w:rsid w:val="06D81937"/>
    <w:rsid w:val="06DA4D17"/>
    <w:rsid w:val="06DE1E70"/>
    <w:rsid w:val="06E839CE"/>
    <w:rsid w:val="06E8793C"/>
    <w:rsid w:val="06EE117D"/>
    <w:rsid w:val="06F13838"/>
    <w:rsid w:val="06F2783E"/>
    <w:rsid w:val="06F83412"/>
    <w:rsid w:val="06F840BA"/>
    <w:rsid w:val="07031F38"/>
    <w:rsid w:val="07046F2B"/>
    <w:rsid w:val="07071B08"/>
    <w:rsid w:val="07086BC1"/>
    <w:rsid w:val="070F2E58"/>
    <w:rsid w:val="07240FE7"/>
    <w:rsid w:val="07280600"/>
    <w:rsid w:val="072C3637"/>
    <w:rsid w:val="072F4F4B"/>
    <w:rsid w:val="073C7962"/>
    <w:rsid w:val="0742282F"/>
    <w:rsid w:val="07454F53"/>
    <w:rsid w:val="07580D33"/>
    <w:rsid w:val="075819F8"/>
    <w:rsid w:val="075910C0"/>
    <w:rsid w:val="07640FA9"/>
    <w:rsid w:val="076F7B7A"/>
    <w:rsid w:val="077B1E11"/>
    <w:rsid w:val="078265DC"/>
    <w:rsid w:val="07836710"/>
    <w:rsid w:val="078B0C0D"/>
    <w:rsid w:val="078D1E05"/>
    <w:rsid w:val="078F2CB3"/>
    <w:rsid w:val="078F3C3D"/>
    <w:rsid w:val="0794171E"/>
    <w:rsid w:val="07971C78"/>
    <w:rsid w:val="07976154"/>
    <w:rsid w:val="07983A54"/>
    <w:rsid w:val="079A0BC7"/>
    <w:rsid w:val="079A116C"/>
    <w:rsid w:val="07A1136F"/>
    <w:rsid w:val="07A67245"/>
    <w:rsid w:val="07A726EA"/>
    <w:rsid w:val="07A85C5E"/>
    <w:rsid w:val="07AC277A"/>
    <w:rsid w:val="07B13293"/>
    <w:rsid w:val="07B35A21"/>
    <w:rsid w:val="07B4355A"/>
    <w:rsid w:val="07B70433"/>
    <w:rsid w:val="07B900BE"/>
    <w:rsid w:val="07BD6B89"/>
    <w:rsid w:val="07BE4D6C"/>
    <w:rsid w:val="07C23C33"/>
    <w:rsid w:val="07C57D7C"/>
    <w:rsid w:val="07C66F31"/>
    <w:rsid w:val="07CC4C77"/>
    <w:rsid w:val="07DD42B2"/>
    <w:rsid w:val="07EB360F"/>
    <w:rsid w:val="07EC337B"/>
    <w:rsid w:val="07F25B5A"/>
    <w:rsid w:val="07F838E7"/>
    <w:rsid w:val="0803449C"/>
    <w:rsid w:val="08135252"/>
    <w:rsid w:val="0813640A"/>
    <w:rsid w:val="08194A1B"/>
    <w:rsid w:val="082252A0"/>
    <w:rsid w:val="0825627A"/>
    <w:rsid w:val="083039FF"/>
    <w:rsid w:val="08382BED"/>
    <w:rsid w:val="0838352D"/>
    <w:rsid w:val="083975C7"/>
    <w:rsid w:val="083F11FC"/>
    <w:rsid w:val="083F580E"/>
    <w:rsid w:val="085060FC"/>
    <w:rsid w:val="08521BDD"/>
    <w:rsid w:val="08546B04"/>
    <w:rsid w:val="085916CA"/>
    <w:rsid w:val="085D5E7C"/>
    <w:rsid w:val="085F2DA8"/>
    <w:rsid w:val="086D473A"/>
    <w:rsid w:val="087A03C6"/>
    <w:rsid w:val="087B531C"/>
    <w:rsid w:val="08853701"/>
    <w:rsid w:val="088A4821"/>
    <w:rsid w:val="089B6B7D"/>
    <w:rsid w:val="08A60582"/>
    <w:rsid w:val="08A649F2"/>
    <w:rsid w:val="08A70162"/>
    <w:rsid w:val="08B43312"/>
    <w:rsid w:val="08CC706D"/>
    <w:rsid w:val="08D315E8"/>
    <w:rsid w:val="08E406BE"/>
    <w:rsid w:val="08EF05D7"/>
    <w:rsid w:val="08EF164C"/>
    <w:rsid w:val="08F0053E"/>
    <w:rsid w:val="08F04293"/>
    <w:rsid w:val="08F408D3"/>
    <w:rsid w:val="08FA1D38"/>
    <w:rsid w:val="09010F91"/>
    <w:rsid w:val="09060352"/>
    <w:rsid w:val="09093863"/>
    <w:rsid w:val="091343F8"/>
    <w:rsid w:val="09185424"/>
    <w:rsid w:val="091E6E05"/>
    <w:rsid w:val="09201965"/>
    <w:rsid w:val="09282A3B"/>
    <w:rsid w:val="092D6ABC"/>
    <w:rsid w:val="0934713F"/>
    <w:rsid w:val="093C01DF"/>
    <w:rsid w:val="093C36B1"/>
    <w:rsid w:val="09443D24"/>
    <w:rsid w:val="09450846"/>
    <w:rsid w:val="094666F2"/>
    <w:rsid w:val="094E0152"/>
    <w:rsid w:val="094F3167"/>
    <w:rsid w:val="095203F6"/>
    <w:rsid w:val="095323BC"/>
    <w:rsid w:val="095707BD"/>
    <w:rsid w:val="095E37DD"/>
    <w:rsid w:val="0968291B"/>
    <w:rsid w:val="096D4029"/>
    <w:rsid w:val="097438CC"/>
    <w:rsid w:val="09A05FA5"/>
    <w:rsid w:val="09A61306"/>
    <w:rsid w:val="09A66241"/>
    <w:rsid w:val="09B01E8C"/>
    <w:rsid w:val="09B740F4"/>
    <w:rsid w:val="09BD5AAE"/>
    <w:rsid w:val="09C77A77"/>
    <w:rsid w:val="09CF1E88"/>
    <w:rsid w:val="09D65042"/>
    <w:rsid w:val="09D9113A"/>
    <w:rsid w:val="09DA65A0"/>
    <w:rsid w:val="09DB0F2F"/>
    <w:rsid w:val="09E10052"/>
    <w:rsid w:val="09E73113"/>
    <w:rsid w:val="09E85321"/>
    <w:rsid w:val="0A030033"/>
    <w:rsid w:val="0A097F43"/>
    <w:rsid w:val="0A1D70FA"/>
    <w:rsid w:val="0A1F38BA"/>
    <w:rsid w:val="0A20493A"/>
    <w:rsid w:val="0A207342"/>
    <w:rsid w:val="0A22593A"/>
    <w:rsid w:val="0A230975"/>
    <w:rsid w:val="0A243CE8"/>
    <w:rsid w:val="0A26039B"/>
    <w:rsid w:val="0A2F3AD9"/>
    <w:rsid w:val="0A390506"/>
    <w:rsid w:val="0A3D4CFE"/>
    <w:rsid w:val="0A3D596F"/>
    <w:rsid w:val="0A3D6099"/>
    <w:rsid w:val="0A3F4C50"/>
    <w:rsid w:val="0A437404"/>
    <w:rsid w:val="0A471353"/>
    <w:rsid w:val="0A526165"/>
    <w:rsid w:val="0A587B48"/>
    <w:rsid w:val="0A5A4E3B"/>
    <w:rsid w:val="0A6A7C80"/>
    <w:rsid w:val="0A6F43D4"/>
    <w:rsid w:val="0A75158D"/>
    <w:rsid w:val="0A7B7496"/>
    <w:rsid w:val="0A87189D"/>
    <w:rsid w:val="0A905C9B"/>
    <w:rsid w:val="0A992B68"/>
    <w:rsid w:val="0A9B774B"/>
    <w:rsid w:val="0AA54639"/>
    <w:rsid w:val="0AA56EB4"/>
    <w:rsid w:val="0AA57F0F"/>
    <w:rsid w:val="0AAD5A7F"/>
    <w:rsid w:val="0AAE5538"/>
    <w:rsid w:val="0AB843CD"/>
    <w:rsid w:val="0AB95E36"/>
    <w:rsid w:val="0ABA356D"/>
    <w:rsid w:val="0ABB6AF5"/>
    <w:rsid w:val="0AC4326E"/>
    <w:rsid w:val="0ACD6C99"/>
    <w:rsid w:val="0AD3772C"/>
    <w:rsid w:val="0AE97E46"/>
    <w:rsid w:val="0AF81AF7"/>
    <w:rsid w:val="0B0009AC"/>
    <w:rsid w:val="0B037D12"/>
    <w:rsid w:val="0B06055E"/>
    <w:rsid w:val="0B0E50B0"/>
    <w:rsid w:val="0B1A6239"/>
    <w:rsid w:val="0B250310"/>
    <w:rsid w:val="0B266C96"/>
    <w:rsid w:val="0B271B88"/>
    <w:rsid w:val="0B2966D0"/>
    <w:rsid w:val="0B2D678C"/>
    <w:rsid w:val="0B3949C3"/>
    <w:rsid w:val="0B3B3F51"/>
    <w:rsid w:val="0B3B6C64"/>
    <w:rsid w:val="0B3F2AF8"/>
    <w:rsid w:val="0B4A2361"/>
    <w:rsid w:val="0B4B2E2F"/>
    <w:rsid w:val="0B4B4FCE"/>
    <w:rsid w:val="0B5716E2"/>
    <w:rsid w:val="0B675B07"/>
    <w:rsid w:val="0B6D23F5"/>
    <w:rsid w:val="0B707903"/>
    <w:rsid w:val="0B71355A"/>
    <w:rsid w:val="0B7407F3"/>
    <w:rsid w:val="0B74699D"/>
    <w:rsid w:val="0B7661A3"/>
    <w:rsid w:val="0B7D623F"/>
    <w:rsid w:val="0B9601EB"/>
    <w:rsid w:val="0B9639CF"/>
    <w:rsid w:val="0B967209"/>
    <w:rsid w:val="0B980524"/>
    <w:rsid w:val="0BAF12C7"/>
    <w:rsid w:val="0BBB5225"/>
    <w:rsid w:val="0BD22950"/>
    <w:rsid w:val="0BE5601B"/>
    <w:rsid w:val="0BEE4060"/>
    <w:rsid w:val="0BF843C0"/>
    <w:rsid w:val="0BFF2772"/>
    <w:rsid w:val="0BFF729B"/>
    <w:rsid w:val="0C001BB9"/>
    <w:rsid w:val="0C084B92"/>
    <w:rsid w:val="0C0955E0"/>
    <w:rsid w:val="0C0F334D"/>
    <w:rsid w:val="0C1531F5"/>
    <w:rsid w:val="0C1D131E"/>
    <w:rsid w:val="0C2A3AF7"/>
    <w:rsid w:val="0C2D2773"/>
    <w:rsid w:val="0C2E7DF3"/>
    <w:rsid w:val="0C306443"/>
    <w:rsid w:val="0C350C75"/>
    <w:rsid w:val="0C393552"/>
    <w:rsid w:val="0C3B3A13"/>
    <w:rsid w:val="0C4B4C0A"/>
    <w:rsid w:val="0C4C219F"/>
    <w:rsid w:val="0C545D0A"/>
    <w:rsid w:val="0C640A29"/>
    <w:rsid w:val="0C6602CD"/>
    <w:rsid w:val="0C691353"/>
    <w:rsid w:val="0C697411"/>
    <w:rsid w:val="0C70496D"/>
    <w:rsid w:val="0C741CC3"/>
    <w:rsid w:val="0C763BDC"/>
    <w:rsid w:val="0C857548"/>
    <w:rsid w:val="0C974CF7"/>
    <w:rsid w:val="0CA01543"/>
    <w:rsid w:val="0CA17C53"/>
    <w:rsid w:val="0CA45AB8"/>
    <w:rsid w:val="0CA648AE"/>
    <w:rsid w:val="0CA946CC"/>
    <w:rsid w:val="0CAB6D14"/>
    <w:rsid w:val="0CAD5705"/>
    <w:rsid w:val="0CAE4C77"/>
    <w:rsid w:val="0CB21E13"/>
    <w:rsid w:val="0CB80847"/>
    <w:rsid w:val="0CBB4446"/>
    <w:rsid w:val="0CBC7505"/>
    <w:rsid w:val="0CBF688D"/>
    <w:rsid w:val="0CCA2DCE"/>
    <w:rsid w:val="0CCB5064"/>
    <w:rsid w:val="0CD37EFD"/>
    <w:rsid w:val="0CEC29CE"/>
    <w:rsid w:val="0CFC3B7A"/>
    <w:rsid w:val="0CFE06C2"/>
    <w:rsid w:val="0CFE69F7"/>
    <w:rsid w:val="0D0362D2"/>
    <w:rsid w:val="0D111F1D"/>
    <w:rsid w:val="0D1555EB"/>
    <w:rsid w:val="0D24632A"/>
    <w:rsid w:val="0D27738B"/>
    <w:rsid w:val="0D3C380D"/>
    <w:rsid w:val="0D3C6CDC"/>
    <w:rsid w:val="0D453971"/>
    <w:rsid w:val="0D521FD5"/>
    <w:rsid w:val="0D65594E"/>
    <w:rsid w:val="0D6A72DC"/>
    <w:rsid w:val="0D6B5EE7"/>
    <w:rsid w:val="0D7B5DC0"/>
    <w:rsid w:val="0D7C2CA5"/>
    <w:rsid w:val="0D855938"/>
    <w:rsid w:val="0D936A78"/>
    <w:rsid w:val="0D9F625A"/>
    <w:rsid w:val="0DAB434F"/>
    <w:rsid w:val="0DB83240"/>
    <w:rsid w:val="0DB920AC"/>
    <w:rsid w:val="0DCC6131"/>
    <w:rsid w:val="0DCE2F88"/>
    <w:rsid w:val="0DD1795C"/>
    <w:rsid w:val="0DD676C4"/>
    <w:rsid w:val="0DDF6850"/>
    <w:rsid w:val="0DE46953"/>
    <w:rsid w:val="0DEB32B0"/>
    <w:rsid w:val="0DED1C32"/>
    <w:rsid w:val="0DF03280"/>
    <w:rsid w:val="0DF73342"/>
    <w:rsid w:val="0DFE39D1"/>
    <w:rsid w:val="0E017957"/>
    <w:rsid w:val="0E0802FA"/>
    <w:rsid w:val="0E084345"/>
    <w:rsid w:val="0E09734A"/>
    <w:rsid w:val="0E0F19DE"/>
    <w:rsid w:val="0E1429BC"/>
    <w:rsid w:val="0E1965B8"/>
    <w:rsid w:val="0E1A3500"/>
    <w:rsid w:val="0E2214E3"/>
    <w:rsid w:val="0E2742F1"/>
    <w:rsid w:val="0E3108CE"/>
    <w:rsid w:val="0E333874"/>
    <w:rsid w:val="0E357F14"/>
    <w:rsid w:val="0E370129"/>
    <w:rsid w:val="0E384FD2"/>
    <w:rsid w:val="0E3C4A79"/>
    <w:rsid w:val="0E4011A9"/>
    <w:rsid w:val="0E4D517B"/>
    <w:rsid w:val="0E56178F"/>
    <w:rsid w:val="0E573D13"/>
    <w:rsid w:val="0E5974BF"/>
    <w:rsid w:val="0E5E2D1C"/>
    <w:rsid w:val="0E5E768F"/>
    <w:rsid w:val="0E67004E"/>
    <w:rsid w:val="0E6852A3"/>
    <w:rsid w:val="0E727DD8"/>
    <w:rsid w:val="0E7F7B42"/>
    <w:rsid w:val="0E8E7405"/>
    <w:rsid w:val="0E917833"/>
    <w:rsid w:val="0E9225A5"/>
    <w:rsid w:val="0EA63686"/>
    <w:rsid w:val="0EB51BBC"/>
    <w:rsid w:val="0EBF1928"/>
    <w:rsid w:val="0EC34BEE"/>
    <w:rsid w:val="0EC832E4"/>
    <w:rsid w:val="0EC90A9B"/>
    <w:rsid w:val="0EC96FC5"/>
    <w:rsid w:val="0ECB75A3"/>
    <w:rsid w:val="0ED1044A"/>
    <w:rsid w:val="0ED1350D"/>
    <w:rsid w:val="0EF65C11"/>
    <w:rsid w:val="0F190AEF"/>
    <w:rsid w:val="0F1A718F"/>
    <w:rsid w:val="0F1B5DB5"/>
    <w:rsid w:val="0F2A02DB"/>
    <w:rsid w:val="0F2C6BFA"/>
    <w:rsid w:val="0F2E5AE8"/>
    <w:rsid w:val="0F37178C"/>
    <w:rsid w:val="0F3C785C"/>
    <w:rsid w:val="0F3D46BA"/>
    <w:rsid w:val="0F496512"/>
    <w:rsid w:val="0F4A53FC"/>
    <w:rsid w:val="0F50664F"/>
    <w:rsid w:val="0F536DCC"/>
    <w:rsid w:val="0F5563F9"/>
    <w:rsid w:val="0F5D03A6"/>
    <w:rsid w:val="0F6452D1"/>
    <w:rsid w:val="0F663B41"/>
    <w:rsid w:val="0F74712C"/>
    <w:rsid w:val="0F953372"/>
    <w:rsid w:val="0F997061"/>
    <w:rsid w:val="0F9C6EF5"/>
    <w:rsid w:val="0FA0095F"/>
    <w:rsid w:val="0FA50BD7"/>
    <w:rsid w:val="0FA638D0"/>
    <w:rsid w:val="0FA92BE1"/>
    <w:rsid w:val="0FAB0E6E"/>
    <w:rsid w:val="0FAE117A"/>
    <w:rsid w:val="0FB864B8"/>
    <w:rsid w:val="0FBF5366"/>
    <w:rsid w:val="0FC8192D"/>
    <w:rsid w:val="0FD27354"/>
    <w:rsid w:val="0FDC56C6"/>
    <w:rsid w:val="0FE038D2"/>
    <w:rsid w:val="0FE03AA9"/>
    <w:rsid w:val="0FE15082"/>
    <w:rsid w:val="0FE87692"/>
    <w:rsid w:val="0FEA7CDB"/>
    <w:rsid w:val="0FF25B01"/>
    <w:rsid w:val="0FF27A88"/>
    <w:rsid w:val="0FF30FC5"/>
    <w:rsid w:val="0FFA4853"/>
    <w:rsid w:val="10062C5F"/>
    <w:rsid w:val="100827DD"/>
    <w:rsid w:val="10124037"/>
    <w:rsid w:val="10182381"/>
    <w:rsid w:val="10192229"/>
    <w:rsid w:val="101E3DAE"/>
    <w:rsid w:val="102D2312"/>
    <w:rsid w:val="102E1E67"/>
    <w:rsid w:val="10301C70"/>
    <w:rsid w:val="1030506F"/>
    <w:rsid w:val="10394D6A"/>
    <w:rsid w:val="10527B31"/>
    <w:rsid w:val="1053487A"/>
    <w:rsid w:val="105762AC"/>
    <w:rsid w:val="10637A94"/>
    <w:rsid w:val="10670B87"/>
    <w:rsid w:val="106C4B5A"/>
    <w:rsid w:val="106F1CCE"/>
    <w:rsid w:val="10816861"/>
    <w:rsid w:val="108314E3"/>
    <w:rsid w:val="10891497"/>
    <w:rsid w:val="109D173E"/>
    <w:rsid w:val="10A02E3E"/>
    <w:rsid w:val="10A32090"/>
    <w:rsid w:val="10AD776B"/>
    <w:rsid w:val="10AF2C58"/>
    <w:rsid w:val="10B25724"/>
    <w:rsid w:val="10CB2532"/>
    <w:rsid w:val="10CD30DE"/>
    <w:rsid w:val="10CD4AF3"/>
    <w:rsid w:val="10D055F1"/>
    <w:rsid w:val="10D51608"/>
    <w:rsid w:val="10DB0ECF"/>
    <w:rsid w:val="10DD4920"/>
    <w:rsid w:val="10E22540"/>
    <w:rsid w:val="10E53FF3"/>
    <w:rsid w:val="10ED0E11"/>
    <w:rsid w:val="10EF52A3"/>
    <w:rsid w:val="10F35D31"/>
    <w:rsid w:val="10F93D32"/>
    <w:rsid w:val="1103518E"/>
    <w:rsid w:val="11093D7D"/>
    <w:rsid w:val="11110CB1"/>
    <w:rsid w:val="11176215"/>
    <w:rsid w:val="11232A9E"/>
    <w:rsid w:val="113B48FA"/>
    <w:rsid w:val="113F274F"/>
    <w:rsid w:val="11494551"/>
    <w:rsid w:val="11551A67"/>
    <w:rsid w:val="11552824"/>
    <w:rsid w:val="11561F81"/>
    <w:rsid w:val="115A4F33"/>
    <w:rsid w:val="115F584B"/>
    <w:rsid w:val="116052EB"/>
    <w:rsid w:val="116540B2"/>
    <w:rsid w:val="116734C7"/>
    <w:rsid w:val="11690C0F"/>
    <w:rsid w:val="1173119F"/>
    <w:rsid w:val="117C64F0"/>
    <w:rsid w:val="11845B7B"/>
    <w:rsid w:val="11936FD1"/>
    <w:rsid w:val="119469A0"/>
    <w:rsid w:val="11A82FBB"/>
    <w:rsid w:val="11AB75A7"/>
    <w:rsid w:val="11AF2BB6"/>
    <w:rsid w:val="11B64124"/>
    <w:rsid w:val="11B64C45"/>
    <w:rsid w:val="11BC72C7"/>
    <w:rsid w:val="11C23171"/>
    <w:rsid w:val="11CC4E3A"/>
    <w:rsid w:val="11D85623"/>
    <w:rsid w:val="11ED7500"/>
    <w:rsid w:val="11F205A1"/>
    <w:rsid w:val="11F5070C"/>
    <w:rsid w:val="12033D7A"/>
    <w:rsid w:val="120522E7"/>
    <w:rsid w:val="120A3F99"/>
    <w:rsid w:val="12106795"/>
    <w:rsid w:val="121534FA"/>
    <w:rsid w:val="1216166E"/>
    <w:rsid w:val="12215A38"/>
    <w:rsid w:val="12262E24"/>
    <w:rsid w:val="122D6F56"/>
    <w:rsid w:val="12316E9C"/>
    <w:rsid w:val="124057B8"/>
    <w:rsid w:val="12455D78"/>
    <w:rsid w:val="124563B0"/>
    <w:rsid w:val="124B559C"/>
    <w:rsid w:val="124D0D21"/>
    <w:rsid w:val="125B1F59"/>
    <w:rsid w:val="125B23F6"/>
    <w:rsid w:val="125E0546"/>
    <w:rsid w:val="1261092E"/>
    <w:rsid w:val="12612C4D"/>
    <w:rsid w:val="12742DFE"/>
    <w:rsid w:val="1278528D"/>
    <w:rsid w:val="12840838"/>
    <w:rsid w:val="128A392B"/>
    <w:rsid w:val="128D13AC"/>
    <w:rsid w:val="12976291"/>
    <w:rsid w:val="129C1A79"/>
    <w:rsid w:val="129E107A"/>
    <w:rsid w:val="129F263A"/>
    <w:rsid w:val="129F4FA6"/>
    <w:rsid w:val="12A2234F"/>
    <w:rsid w:val="12A24466"/>
    <w:rsid w:val="12A7481E"/>
    <w:rsid w:val="12C43D53"/>
    <w:rsid w:val="12C76A51"/>
    <w:rsid w:val="12C91FEE"/>
    <w:rsid w:val="12CC5535"/>
    <w:rsid w:val="12D460F0"/>
    <w:rsid w:val="12DF0227"/>
    <w:rsid w:val="12E348EF"/>
    <w:rsid w:val="12E4227E"/>
    <w:rsid w:val="12F5376B"/>
    <w:rsid w:val="12F54641"/>
    <w:rsid w:val="12F60DE0"/>
    <w:rsid w:val="12FE227C"/>
    <w:rsid w:val="13013739"/>
    <w:rsid w:val="130631D2"/>
    <w:rsid w:val="13076461"/>
    <w:rsid w:val="130C76DB"/>
    <w:rsid w:val="13162C97"/>
    <w:rsid w:val="132312A7"/>
    <w:rsid w:val="132360DC"/>
    <w:rsid w:val="13240B58"/>
    <w:rsid w:val="1326566F"/>
    <w:rsid w:val="13322758"/>
    <w:rsid w:val="13407C10"/>
    <w:rsid w:val="13412043"/>
    <w:rsid w:val="13440E56"/>
    <w:rsid w:val="1354204F"/>
    <w:rsid w:val="13555E71"/>
    <w:rsid w:val="13592567"/>
    <w:rsid w:val="135A758B"/>
    <w:rsid w:val="136311B5"/>
    <w:rsid w:val="136B6C0F"/>
    <w:rsid w:val="136F3F37"/>
    <w:rsid w:val="137172C5"/>
    <w:rsid w:val="137D18D7"/>
    <w:rsid w:val="13842E41"/>
    <w:rsid w:val="13862CCC"/>
    <w:rsid w:val="138B0E77"/>
    <w:rsid w:val="138E58FD"/>
    <w:rsid w:val="13917150"/>
    <w:rsid w:val="139424B1"/>
    <w:rsid w:val="139F0034"/>
    <w:rsid w:val="13A16C1F"/>
    <w:rsid w:val="13AA3D12"/>
    <w:rsid w:val="13AF5C91"/>
    <w:rsid w:val="13B47B3E"/>
    <w:rsid w:val="13BB3E7A"/>
    <w:rsid w:val="13BD6480"/>
    <w:rsid w:val="13DF1F0F"/>
    <w:rsid w:val="13E260BB"/>
    <w:rsid w:val="13E76BAA"/>
    <w:rsid w:val="13EA7B71"/>
    <w:rsid w:val="13F46CD8"/>
    <w:rsid w:val="13FB3158"/>
    <w:rsid w:val="14003903"/>
    <w:rsid w:val="14062587"/>
    <w:rsid w:val="14076C1A"/>
    <w:rsid w:val="140D4962"/>
    <w:rsid w:val="14172891"/>
    <w:rsid w:val="141D3579"/>
    <w:rsid w:val="14286064"/>
    <w:rsid w:val="143213CF"/>
    <w:rsid w:val="143537E3"/>
    <w:rsid w:val="14394194"/>
    <w:rsid w:val="143A7E7F"/>
    <w:rsid w:val="143D5520"/>
    <w:rsid w:val="144A3C9C"/>
    <w:rsid w:val="144C5C2A"/>
    <w:rsid w:val="14584E45"/>
    <w:rsid w:val="145C1DCC"/>
    <w:rsid w:val="145C7FDC"/>
    <w:rsid w:val="14681894"/>
    <w:rsid w:val="146F61BB"/>
    <w:rsid w:val="14760218"/>
    <w:rsid w:val="14760A5B"/>
    <w:rsid w:val="1477759B"/>
    <w:rsid w:val="147C1649"/>
    <w:rsid w:val="148C62A3"/>
    <w:rsid w:val="148E306B"/>
    <w:rsid w:val="14940F8A"/>
    <w:rsid w:val="149D7CB1"/>
    <w:rsid w:val="14A109C9"/>
    <w:rsid w:val="14A47528"/>
    <w:rsid w:val="14A80A0E"/>
    <w:rsid w:val="14A865E8"/>
    <w:rsid w:val="14AC044A"/>
    <w:rsid w:val="14AE1430"/>
    <w:rsid w:val="14AF17DB"/>
    <w:rsid w:val="14B37EAB"/>
    <w:rsid w:val="14B505E3"/>
    <w:rsid w:val="14B628D9"/>
    <w:rsid w:val="14B67DF0"/>
    <w:rsid w:val="14BD03E7"/>
    <w:rsid w:val="14BE25B4"/>
    <w:rsid w:val="14C21C4D"/>
    <w:rsid w:val="14C5308F"/>
    <w:rsid w:val="14C943E1"/>
    <w:rsid w:val="14CB412B"/>
    <w:rsid w:val="14D407D0"/>
    <w:rsid w:val="14D80BD7"/>
    <w:rsid w:val="14ED2E62"/>
    <w:rsid w:val="14EF0505"/>
    <w:rsid w:val="14F20C86"/>
    <w:rsid w:val="14FA1991"/>
    <w:rsid w:val="14FF6327"/>
    <w:rsid w:val="15000BA8"/>
    <w:rsid w:val="15043FC3"/>
    <w:rsid w:val="15064CA8"/>
    <w:rsid w:val="1515249A"/>
    <w:rsid w:val="15172499"/>
    <w:rsid w:val="15237834"/>
    <w:rsid w:val="15273705"/>
    <w:rsid w:val="153A26E7"/>
    <w:rsid w:val="153B6F5B"/>
    <w:rsid w:val="154934A4"/>
    <w:rsid w:val="1552548E"/>
    <w:rsid w:val="1556311B"/>
    <w:rsid w:val="155969E4"/>
    <w:rsid w:val="155D3DCB"/>
    <w:rsid w:val="15732806"/>
    <w:rsid w:val="15755967"/>
    <w:rsid w:val="157E4A5E"/>
    <w:rsid w:val="158222C7"/>
    <w:rsid w:val="15825493"/>
    <w:rsid w:val="15852C4A"/>
    <w:rsid w:val="15893F5F"/>
    <w:rsid w:val="158A3AB7"/>
    <w:rsid w:val="158B23B1"/>
    <w:rsid w:val="158B5621"/>
    <w:rsid w:val="158F405D"/>
    <w:rsid w:val="15926918"/>
    <w:rsid w:val="15941144"/>
    <w:rsid w:val="15996EF4"/>
    <w:rsid w:val="159A2508"/>
    <w:rsid w:val="15A15471"/>
    <w:rsid w:val="15B064A9"/>
    <w:rsid w:val="15B3530E"/>
    <w:rsid w:val="15B552EF"/>
    <w:rsid w:val="15BD36CD"/>
    <w:rsid w:val="15BF5D3C"/>
    <w:rsid w:val="15BF6A33"/>
    <w:rsid w:val="15CD7F03"/>
    <w:rsid w:val="15CF04E4"/>
    <w:rsid w:val="15CF7E42"/>
    <w:rsid w:val="15D456C5"/>
    <w:rsid w:val="15D83A14"/>
    <w:rsid w:val="15D85705"/>
    <w:rsid w:val="15D952AF"/>
    <w:rsid w:val="15DC66DF"/>
    <w:rsid w:val="15DC73A4"/>
    <w:rsid w:val="15DE52A0"/>
    <w:rsid w:val="15DF1162"/>
    <w:rsid w:val="15E56DBA"/>
    <w:rsid w:val="15E67725"/>
    <w:rsid w:val="15E96948"/>
    <w:rsid w:val="15EB4F60"/>
    <w:rsid w:val="1603747D"/>
    <w:rsid w:val="160D04B0"/>
    <w:rsid w:val="16143E01"/>
    <w:rsid w:val="16161345"/>
    <w:rsid w:val="161C2101"/>
    <w:rsid w:val="162007F9"/>
    <w:rsid w:val="1627261F"/>
    <w:rsid w:val="162C37A5"/>
    <w:rsid w:val="1632217D"/>
    <w:rsid w:val="16326487"/>
    <w:rsid w:val="16394EED"/>
    <w:rsid w:val="164463A2"/>
    <w:rsid w:val="16517B29"/>
    <w:rsid w:val="1652768E"/>
    <w:rsid w:val="16551294"/>
    <w:rsid w:val="16597649"/>
    <w:rsid w:val="165C3BD0"/>
    <w:rsid w:val="16610AFA"/>
    <w:rsid w:val="16640041"/>
    <w:rsid w:val="166A1728"/>
    <w:rsid w:val="167E4F7B"/>
    <w:rsid w:val="16893BC2"/>
    <w:rsid w:val="168C7103"/>
    <w:rsid w:val="16921EF5"/>
    <w:rsid w:val="16962FBB"/>
    <w:rsid w:val="16965660"/>
    <w:rsid w:val="169861BC"/>
    <w:rsid w:val="16A462AC"/>
    <w:rsid w:val="16A710EC"/>
    <w:rsid w:val="16AB61B3"/>
    <w:rsid w:val="16BF1FDC"/>
    <w:rsid w:val="16BF3A5D"/>
    <w:rsid w:val="16C151E5"/>
    <w:rsid w:val="16C24F3F"/>
    <w:rsid w:val="16D145AE"/>
    <w:rsid w:val="16D410C1"/>
    <w:rsid w:val="16D95ADD"/>
    <w:rsid w:val="16E32EFB"/>
    <w:rsid w:val="16EF68E1"/>
    <w:rsid w:val="16F547AD"/>
    <w:rsid w:val="16F723DA"/>
    <w:rsid w:val="17024F4B"/>
    <w:rsid w:val="170D6ACE"/>
    <w:rsid w:val="17191372"/>
    <w:rsid w:val="172076EC"/>
    <w:rsid w:val="172C76D0"/>
    <w:rsid w:val="17324023"/>
    <w:rsid w:val="17506446"/>
    <w:rsid w:val="175571AE"/>
    <w:rsid w:val="17561232"/>
    <w:rsid w:val="175D39A3"/>
    <w:rsid w:val="175E6B01"/>
    <w:rsid w:val="1761435D"/>
    <w:rsid w:val="177908C5"/>
    <w:rsid w:val="178463F2"/>
    <w:rsid w:val="178C0F21"/>
    <w:rsid w:val="178D5762"/>
    <w:rsid w:val="178E3989"/>
    <w:rsid w:val="17973FFE"/>
    <w:rsid w:val="179A1F51"/>
    <w:rsid w:val="17A56417"/>
    <w:rsid w:val="17B76980"/>
    <w:rsid w:val="17B836AC"/>
    <w:rsid w:val="17BB6F43"/>
    <w:rsid w:val="17BE5CE8"/>
    <w:rsid w:val="17BF6357"/>
    <w:rsid w:val="17C774F0"/>
    <w:rsid w:val="17D17DC8"/>
    <w:rsid w:val="17D454B7"/>
    <w:rsid w:val="17D4640D"/>
    <w:rsid w:val="17E04F82"/>
    <w:rsid w:val="17E7751F"/>
    <w:rsid w:val="17F65EF5"/>
    <w:rsid w:val="17FC0407"/>
    <w:rsid w:val="180060B1"/>
    <w:rsid w:val="180356AC"/>
    <w:rsid w:val="180A52E6"/>
    <w:rsid w:val="18115FA7"/>
    <w:rsid w:val="18187311"/>
    <w:rsid w:val="181A30AD"/>
    <w:rsid w:val="181F3456"/>
    <w:rsid w:val="182D061A"/>
    <w:rsid w:val="182F455F"/>
    <w:rsid w:val="18321540"/>
    <w:rsid w:val="183A09FE"/>
    <w:rsid w:val="183E2B10"/>
    <w:rsid w:val="18451FB0"/>
    <w:rsid w:val="184D4452"/>
    <w:rsid w:val="18604F00"/>
    <w:rsid w:val="18657988"/>
    <w:rsid w:val="186C636D"/>
    <w:rsid w:val="186C7829"/>
    <w:rsid w:val="18780A8B"/>
    <w:rsid w:val="187B6625"/>
    <w:rsid w:val="18861A83"/>
    <w:rsid w:val="18924827"/>
    <w:rsid w:val="1896151D"/>
    <w:rsid w:val="18984019"/>
    <w:rsid w:val="18A12FA7"/>
    <w:rsid w:val="18A9110A"/>
    <w:rsid w:val="18AB66C9"/>
    <w:rsid w:val="18AF383B"/>
    <w:rsid w:val="18B859ED"/>
    <w:rsid w:val="18BF12F5"/>
    <w:rsid w:val="18C07C24"/>
    <w:rsid w:val="18C92761"/>
    <w:rsid w:val="18D46BEB"/>
    <w:rsid w:val="18D70BE7"/>
    <w:rsid w:val="18DD5F19"/>
    <w:rsid w:val="18EE5228"/>
    <w:rsid w:val="18F02AA7"/>
    <w:rsid w:val="1906695C"/>
    <w:rsid w:val="190E07E5"/>
    <w:rsid w:val="1919360D"/>
    <w:rsid w:val="19257F5C"/>
    <w:rsid w:val="1926598E"/>
    <w:rsid w:val="192E6BE6"/>
    <w:rsid w:val="193A7214"/>
    <w:rsid w:val="193C52BD"/>
    <w:rsid w:val="194069AE"/>
    <w:rsid w:val="194B1EC4"/>
    <w:rsid w:val="19502877"/>
    <w:rsid w:val="19542485"/>
    <w:rsid w:val="196638CE"/>
    <w:rsid w:val="1967529D"/>
    <w:rsid w:val="19687FA9"/>
    <w:rsid w:val="196B43AC"/>
    <w:rsid w:val="19713E5C"/>
    <w:rsid w:val="19732D43"/>
    <w:rsid w:val="19910B4F"/>
    <w:rsid w:val="199B3414"/>
    <w:rsid w:val="19A075E2"/>
    <w:rsid w:val="19A10D28"/>
    <w:rsid w:val="19B20DD3"/>
    <w:rsid w:val="19CE78B4"/>
    <w:rsid w:val="19D47045"/>
    <w:rsid w:val="19D810CA"/>
    <w:rsid w:val="19DD3743"/>
    <w:rsid w:val="19DF3E76"/>
    <w:rsid w:val="19E84B6D"/>
    <w:rsid w:val="19E90656"/>
    <w:rsid w:val="19EA21EC"/>
    <w:rsid w:val="19EC2DA2"/>
    <w:rsid w:val="19EC645C"/>
    <w:rsid w:val="19F135FD"/>
    <w:rsid w:val="19FB55F9"/>
    <w:rsid w:val="1A041672"/>
    <w:rsid w:val="1A08318B"/>
    <w:rsid w:val="1A11687D"/>
    <w:rsid w:val="1A1E3F81"/>
    <w:rsid w:val="1A2B77F4"/>
    <w:rsid w:val="1A301EA2"/>
    <w:rsid w:val="1A3558A8"/>
    <w:rsid w:val="1A3A11B0"/>
    <w:rsid w:val="1A3B67D4"/>
    <w:rsid w:val="1A402087"/>
    <w:rsid w:val="1A402262"/>
    <w:rsid w:val="1A41637D"/>
    <w:rsid w:val="1A4A2396"/>
    <w:rsid w:val="1A5873EB"/>
    <w:rsid w:val="1A5B213D"/>
    <w:rsid w:val="1A5B225C"/>
    <w:rsid w:val="1A5D2704"/>
    <w:rsid w:val="1A605247"/>
    <w:rsid w:val="1A661B7A"/>
    <w:rsid w:val="1A725422"/>
    <w:rsid w:val="1A736914"/>
    <w:rsid w:val="1A746055"/>
    <w:rsid w:val="1A82752E"/>
    <w:rsid w:val="1A851409"/>
    <w:rsid w:val="1A8D3E53"/>
    <w:rsid w:val="1A9C484F"/>
    <w:rsid w:val="1AA0188B"/>
    <w:rsid w:val="1AA665D9"/>
    <w:rsid w:val="1AAB1961"/>
    <w:rsid w:val="1AB271A1"/>
    <w:rsid w:val="1ABE1543"/>
    <w:rsid w:val="1AC50ADB"/>
    <w:rsid w:val="1AC86822"/>
    <w:rsid w:val="1ACA7304"/>
    <w:rsid w:val="1AD51F68"/>
    <w:rsid w:val="1ADE217E"/>
    <w:rsid w:val="1AEC7A4D"/>
    <w:rsid w:val="1AEF3654"/>
    <w:rsid w:val="1AF43C74"/>
    <w:rsid w:val="1AF672E6"/>
    <w:rsid w:val="1B135870"/>
    <w:rsid w:val="1B14578F"/>
    <w:rsid w:val="1B1609BF"/>
    <w:rsid w:val="1B1B368F"/>
    <w:rsid w:val="1B2B120B"/>
    <w:rsid w:val="1B3F7531"/>
    <w:rsid w:val="1B495797"/>
    <w:rsid w:val="1B597B7F"/>
    <w:rsid w:val="1B5C1913"/>
    <w:rsid w:val="1B6A7F5E"/>
    <w:rsid w:val="1B6D5BEA"/>
    <w:rsid w:val="1B6D5F76"/>
    <w:rsid w:val="1B84165C"/>
    <w:rsid w:val="1B86031C"/>
    <w:rsid w:val="1B8645F5"/>
    <w:rsid w:val="1B887C46"/>
    <w:rsid w:val="1B8E4043"/>
    <w:rsid w:val="1B974888"/>
    <w:rsid w:val="1B976C18"/>
    <w:rsid w:val="1B9E1C8D"/>
    <w:rsid w:val="1B9E5DA3"/>
    <w:rsid w:val="1BA12039"/>
    <w:rsid w:val="1BAD2625"/>
    <w:rsid w:val="1BB13551"/>
    <w:rsid w:val="1BB23C45"/>
    <w:rsid w:val="1BB37C03"/>
    <w:rsid w:val="1BC11BE3"/>
    <w:rsid w:val="1BC17A6B"/>
    <w:rsid w:val="1BC20E2B"/>
    <w:rsid w:val="1BC92B82"/>
    <w:rsid w:val="1BD763AB"/>
    <w:rsid w:val="1BD82721"/>
    <w:rsid w:val="1BDB254D"/>
    <w:rsid w:val="1BDE5323"/>
    <w:rsid w:val="1BE323C9"/>
    <w:rsid w:val="1BE339D2"/>
    <w:rsid w:val="1BEB0187"/>
    <w:rsid w:val="1BF93D08"/>
    <w:rsid w:val="1BFD14EA"/>
    <w:rsid w:val="1BFD6527"/>
    <w:rsid w:val="1C006E31"/>
    <w:rsid w:val="1C090B60"/>
    <w:rsid w:val="1C0B5954"/>
    <w:rsid w:val="1C0F1A59"/>
    <w:rsid w:val="1C15643B"/>
    <w:rsid w:val="1C1B28DF"/>
    <w:rsid w:val="1C1F4991"/>
    <w:rsid w:val="1C216E53"/>
    <w:rsid w:val="1C245B39"/>
    <w:rsid w:val="1C2470B0"/>
    <w:rsid w:val="1C280654"/>
    <w:rsid w:val="1C296104"/>
    <w:rsid w:val="1C2D2C9B"/>
    <w:rsid w:val="1C3951EA"/>
    <w:rsid w:val="1C440C60"/>
    <w:rsid w:val="1C467C9D"/>
    <w:rsid w:val="1C4D79F2"/>
    <w:rsid w:val="1C5B77B3"/>
    <w:rsid w:val="1C5F285B"/>
    <w:rsid w:val="1C6836CF"/>
    <w:rsid w:val="1C6C7997"/>
    <w:rsid w:val="1C6D658E"/>
    <w:rsid w:val="1C702C5B"/>
    <w:rsid w:val="1C7109DF"/>
    <w:rsid w:val="1C7408FE"/>
    <w:rsid w:val="1C7C052D"/>
    <w:rsid w:val="1C7D7C33"/>
    <w:rsid w:val="1C7F7893"/>
    <w:rsid w:val="1C8036FB"/>
    <w:rsid w:val="1C836107"/>
    <w:rsid w:val="1C8958DE"/>
    <w:rsid w:val="1C9262FB"/>
    <w:rsid w:val="1C952C1E"/>
    <w:rsid w:val="1C973FB4"/>
    <w:rsid w:val="1C984E68"/>
    <w:rsid w:val="1C997DBB"/>
    <w:rsid w:val="1CA1142B"/>
    <w:rsid w:val="1CA70003"/>
    <w:rsid w:val="1CAC7CD8"/>
    <w:rsid w:val="1CAD523D"/>
    <w:rsid w:val="1CB279A9"/>
    <w:rsid w:val="1CBD6A53"/>
    <w:rsid w:val="1CC03F28"/>
    <w:rsid w:val="1CC8346B"/>
    <w:rsid w:val="1CC96E50"/>
    <w:rsid w:val="1CCC0C6B"/>
    <w:rsid w:val="1CCD0D86"/>
    <w:rsid w:val="1CD13F56"/>
    <w:rsid w:val="1CD60CFA"/>
    <w:rsid w:val="1CD978D0"/>
    <w:rsid w:val="1CDA2F66"/>
    <w:rsid w:val="1CDE50AB"/>
    <w:rsid w:val="1CEB2BE7"/>
    <w:rsid w:val="1CED0B4A"/>
    <w:rsid w:val="1CF11565"/>
    <w:rsid w:val="1CF54B61"/>
    <w:rsid w:val="1CFA3A13"/>
    <w:rsid w:val="1D032AEF"/>
    <w:rsid w:val="1D08715E"/>
    <w:rsid w:val="1D09038B"/>
    <w:rsid w:val="1D0C0798"/>
    <w:rsid w:val="1D0E3056"/>
    <w:rsid w:val="1D152395"/>
    <w:rsid w:val="1D1B3761"/>
    <w:rsid w:val="1D2C7F80"/>
    <w:rsid w:val="1D326F5A"/>
    <w:rsid w:val="1D333743"/>
    <w:rsid w:val="1D3977E4"/>
    <w:rsid w:val="1D3A7AD0"/>
    <w:rsid w:val="1D3C3E9E"/>
    <w:rsid w:val="1D483FDE"/>
    <w:rsid w:val="1D4F6477"/>
    <w:rsid w:val="1D534429"/>
    <w:rsid w:val="1D537AFC"/>
    <w:rsid w:val="1D58488E"/>
    <w:rsid w:val="1D5968EC"/>
    <w:rsid w:val="1D6D1FF5"/>
    <w:rsid w:val="1D6D7E33"/>
    <w:rsid w:val="1D831514"/>
    <w:rsid w:val="1D8360B5"/>
    <w:rsid w:val="1D84493F"/>
    <w:rsid w:val="1D8720E3"/>
    <w:rsid w:val="1D884C7D"/>
    <w:rsid w:val="1D8A2AC0"/>
    <w:rsid w:val="1D8A2C1C"/>
    <w:rsid w:val="1D8C5666"/>
    <w:rsid w:val="1D96642E"/>
    <w:rsid w:val="1D9B53B0"/>
    <w:rsid w:val="1DA45E5B"/>
    <w:rsid w:val="1DA460D2"/>
    <w:rsid w:val="1DA461DB"/>
    <w:rsid w:val="1DA73944"/>
    <w:rsid w:val="1DA74CDE"/>
    <w:rsid w:val="1DA76D83"/>
    <w:rsid w:val="1DA77896"/>
    <w:rsid w:val="1DA8115B"/>
    <w:rsid w:val="1DAD06DC"/>
    <w:rsid w:val="1DB30725"/>
    <w:rsid w:val="1DB31368"/>
    <w:rsid w:val="1DBD6EA7"/>
    <w:rsid w:val="1DC731A4"/>
    <w:rsid w:val="1DCC6BCB"/>
    <w:rsid w:val="1DD37B51"/>
    <w:rsid w:val="1DDA6E3B"/>
    <w:rsid w:val="1DEB535B"/>
    <w:rsid w:val="1DED0AE9"/>
    <w:rsid w:val="1DEF0F06"/>
    <w:rsid w:val="1DF5415D"/>
    <w:rsid w:val="1DFB43DA"/>
    <w:rsid w:val="1E0346BB"/>
    <w:rsid w:val="1E0939AD"/>
    <w:rsid w:val="1E0B40DA"/>
    <w:rsid w:val="1E0C2863"/>
    <w:rsid w:val="1E173895"/>
    <w:rsid w:val="1E182E21"/>
    <w:rsid w:val="1E1951D5"/>
    <w:rsid w:val="1E195BB5"/>
    <w:rsid w:val="1E1A5591"/>
    <w:rsid w:val="1E1F51E2"/>
    <w:rsid w:val="1E234E64"/>
    <w:rsid w:val="1E3071EE"/>
    <w:rsid w:val="1E3116E5"/>
    <w:rsid w:val="1E380731"/>
    <w:rsid w:val="1E387A0F"/>
    <w:rsid w:val="1E40517A"/>
    <w:rsid w:val="1E545B2B"/>
    <w:rsid w:val="1E5866DD"/>
    <w:rsid w:val="1E6D5929"/>
    <w:rsid w:val="1E725AB5"/>
    <w:rsid w:val="1E7338E5"/>
    <w:rsid w:val="1E7641D9"/>
    <w:rsid w:val="1E7852FB"/>
    <w:rsid w:val="1E8A6565"/>
    <w:rsid w:val="1E8D5CB1"/>
    <w:rsid w:val="1E9275C5"/>
    <w:rsid w:val="1E931075"/>
    <w:rsid w:val="1E9743FA"/>
    <w:rsid w:val="1E984B71"/>
    <w:rsid w:val="1E9A78EC"/>
    <w:rsid w:val="1E9C5D87"/>
    <w:rsid w:val="1E9D4F30"/>
    <w:rsid w:val="1E9E29F1"/>
    <w:rsid w:val="1E9F1B29"/>
    <w:rsid w:val="1EA44DE9"/>
    <w:rsid w:val="1EAA54DD"/>
    <w:rsid w:val="1EAC14B7"/>
    <w:rsid w:val="1EB32714"/>
    <w:rsid w:val="1EB705F0"/>
    <w:rsid w:val="1EB84B93"/>
    <w:rsid w:val="1EBC4779"/>
    <w:rsid w:val="1ED6203C"/>
    <w:rsid w:val="1ED6792C"/>
    <w:rsid w:val="1ED91C27"/>
    <w:rsid w:val="1ED94A5E"/>
    <w:rsid w:val="1EDB33CA"/>
    <w:rsid w:val="1EE2178C"/>
    <w:rsid w:val="1EE71652"/>
    <w:rsid w:val="1EE80742"/>
    <w:rsid w:val="1EEB43FD"/>
    <w:rsid w:val="1EEE3438"/>
    <w:rsid w:val="1EEE52B2"/>
    <w:rsid w:val="1EF55DC4"/>
    <w:rsid w:val="1F010AD2"/>
    <w:rsid w:val="1F0168B9"/>
    <w:rsid w:val="1F062AA2"/>
    <w:rsid w:val="1F1F3C4D"/>
    <w:rsid w:val="1F333277"/>
    <w:rsid w:val="1F335016"/>
    <w:rsid w:val="1F340B88"/>
    <w:rsid w:val="1F443422"/>
    <w:rsid w:val="1F497BC7"/>
    <w:rsid w:val="1F4D5EAA"/>
    <w:rsid w:val="1F4D7E83"/>
    <w:rsid w:val="1F5275D0"/>
    <w:rsid w:val="1F5544DF"/>
    <w:rsid w:val="1F5C1352"/>
    <w:rsid w:val="1F60234A"/>
    <w:rsid w:val="1F61711D"/>
    <w:rsid w:val="1F712F3E"/>
    <w:rsid w:val="1F77485D"/>
    <w:rsid w:val="1F7C1DF0"/>
    <w:rsid w:val="1F842FF3"/>
    <w:rsid w:val="1F8654CC"/>
    <w:rsid w:val="1F8E393B"/>
    <w:rsid w:val="1F916314"/>
    <w:rsid w:val="1F971487"/>
    <w:rsid w:val="1F972EC2"/>
    <w:rsid w:val="1F9B19C7"/>
    <w:rsid w:val="1FA2697D"/>
    <w:rsid w:val="1FA800E0"/>
    <w:rsid w:val="1FAE51DA"/>
    <w:rsid w:val="1FB1371E"/>
    <w:rsid w:val="1FBF3D8E"/>
    <w:rsid w:val="1FC15930"/>
    <w:rsid w:val="1FC2218D"/>
    <w:rsid w:val="1FC75666"/>
    <w:rsid w:val="1FC7573B"/>
    <w:rsid w:val="1FCD2918"/>
    <w:rsid w:val="1FCF0C21"/>
    <w:rsid w:val="1FD0448D"/>
    <w:rsid w:val="1FD846B5"/>
    <w:rsid w:val="1FD973F4"/>
    <w:rsid w:val="1FF74071"/>
    <w:rsid w:val="1FF771FD"/>
    <w:rsid w:val="1FF8E071"/>
    <w:rsid w:val="1FFA08C4"/>
    <w:rsid w:val="20047251"/>
    <w:rsid w:val="20060D7B"/>
    <w:rsid w:val="200B10FE"/>
    <w:rsid w:val="200C3C23"/>
    <w:rsid w:val="200D5C9C"/>
    <w:rsid w:val="200F2C45"/>
    <w:rsid w:val="20150B45"/>
    <w:rsid w:val="20191A4C"/>
    <w:rsid w:val="20192A01"/>
    <w:rsid w:val="201B54CE"/>
    <w:rsid w:val="202D5021"/>
    <w:rsid w:val="203B56E5"/>
    <w:rsid w:val="203B6856"/>
    <w:rsid w:val="20493B1B"/>
    <w:rsid w:val="204E76D2"/>
    <w:rsid w:val="2059648A"/>
    <w:rsid w:val="20637CEA"/>
    <w:rsid w:val="206E707C"/>
    <w:rsid w:val="209432EF"/>
    <w:rsid w:val="20985CCE"/>
    <w:rsid w:val="209A5A29"/>
    <w:rsid w:val="209D520A"/>
    <w:rsid w:val="209F2F01"/>
    <w:rsid w:val="20A21876"/>
    <w:rsid w:val="20A254A0"/>
    <w:rsid w:val="20A30D76"/>
    <w:rsid w:val="20A72D4F"/>
    <w:rsid w:val="20AE50AB"/>
    <w:rsid w:val="20B237F2"/>
    <w:rsid w:val="20B3203F"/>
    <w:rsid w:val="20BA2D21"/>
    <w:rsid w:val="20BB6A83"/>
    <w:rsid w:val="20C80E4E"/>
    <w:rsid w:val="20D81D45"/>
    <w:rsid w:val="20D95DF5"/>
    <w:rsid w:val="20DF2748"/>
    <w:rsid w:val="20E44FF7"/>
    <w:rsid w:val="20EC3E10"/>
    <w:rsid w:val="20EF5FF3"/>
    <w:rsid w:val="20F36B91"/>
    <w:rsid w:val="20FE378C"/>
    <w:rsid w:val="21015D8F"/>
    <w:rsid w:val="2108127E"/>
    <w:rsid w:val="211046D8"/>
    <w:rsid w:val="2116637D"/>
    <w:rsid w:val="211B349C"/>
    <w:rsid w:val="211C3654"/>
    <w:rsid w:val="211D4011"/>
    <w:rsid w:val="212408D0"/>
    <w:rsid w:val="2126105B"/>
    <w:rsid w:val="21277AA9"/>
    <w:rsid w:val="21280A82"/>
    <w:rsid w:val="212C6AF6"/>
    <w:rsid w:val="21373E23"/>
    <w:rsid w:val="213E1B17"/>
    <w:rsid w:val="21442223"/>
    <w:rsid w:val="214C45FD"/>
    <w:rsid w:val="21562D3B"/>
    <w:rsid w:val="21597C66"/>
    <w:rsid w:val="21630DD4"/>
    <w:rsid w:val="21641C9E"/>
    <w:rsid w:val="21645399"/>
    <w:rsid w:val="216C3B6C"/>
    <w:rsid w:val="217B01F4"/>
    <w:rsid w:val="21847E80"/>
    <w:rsid w:val="219120D5"/>
    <w:rsid w:val="21934672"/>
    <w:rsid w:val="21940024"/>
    <w:rsid w:val="219620A1"/>
    <w:rsid w:val="219A1CBD"/>
    <w:rsid w:val="219D2087"/>
    <w:rsid w:val="219F065E"/>
    <w:rsid w:val="21A13C86"/>
    <w:rsid w:val="21A457C1"/>
    <w:rsid w:val="21AF39BB"/>
    <w:rsid w:val="21B12738"/>
    <w:rsid w:val="21B407B3"/>
    <w:rsid w:val="21B500F7"/>
    <w:rsid w:val="21BC0100"/>
    <w:rsid w:val="21C11206"/>
    <w:rsid w:val="21C927D5"/>
    <w:rsid w:val="21CD1CE4"/>
    <w:rsid w:val="21D42264"/>
    <w:rsid w:val="21D4509A"/>
    <w:rsid w:val="21D7493F"/>
    <w:rsid w:val="21DD2B92"/>
    <w:rsid w:val="21EA2E05"/>
    <w:rsid w:val="21F95375"/>
    <w:rsid w:val="22046838"/>
    <w:rsid w:val="220F254F"/>
    <w:rsid w:val="22100486"/>
    <w:rsid w:val="221243B2"/>
    <w:rsid w:val="22196BAD"/>
    <w:rsid w:val="22261941"/>
    <w:rsid w:val="222C4304"/>
    <w:rsid w:val="22331672"/>
    <w:rsid w:val="22356D36"/>
    <w:rsid w:val="223572F8"/>
    <w:rsid w:val="22370B07"/>
    <w:rsid w:val="223727DC"/>
    <w:rsid w:val="22391116"/>
    <w:rsid w:val="224315DD"/>
    <w:rsid w:val="224B0ED0"/>
    <w:rsid w:val="225370DC"/>
    <w:rsid w:val="225E5392"/>
    <w:rsid w:val="22672353"/>
    <w:rsid w:val="226B7EE9"/>
    <w:rsid w:val="2274226B"/>
    <w:rsid w:val="2286481B"/>
    <w:rsid w:val="22873FD0"/>
    <w:rsid w:val="22883FFD"/>
    <w:rsid w:val="228C7B9A"/>
    <w:rsid w:val="22A83308"/>
    <w:rsid w:val="22BE621B"/>
    <w:rsid w:val="22BF2E59"/>
    <w:rsid w:val="22C24526"/>
    <w:rsid w:val="22C57E79"/>
    <w:rsid w:val="22CE5FFE"/>
    <w:rsid w:val="22D56B65"/>
    <w:rsid w:val="22E4573A"/>
    <w:rsid w:val="22E5645B"/>
    <w:rsid w:val="22EA5A13"/>
    <w:rsid w:val="22F165EC"/>
    <w:rsid w:val="22F90A6F"/>
    <w:rsid w:val="22FA300D"/>
    <w:rsid w:val="230C19D2"/>
    <w:rsid w:val="23103739"/>
    <w:rsid w:val="231362C3"/>
    <w:rsid w:val="231A0DFA"/>
    <w:rsid w:val="231B1F66"/>
    <w:rsid w:val="232461F7"/>
    <w:rsid w:val="232A3772"/>
    <w:rsid w:val="2331253F"/>
    <w:rsid w:val="233202AB"/>
    <w:rsid w:val="23376AAB"/>
    <w:rsid w:val="233F7AE9"/>
    <w:rsid w:val="23405AEA"/>
    <w:rsid w:val="234944DD"/>
    <w:rsid w:val="234F08D9"/>
    <w:rsid w:val="235839B3"/>
    <w:rsid w:val="235B4B35"/>
    <w:rsid w:val="235C0767"/>
    <w:rsid w:val="235D2960"/>
    <w:rsid w:val="2366364A"/>
    <w:rsid w:val="236C3A3C"/>
    <w:rsid w:val="236D770D"/>
    <w:rsid w:val="237A34BE"/>
    <w:rsid w:val="238748F2"/>
    <w:rsid w:val="238B13F2"/>
    <w:rsid w:val="23911082"/>
    <w:rsid w:val="23A669A5"/>
    <w:rsid w:val="23B02C33"/>
    <w:rsid w:val="23B94096"/>
    <w:rsid w:val="23C6622A"/>
    <w:rsid w:val="23CC3B12"/>
    <w:rsid w:val="23CC460D"/>
    <w:rsid w:val="23CD71CE"/>
    <w:rsid w:val="23CF7E9F"/>
    <w:rsid w:val="23D42332"/>
    <w:rsid w:val="23D45951"/>
    <w:rsid w:val="23E10695"/>
    <w:rsid w:val="23E37591"/>
    <w:rsid w:val="23E400B1"/>
    <w:rsid w:val="23E56031"/>
    <w:rsid w:val="23F324C1"/>
    <w:rsid w:val="24046609"/>
    <w:rsid w:val="2409047A"/>
    <w:rsid w:val="240A4F8A"/>
    <w:rsid w:val="24120433"/>
    <w:rsid w:val="241F7D49"/>
    <w:rsid w:val="24200586"/>
    <w:rsid w:val="242F15D3"/>
    <w:rsid w:val="24305D97"/>
    <w:rsid w:val="243962C7"/>
    <w:rsid w:val="243C3734"/>
    <w:rsid w:val="24536A0B"/>
    <w:rsid w:val="24537E66"/>
    <w:rsid w:val="24541638"/>
    <w:rsid w:val="24605CE6"/>
    <w:rsid w:val="246758CC"/>
    <w:rsid w:val="246B4165"/>
    <w:rsid w:val="246E63F9"/>
    <w:rsid w:val="2478392A"/>
    <w:rsid w:val="248169EE"/>
    <w:rsid w:val="248646BD"/>
    <w:rsid w:val="248A1F43"/>
    <w:rsid w:val="248E66FF"/>
    <w:rsid w:val="24992437"/>
    <w:rsid w:val="24993E7F"/>
    <w:rsid w:val="24A1390C"/>
    <w:rsid w:val="24A83937"/>
    <w:rsid w:val="24AF2EAC"/>
    <w:rsid w:val="24B55EEC"/>
    <w:rsid w:val="24B570B3"/>
    <w:rsid w:val="24B853BF"/>
    <w:rsid w:val="24B85AC3"/>
    <w:rsid w:val="24C50495"/>
    <w:rsid w:val="24D22120"/>
    <w:rsid w:val="24DC55D1"/>
    <w:rsid w:val="24DE4FB9"/>
    <w:rsid w:val="24E73198"/>
    <w:rsid w:val="24E76A0D"/>
    <w:rsid w:val="24EA3E32"/>
    <w:rsid w:val="24EE0112"/>
    <w:rsid w:val="24F22DFE"/>
    <w:rsid w:val="24F91EC9"/>
    <w:rsid w:val="24FF13AE"/>
    <w:rsid w:val="2500560C"/>
    <w:rsid w:val="250D16B0"/>
    <w:rsid w:val="250F386E"/>
    <w:rsid w:val="251816CC"/>
    <w:rsid w:val="251C346C"/>
    <w:rsid w:val="251F743D"/>
    <w:rsid w:val="2526065F"/>
    <w:rsid w:val="252A306E"/>
    <w:rsid w:val="25362D5A"/>
    <w:rsid w:val="2537065E"/>
    <w:rsid w:val="25381937"/>
    <w:rsid w:val="253824B8"/>
    <w:rsid w:val="254A380E"/>
    <w:rsid w:val="254C1980"/>
    <w:rsid w:val="254E0AD2"/>
    <w:rsid w:val="2559376E"/>
    <w:rsid w:val="25651069"/>
    <w:rsid w:val="256E2C8A"/>
    <w:rsid w:val="256E66A6"/>
    <w:rsid w:val="25714529"/>
    <w:rsid w:val="2572617E"/>
    <w:rsid w:val="257638C5"/>
    <w:rsid w:val="257A518B"/>
    <w:rsid w:val="257A57C6"/>
    <w:rsid w:val="258C7800"/>
    <w:rsid w:val="258E3947"/>
    <w:rsid w:val="25906F51"/>
    <w:rsid w:val="2597117D"/>
    <w:rsid w:val="259B0E6B"/>
    <w:rsid w:val="259B3353"/>
    <w:rsid w:val="25AC2B69"/>
    <w:rsid w:val="25AE77E1"/>
    <w:rsid w:val="25B85344"/>
    <w:rsid w:val="25BD5B70"/>
    <w:rsid w:val="25BD7330"/>
    <w:rsid w:val="25C112FC"/>
    <w:rsid w:val="25CE15E7"/>
    <w:rsid w:val="25D17ED3"/>
    <w:rsid w:val="25D77636"/>
    <w:rsid w:val="25D86472"/>
    <w:rsid w:val="25D96698"/>
    <w:rsid w:val="25DE1ABB"/>
    <w:rsid w:val="25DF3862"/>
    <w:rsid w:val="25E113A0"/>
    <w:rsid w:val="25E16C5A"/>
    <w:rsid w:val="25E31A0E"/>
    <w:rsid w:val="25E76EC9"/>
    <w:rsid w:val="25F05DAD"/>
    <w:rsid w:val="25F214DE"/>
    <w:rsid w:val="25F21B75"/>
    <w:rsid w:val="25F960F3"/>
    <w:rsid w:val="26040F00"/>
    <w:rsid w:val="26051C44"/>
    <w:rsid w:val="260555BA"/>
    <w:rsid w:val="26064ADE"/>
    <w:rsid w:val="26070321"/>
    <w:rsid w:val="26082B59"/>
    <w:rsid w:val="260C1DEB"/>
    <w:rsid w:val="26130C62"/>
    <w:rsid w:val="261721F1"/>
    <w:rsid w:val="261825DA"/>
    <w:rsid w:val="2618533A"/>
    <w:rsid w:val="261966B9"/>
    <w:rsid w:val="261C5F53"/>
    <w:rsid w:val="2622319C"/>
    <w:rsid w:val="262279E8"/>
    <w:rsid w:val="26230B98"/>
    <w:rsid w:val="26306FB1"/>
    <w:rsid w:val="26356D4E"/>
    <w:rsid w:val="263E33E2"/>
    <w:rsid w:val="26495583"/>
    <w:rsid w:val="264D6144"/>
    <w:rsid w:val="26555E91"/>
    <w:rsid w:val="26630315"/>
    <w:rsid w:val="26654508"/>
    <w:rsid w:val="2670610E"/>
    <w:rsid w:val="26791245"/>
    <w:rsid w:val="267F0C45"/>
    <w:rsid w:val="26820F9F"/>
    <w:rsid w:val="26860612"/>
    <w:rsid w:val="268771A5"/>
    <w:rsid w:val="268C5488"/>
    <w:rsid w:val="26987C80"/>
    <w:rsid w:val="269A5384"/>
    <w:rsid w:val="269B58A5"/>
    <w:rsid w:val="269C1FC5"/>
    <w:rsid w:val="26AE25E1"/>
    <w:rsid w:val="26AF6760"/>
    <w:rsid w:val="26BB0CE7"/>
    <w:rsid w:val="26C81B3E"/>
    <w:rsid w:val="26C8235B"/>
    <w:rsid w:val="26C84DAF"/>
    <w:rsid w:val="26CC4421"/>
    <w:rsid w:val="26CD578F"/>
    <w:rsid w:val="26CF5C93"/>
    <w:rsid w:val="26D00BE0"/>
    <w:rsid w:val="26D23E6B"/>
    <w:rsid w:val="26D42340"/>
    <w:rsid w:val="26D63E17"/>
    <w:rsid w:val="26DB7176"/>
    <w:rsid w:val="26EF04DE"/>
    <w:rsid w:val="26EF5602"/>
    <w:rsid w:val="26F43F49"/>
    <w:rsid w:val="26FB6BF2"/>
    <w:rsid w:val="27026030"/>
    <w:rsid w:val="27097C41"/>
    <w:rsid w:val="270A67A8"/>
    <w:rsid w:val="270B5CE4"/>
    <w:rsid w:val="27100423"/>
    <w:rsid w:val="271D70F1"/>
    <w:rsid w:val="272647DD"/>
    <w:rsid w:val="27271E7A"/>
    <w:rsid w:val="2728282B"/>
    <w:rsid w:val="27370CB7"/>
    <w:rsid w:val="274D07A1"/>
    <w:rsid w:val="274F0555"/>
    <w:rsid w:val="2754100C"/>
    <w:rsid w:val="27585733"/>
    <w:rsid w:val="27613BED"/>
    <w:rsid w:val="27623E03"/>
    <w:rsid w:val="2763112B"/>
    <w:rsid w:val="276520C5"/>
    <w:rsid w:val="27696A87"/>
    <w:rsid w:val="276F7E01"/>
    <w:rsid w:val="277A26F4"/>
    <w:rsid w:val="278E41B3"/>
    <w:rsid w:val="278F089F"/>
    <w:rsid w:val="27921558"/>
    <w:rsid w:val="27A440AE"/>
    <w:rsid w:val="27AA347B"/>
    <w:rsid w:val="27AB50D4"/>
    <w:rsid w:val="27B53CE0"/>
    <w:rsid w:val="27B62DA3"/>
    <w:rsid w:val="27B70AB5"/>
    <w:rsid w:val="27C07F2E"/>
    <w:rsid w:val="27C13C7E"/>
    <w:rsid w:val="27E041A7"/>
    <w:rsid w:val="27E56B08"/>
    <w:rsid w:val="27E7159A"/>
    <w:rsid w:val="27EF2F8D"/>
    <w:rsid w:val="27F03C89"/>
    <w:rsid w:val="28024D20"/>
    <w:rsid w:val="28051CDB"/>
    <w:rsid w:val="281204D3"/>
    <w:rsid w:val="28123A6A"/>
    <w:rsid w:val="28177A9A"/>
    <w:rsid w:val="281C2358"/>
    <w:rsid w:val="281D74A8"/>
    <w:rsid w:val="28232A4D"/>
    <w:rsid w:val="282540DE"/>
    <w:rsid w:val="282625B4"/>
    <w:rsid w:val="282D145D"/>
    <w:rsid w:val="28304558"/>
    <w:rsid w:val="28324E81"/>
    <w:rsid w:val="283F3C03"/>
    <w:rsid w:val="28421D90"/>
    <w:rsid w:val="28487F3A"/>
    <w:rsid w:val="284A1302"/>
    <w:rsid w:val="28565E8D"/>
    <w:rsid w:val="285A0C57"/>
    <w:rsid w:val="285A608E"/>
    <w:rsid w:val="285D4B50"/>
    <w:rsid w:val="28633E80"/>
    <w:rsid w:val="28646563"/>
    <w:rsid w:val="286A183C"/>
    <w:rsid w:val="287C617A"/>
    <w:rsid w:val="287E0683"/>
    <w:rsid w:val="28886F3A"/>
    <w:rsid w:val="288F1C60"/>
    <w:rsid w:val="28A84A09"/>
    <w:rsid w:val="28AA04F8"/>
    <w:rsid w:val="28AB4038"/>
    <w:rsid w:val="28AB6E45"/>
    <w:rsid w:val="28AC61BD"/>
    <w:rsid w:val="28AF4BB4"/>
    <w:rsid w:val="28B515A5"/>
    <w:rsid w:val="28BD0C03"/>
    <w:rsid w:val="28C82C6C"/>
    <w:rsid w:val="28CA269A"/>
    <w:rsid w:val="28CD1D26"/>
    <w:rsid w:val="28E108F3"/>
    <w:rsid w:val="28E94F69"/>
    <w:rsid w:val="28EA7131"/>
    <w:rsid w:val="28EB63A0"/>
    <w:rsid w:val="28F13A74"/>
    <w:rsid w:val="28F677D6"/>
    <w:rsid w:val="28FF1735"/>
    <w:rsid w:val="29092F68"/>
    <w:rsid w:val="290D0DD9"/>
    <w:rsid w:val="29112893"/>
    <w:rsid w:val="29192DC0"/>
    <w:rsid w:val="29223917"/>
    <w:rsid w:val="29276906"/>
    <w:rsid w:val="292904EF"/>
    <w:rsid w:val="29296880"/>
    <w:rsid w:val="293826F4"/>
    <w:rsid w:val="293C4DB3"/>
    <w:rsid w:val="293E6150"/>
    <w:rsid w:val="294203B8"/>
    <w:rsid w:val="2942227C"/>
    <w:rsid w:val="29587D7D"/>
    <w:rsid w:val="295C32F1"/>
    <w:rsid w:val="2964062C"/>
    <w:rsid w:val="29665F83"/>
    <w:rsid w:val="296D3C10"/>
    <w:rsid w:val="296F182A"/>
    <w:rsid w:val="29792CAF"/>
    <w:rsid w:val="29792F37"/>
    <w:rsid w:val="297B505F"/>
    <w:rsid w:val="297D03FD"/>
    <w:rsid w:val="29822440"/>
    <w:rsid w:val="29921178"/>
    <w:rsid w:val="29954C89"/>
    <w:rsid w:val="299F0888"/>
    <w:rsid w:val="29AA6C27"/>
    <w:rsid w:val="29B85DC6"/>
    <w:rsid w:val="29BF1B76"/>
    <w:rsid w:val="29BF5A9F"/>
    <w:rsid w:val="29E31DE1"/>
    <w:rsid w:val="29E761A1"/>
    <w:rsid w:val="29F53BB5"/>
    <w:rsid w:val="29FF39FA"/>
    <w:rsid w:val="2A0936FF"/>
    <w:rsid w:val="2A1426A2"/>
    <w:rsid w:val="2A1B08E0"/>
    <w:rsid w:val="2A201303"/>
    <w:rsid w:val="2A2D65A0"/>
    <w:rsid w:val="2A37714C"/>
    <w:rsid w:val="2A3817E7"/>
    <w:rsid w:val="2A3D6CCD"/>
    <w:rsid w:val="2A5336E5"/>
    <w:rsid w:val="2A59049E"/>
    <w:rsid w:val="2A5A2E01"/>
    <w:rsid w:val="2A666321"/>
    <w:rsid w:val="2A705A77"/>
    <w:rsid w:val="2A7C6197"/>
    <w:rsid w:val="2A7E3B0B"/>
    <w:rsid w:val="2A8072C9"/>
    <w:rsid w:val="2A8300D7"/>
    <w:rsid w:val="2A8D75A2"/>
    <w:rsid w:val="2A905AFC"/>
    <w:rsid w:val="2A9C7CB3"/>
    <w:rsid w:val="2A9D211B"/>
    <w:rsid w:val="2AA14281"/>
    <w:rsid w:val="2AA971B8"/>
    <w:rsid w:val="2AAD0BB7"/>
    <w:rsid w:val="2AAF1665"/>
    <w:rsid w:val="2AC259A9"/>
    <w:rsid w:val="2AC918A5"/>
    <w:rsid w:val="2ACE2860"/>
    <w:rsid w:val="2AE726F5"/>
    <w:rsid w:val="2AF136A3"/>
    <w:rsid w:val="2B043A12"/>
    <w:rsid w:val="2B067C2B"/>
    <w:rsid w:val="2B0A6F32"/>
    <w:rsid w:val="2B0F73F8"/>
    <w:rsid w:val="2B165956"/>
    <w:rsid w:val="2B174AE0"/>
    <w:rsid w:val="2B18550B"/>
    <w:rsid w:val="2B1F0C86"/>
    <w:rsid w:val="2B216DBC"/>
    <w:rsid w:val="2B34402E"/>
    <w:rsid w:val="2B3900CC"/>
    <w:rsid w:val="2B390B03"/>
    <w:rsid w:val="2B440BA3"/>
    <w:rsid w:val="2B4700EF"/>
    <w:rsid w:val="2B4735F3"/>
    <w:rsid w:val="2B4D7780"/>
    <w:rsid w:val="2B592EC9"/>
    <w:rsid w:val="2B6038C5"/>
    <w:rsid w:val="2B6210CA"/>
    <w:rsid w:val="2B636C52"/>
    <w:rsid w:val="2B6459FA"/>
    <w:rsid w:val="2B662AB1"/>
    <w:rsid w:val="2B6F2AF7"/>
    <w:rsid w:val="2B77044B"/>
    <w:rsid w:val="2B791F31"/>
    <w:rsid w:val="2B7C7B3D"/>
    <w:rsid w:val="2B824609"/>
    <w:rsid w:val="2B8915D9"/>
    <w:rsid w:val="2B8E1E37"/>
    <w:rsid w:val="2B8F6FC5"/>
    <w:rsid w:val="2B9B7BCF"/>
    <w:rsid w:val="2BAC3CC8"/>
    <w:rsid w:val="2BAD6E19"/>
    <w:rsid w:val="2BBC0AB2"/>
    <w:rsid w:val="2BC13946"/>
    <w:rsid w:val="2BDB6BA0"/>
    <w:rsid w:val="2BDD3FB1"/>
    <w:rsid w:val="2BE13BCC"/>
    <w:rsid w:val="2BE343AA"/>
    <w:rsid w:val="2BE42716"/>
    <w:rsid w:val="2BE6318F"/>
    <w:rsid w:val="2BEB09B7"/>
    <w:rsid w:val="2BED439B"/>
    <w:rsid w:val="2BF35C97"/>
    <w:rsid w:val="2BFE04DC"/>
    <w:rsid w:val="2C0177DE"/>
    <w:rsid w:val="2C09690B"/>
    <w:rsid w:val="2C0F4F24"/>
    <w:rsid w:val="2C1160D6"/>
    <w:rsid w:val="2C1A1FA5"/>
    <w:rsid w:val="2C1F5662"/>
    <w:rsid w:val="2C2044B9"/>
    <w:rsid w:val="2C2200F1"/>
    <w:rsid w:val="2C277C6F"/>
    <w:rsid w:val="2C2B7AF1"/>
    <w:rsid w:val="2C2C4D7F"/>
    <w:rsid w:val="2C31448E"/>
    <w:rsid w:val="2C386BB5"/>
    <w:rsid w:val="2C3A1143"/>
    <w:rsid w:val="2C420746"/>
    <w:rsid w:val="2C423829"/>
    <w:rsid w:val="2C4259E5"/>
    <w:rsid w:val="2C432176"/>
    <w:rsid w:val="2C443C12"/>
    <w:rsid w:val="2C4458CD"/>
    <w:rsid w:val="2C484235"/>
    <w:rsid w:val="2C4B75CA"/>
    <w:rsid w:val="2C53571E"/>
    <w:rsid w:val="2C537860"/>
    <w:rsid w:val="2C62536E"/>
    <w:rsid w:val="2C644A45"/>
    <w:rsid w:val="2C644EC7"/>
    <w:rsid w:val="2C6E5A2A"/>
    <w:rsid w:val="2C770C83"/>
    <w:rsid w:val="2C7812F9"/>
    <w:rsid w:val="2C7D37B3"/>
    <w:rsid w:val="2C81433C"/>
    <w:rsid w:val="2C863021"/>
    <w:rsid w:val="2C884166"/>
    <w:rsid w:val="2C8B1FA5"/>
    <w:rsid w:val="2C9926A5"/>
    <w:rsid w:val="2CA12E0A"/>
    <w:rsid w:val="2CB230F8"/>
    <w:rsid w:val="2CB44243"/>
    <w:rsid w:val="2CB7145A"/>
    <w:rsid w:val="2CBD7AF3"/>
    <w:rsid w:val="2CD51072"/>
    <w:rsid w:val="2CE60224"/>
    <w:rsid w:val="2CFA3E9E"/>
    <w:rsid w:val="2D155FB1"/>
    <w:rsid w:val="2D1A6ADA"/>
    <w:rsid w:val="2D1C518B"/>
    <w:rsid w:val="2D1E29BD"/>
    <w:rsid w:val="2D314626"/>
    <w:rsid w:val="2D360847"/>
    <w:rsid w:val="2D3E1E7E"/>
    <w:rsid w:val="2D4579FA"/>
    <w:rsid w:val="2D4B6B2F"/>
    <w:rsid w:val="2D4C45C5"/>
    <w:rsid w:val="2D4D3C25"/>
    <w:rsid w:val="2D5527DB"/>
    <w:rsid w:val="2D5B3196"/>
    <w:rsid w:val="2D5D238D"/>
    <w:rsid w:val="2D620BEA"/>
    <w:rsid w:val="2D713384"/>
    <w:rsid w:val="2D765B15"/>
    <w:rsid w:val="2D7F210E"/>
    <w:rsid w:val="2D897498"/>
    <w:rsid w:val="2D8F2B2A"/>
    <w:rsid w:val="2D921556"/>
    <w:rsid w:val="2D957987"/>
    <w:rsid w:val="2D961CD4"/>
    <w:rsid w:val="2D9936F5"/>
    <w:rsid w:val="2D9D6926"/>
    <w:rsid w:val="2DA83294"/>
    <w:rsid w:val="2DAA2B66"/>
    <w:rsid w:val="2DAE36EB"/>
    <w:rsid w:val="2DB027DE"/>
    <w:rsid w:val="2DB106FC"/>
    <w:rsid w:val="2DB41574"/>
    <w:rsid w:val="2DB76447"/>
    <w:rsid w:val="2DBE3F03"/>
    <w:rsid w:val="2DD07F16"/>
    <w:rsid w:val="2DD2030A"/>
    <w:rsid w:val="2DD371AF"/>
    <w:rsid w:val="2DDE14BA"/>
    <w:rsid w:val="2DEB7F98"/>
    <w:rsid w:val="2DF47852"/>
    <w:rsid w:val="2DF755A4"/>
    <w:rsid w:val="2DF81F21"/>
    <w:rsid w:val="2E065966"/>
    <w:rsid w:val="2E1060C5"/>
    <w:rsid w:val="2E164034"/>
    <w:rsid w:val="2E1C16C1"/>
    <w:rsid w:val="2E2414DA"/>
    <w:rsid w:val="2E265A28"/>
    <w:rsid w:val="2E2C34BF"/>
    <w:rsid w:val="2E2C7048"/>
    <w:rsid w:val="2E321923"/>
    <w:rsid w:val="2E333053"/>
    <w:rsid w:val="2E367C94"/>
    <w:rsid w:val="2E4A06FD"/>
    <w:rsid w:val="2E4D5CD0"/>
    <w:rsid w:val="2E521FEC"/>
    <w:rsid w:val="2E55723E"/>
    <w:rsid w:val="2E5D1786"/>
    <w:rsid w:val="2E5D3CD5"/>
    <w:rsid w:val="2E6A3D24"/>
    <w:rsid w:val="2E6F08A9"/>
    <w:rsid w:val="2E752262"/>
    <w:rsid w:val="2E7A3EDF"/>
    <w:rsid w:val="2E7C0C1D"/>
    <w:rsid w:val="2E806BE6"/>
    <w:rsid w:val="2E8603FB"/>
    <w:rsid w:val="2E91385A"/>
    <w:rsid w:val="2E9330E4"/>
    <w:rsid w:val="2E953483"/>
    <w:rsid w:val="2E960B5C"/>
    <w:rsid w:val="2E9B414B"/>
    <w:rsid w:val="2EA35169"/>
    <w:rsid w:val="2EA64FD9"/>
    <w:rsid w:val="2EAA7604"/>
    <w:rsid w:val="2EAC7A44"/>
    <w:rsid w:val="2EB155A5"/>
    <w:rsid w:val="2EB178DD"/>
    <w:rsid w:val="2EB22C6B"/>
    <w:rsid w:val="2EBC2E1B"/>
    <w:rsid w:val="2EBC42CC"/>
    <w:rsid w:val="2EBD790E"/>
    <w:rsid w:val="2EC36717"/>
    <w:rsid w:val="2ED036B7"/>
    <w:rsid w:val="2ED12BEB"/>
    <w:rsid w:val="2EDC3646"/>
    <w:rsid w:val="2EDC769A"/>
    <w:rsid w:val="2EF201BC"/>
    <w:rsid w:val="2EF53117"/>
    <w:rsid w:val="2EF53D13"/>
    <w:rsid w:val="2EFB1A79"/>
    <w:rsid w:val="2EFBC542"/>
    <w:rsid w:val="2F025A79"/>
    <w:rsid w:val="2F102B7E"/>
    <w:rsid w:val="2F16139B"/>
    <w:rsid w:val="2F19628A"/>
    <w:rsid w:val="2F1D4731"/>
    <w:rsid w:val="2F1F743A"/>
    <w:rsid w:val="2F287207"/>
    <w:rsid w:val="2F2874C0"/>
    <w:rsid w:val="2F2C3C9D"/>
    <w:rsid w:val="2F3E79A0"/>
    <w:rsid w:val="2F3F3521"/>
    <w:rsid w:val="2F4709CF"/>
    <w:rsid w:val="2F4A2D72"/>
    <w:rsid w:val="2F531C4E"/>
    <w:rsid w:val="2F552C53"/>
    <w:rsid w:val="2F55651F"/>
    <w:rsid w:val="2F6246B9"/>
    <w:rsid w:val="2F702650"/>
    <w:rsid w:val="2F747939"/>
    <w:rsid w:val="2F767CE8"/>
    <w:rsid w:val="2F791E73"/>
    <w:rsid w:val="2F7B7F9F"/>
    <w:rsid w:val="2F84359C"/>
    <w:rsid w:val="2F855D5F"/>
    <w:rsid w:val="2F87761D"/>
    <w:rsid w:val="2F8B25D6"/>
    <w:rsid w:val="2F8D61A6"/>
    <w:rsid w:val="2FA02134"/>
    <w:rsid w:val="2FA63DD0"/>
    <w:rsid w:val="2FA776D5"/>
    <w:rsid w:val="2FC21082"/>
    <w:rsid w:val="2FC41C91"/>
    <w:rsid w:val="2FDC5BFA"/>
    <w:rsid w:val="2FE66E51"/>
    <w:rsid w:val="2FEC442D"/>
    <w:rsid w:val="2FF61653"/>
    <w:rsid w:val="2FF77C0B"/>
    <w:rsid w:val="2FFE0F7D"/>
    <w:rsid w:val="301450A1"/>
    <w:rsid w:val="30153B08"/>
    <w:rsid w:val="301F53FA"/>
    <w:rsid w:val="30290636"/>
    <w:rsid w:val="302D735A"/>
    <w:rsid w:val="303641A9"/>
    <w:rsid w:val="30494962"/>
    <w:rsid w:val="304A3FC2"/>
    <w:rsid w:val="304B5A58"/>
    <w:rsid w:val="304C6B58"/>
    <w:rsid w:val="30524F3B"/>
    <w:rsid w:val="305956BF"/>
    <w:rsid w:val="305B723E"/>
    <w:rsid w:val="30657C92"/>
    <w:rsid w:val="306624C9"/>
    <w:rsid w:val="306C1990"/>
    <w:rsid w:val="306C426A"/>
    <w:rsid w:val="307438D4"/>
    <w:rsid w:val="30762F22"/>
    <w:rsid w:val="307B52DF"/>
    <w:rsid w:val="30810C27"/>
    <w:rsid w:val="3082583C"/>
    <w:rsid w:val="308B1A94"/>
    <w:rsid w:val="308C4AE8"/>
    <w:rsid w:val="308D102C"/>
    <w:rsid w:val="308E45B2"/>
    <w:rsid w:val="308F4CDC"/>
    <w:rsid w:val="30927D59"/>
    <w:rsid w:val="30937881"/>
    <w:rsid w:val="309C4E9A"/>
    <w:rsid w:val="309D4424"/>
    <w:rsid w:val="309E5CB7"/>
    <w:rsid w:val="30A357A3"/>
    <w:rsid w:val="30A54B7A"/>
    <w:rsid w:val="30A83AA8"/>
    <w:rsid w:val="30B1566F"/>
    <w:rsid w:val="30CC55BB"/>
    <w:rsid w:val="30CD1FFB"/>
    <w:rsid w:val="30CD7BA6"/>
    <w:rsid w:val="30D5283C"/>
    <w:rsid w:val="30E2494F"/>
    <w:rsid w:val="30F05750"/>
    <w:rsid w:val="30F7146C"/>
    <w:rsid w:val="30FD6A8E"/>
    <w:rsid w:val="31037FEF"/>
    <w:rsid w:val="311E01E4"/>
    <w:rsid w:val="31260BDE"/>
    <w:rsid w:val="3126253E"/>
    <w:rsid w:val="312E1520"/>
    <w:rsid w:val="312F62D4"/>
    <w:rsid w:val="3136528E"/>
    <w:rsid w:val="31427713"/>
    <w:rsid w:val="31433AEB"/>
    <w:rsid w:val="31473867"/>
    <w:rsid w:val="31496359"/>
    <w:rsid w:val="314B3525"/>
    <w:rsid w:val="315076E8"/>
    <w:rsid w:val="315224D4"/>
    <w:rsid w:val="3157470E"/>
    <w:rsid w:val="315F3448"/>
    <w:rsid w:val="31626AAB"/>
    <w:rsid w:val="316C5345"/>
    <w:rsid w:val="317A2289"/>
    <w:rsid w:val="317B33B1"/>
    <w:rsid w:val="317E4CDC"/>
    <w:rsid w:val="31850DC9"/>
    <w:rsid w:val="3192358B"/>
    <w:rsid w:val="31976FAD"/>
    <w:rsid w:val="319A0419"/>
    <w:rsid w:val="319A2457"/>
    <w:rsid w:val="319C7200"/>
    <w:rsid w:val="319F545B"/>
    <w:rsid w:val="31AA7E09"/>
    <w:rsid w:val="31C82C7F"/>
    <w:rsid w:val="31CB2B2A"/>
    <w:rsid w:val="31D75CD4"/>
    <w:rsid w:val="31D76A2D"/>
    <w:rsid w:val="31D77D9C"/>
    <w:rsid w:val="31DA5035"/>
    <w:rsid w:val="31DF0CA5"/>
    <w:rsid w:val="31ED0394"/>
    <w:rsid w:val="31ED2F95"/>
    <w:rsid w:val="31F8207E"/>
    <w:rsid w:val="31F86B5B"/>
    <w:rsid w:val="31FB5F36"/>
    <w:rsid w:val="320A3657"/>
    <w:rsid w:val="321E7765"/>
    <w:rsid w:val="32221DCD"/>
    <w:rsid w:val="32237A3E"/>
    <w:rsid w:val="32390B02"/>
    <w:rsid w:val="32396D50"/>
    <w:rsid w:val="323A4043"/>
    <w:rsid w:val="324059AE"/>
    <w:rsid w:val="3249492D"/>
    <w:rsid w:val="324A13E9"/>
    <w:rsid w:val="32611563"/>
    <w:rsid w:val="326B1ACC"/>
    <w:rsid w:val="326C0097"/>
    <w:rsid w:val="326C3194"/>
    <w:rsid w:val="327F0945"/>
    <w:rsid w:val="328073FB"/>
    <w:rsid w:val="328E17C2"/>
    <w:rsid w:val="32952141"/>
    <w:rsid w:val="32957AA8"/>
    <w:rsid w:val="32973E8C"/>
    <w:rsid w:val="32990E4F"/>
    <w:rsid w:val="329A2A02"/>
    <w:rsid w:val="32A1054B"/>
    <w:rsid w:val="32A826BD"/>
    <w:rsid w:val="32AC5EBC"/>
    <w:rsid w:val="32B31B98"/>
    <w:rsid w:val="32B33D20"/>
    <w:rsid w:val="32B41B9C"/>
    <w:rsid w:val="32B51034"/>
    <w:rsid w:val="32B932D2"/>
    <w:rsid w:val="32C36DB2"/>
    <w:rsid w:val="32C92209"/>
    <w:rsid w:val="32CB473B"/>
    <w:rsid w:val="32CB7907"/>
    <w:rsid w:val="32D239F9"/>
    <w:rsid w:val="32DC1AA8"/>
    <w:rsid w:val="32E030E1"/>
    <w:rsid w:val="32E30096"/>
    <w:rsid w:val="32EA667F"/>
    <w:rsid w:val="32ED02EC"/>
    <w:rsid w:val="32F97830"/>
    <w:rsid w:val="33040430"/>
    <w:rsid w:val="33095DFF"/>
    <w:rsid w:val="33103CF6"/>
    <w:rsid w:val="331938F1"/>
    <w:rsid w:val="33222E14"/>
    <w:rsid w:val="33233A9D"/>
    <w:rsid w:val="33275859"/>
    <w:rsid w:val="332D5204"/>
    <w:rsid w:val="332D6DA2"/>
    <w:rsid w:val="333921F2"/>
    <w:rsid w:val="3354037A"/>
    <w:rsid w:val="33590F15"/>
    <w:rsid w:val="335E1778"/>
    <w:rsid w:val="335F60E6"/>
    <w:rsid w:val="336449CE"/>
    <w:rsid w:val="336462E9"/>
    <w:rsid w:val="33854602"/>
    <w:rsid w:val="338F5D8D"/>
    <w:rsid w:val="339454D0"/>
    <w:rsid w:val="33980B1F"/>
    <w:rsid w:val="339838A9"/>
    <w:rsid w:val="339E2F02"/>
    <w:rsid w:val="33A33AF8"/>
    <w:rsid w:val="33A51B66"/>
    <w:rsid w:val="33AD48C1"/>
    <w:rsid w:val="33B16E63"/>
    <w:rsid w:val="33B716F6"/>
    <w:rsid w:val="33B919A5"/>
    <w:rsid w:val="33BA42DD"/>
    <w:rsid w:val="33BA5355"/>
    <w:rsid w:val="33C02A0F"/>
    <w:rsid w:val="33C10E62"/>
    <w:rsid w:val="33C628A4"/>
    <w:rsid w:val="33C908FA"/>
    <w:rsid w:val="33CA5F23"/>
    <w:rsid w:val="33CC7353"/>
    <w:rsid w:val="33DA5119"/>
    <w:rsid w:val="33DC7970"/>
    <w:rsid w:val="33E1132A"/>
    <w:rsid w:val="33E233BA"/>
    <w:rsid w:val="33E4051A"/>
    <w:rsid w:val="33F45B30"/>
    <w:rsid w:val="33F62D3A"/>
    <w:rsid w:val="33FA2CB6"/>
    <w:rsid w:val="33FB3B0E"/>
    <w:rsid w:val="33FC0830"/>
    <w:rsid w:val="33FE072C"/>
    <w:rsid w:val="33FF0F6A"/>
    <w:rsid w:val="34023478"/>
    <w:rsid w:val="34036AF7"/>
    <w:rsid w:val="340518DC"/>
    <w:rsid w:val="34085F10"/>
    <w:rsid w:val="340B6E84"/>
    <w:rsid w:val="340D6780"/>
    <w:rsid w:val="3412378C"/>
    <w:rsid w:val="34141F0B"/>
    <w:rsid w:val="341C4358"/>
    <w:rsid w:val="341F2BE8"/>
    <w:rsid w:val="34246EE4"/>
    <w:rsid w:val="34263AAE"/>
    <w:rsid w:val="3426605B"/>
    <w:rsid w:val="343115AE"/>
    <w:rsid w:val="34370571"/>
    <w:rsid w:val="34563085"/>
    <w:rsid w:val="34576481"/>
    <w:rsid w:val="345B200B"/>
    <w:rsid w:val="345C4DFB"/>
    <w:rsid w:val="345D693A"/>
    <w:rsid w:val="34691C96"/>
    <w:rsid w:val="34745E84"/>
    <w:rsid w:val="347F068E"/>
    <w:rsid w:val="34867184"/>
    <w:rsid w:val="348D4D13"/>
    <w:rsid w:val="348D540E"/>
    <w:rsid w:val="34930E9E"/>
    <w:rsid w:val="349F0F6F"/>
    <w:rsid w:val="34B753D8"/>
    <w:rsid w:val="34B92969"/>
    <w:rsid w:val="34BE37C2"/>
    <w:rsid w:val="34C15112"/>
    <w:rsid w:val="34CB634F"/>
    <w:rsid w:val="34CC2791"/>
    <w:rsid w:val="34CD7FD4"/>
    <w:rsid w:val="34DC6803"/>
    <w:rsid w:val="34DF60CB"/>
    <w:rsid w:val="34EE0835"/>
    <w:rsid w:val="34F050A7"/>
    <w:rsid w:val="34F56804"/>
    <w:rsid w:val="34F92213"/>
    <w:rsid w:val="34FD110C"/>
    <w:rsid w:val="35032D8A"/>
    <w:rsid w:val="3518676F"/>
    <w:rsid w:val="352844E3"/>
    <w:rsid w:val="352D3CED"/>
    <w:rsid w:val="352E46F5"/>
    <w:rsid w:val="35310AD4"/>
    <w:rsid w:val="3546524F"/>
    <w:rsid w:val="355261EF"/>
    <w:rsid w:val="35563A9D"/>
    <w:rsid w:val="3561592D"/>
    <w:rsid w:val="356E5CAF"/>
    <w:rsid w:val="35711407"/>
    <w:rsid w:val="35732822"/>
    <w:rsid w:val="35883310"/>
    <w:rsid w:val="359429A8"/>
    <w:rsid w:val="3596221C"/>
    <w:rsid w:val="359D494E"/>
    <w:rsid w:val="35A240C5"/>
    <w:rsid w:val="35AC1908"/>
    <w:rsid w:val="35B0155F"/>
    <w:rsid w:val="35BA6E63"/>
    <w:rsid w:val="35C13A7B"/>
    <w:rsid w:val="35C90F76"/>
    <w:rsid w:val="35E30B2B"/>
    <w:rsid w:val="35E4001E"/>
    <w:rsid w:val="35E97B7C"/>
    <w:rsid w:val="35F06CDB"/>
    <w:rsid w:val="35F42D38"/>
    <w:rsid w:val="35FB74FF"/>
    <w:rsid w:val="35FF2E36"/>
    <w:rsid w:val="36017959"/>
    <w:rsid w:val="36075C58"/>
    <w:rsid w:val="360821B1"/>
    <w:rsid w:val="361D1FC8"/>
    <w:rsid w:val="362B366B"/>
    <w:rsid w:val="362C7822"/>
    <w:rsid w:val="363168D0"/>
    <w:rsid w:val="364A6DEE"/>
    <w:rsid w:val="364C6B7E"/>
    <w:rsid w:val="3651126A"/>
    <w:rsid w:val="3651579F"/>
    <w:rsid w:val="36590DED"/>
    <w:rsid w:val="366A36A2"/>
    <w:rsid w:val="366E0D48"/>
    <w:rsid w:val="366E4241"/>
    <w:rsid w:val="36705DD6"/>
    <w:rsid w:val="36734349"/>
    <w:rsid w:val="367E53C5"/>
    <w:rsid w:val="3682769C"/>
    <w:rsid w:val="368467CE"/>
    <w:rsid w:val="36875BA0"/>
    <w:rsid w:val="368879B8"/>
    <w:rsid w:val="368F284E"/>
    <w:rsid w:val="36900A9F"/>
    <w:rsid w:val="3694734A"/>
    <w:rsid w:val="369614E1"/>
    <w:rsid w:val="36973F38"/>
    <w:rsid w:val="369E04F7"/>
    <w:rsid w:val="369E6F14"/>
    <w:rsid w:val="369F34D6"/>
    <w:rsid w:val="36A41305"/>
    <w:rsid w:val="36A46F23"/>
    <w:rsid w:val="36AC3612"/>
    <w:rsid w:val="36B27F28"/>
    <w:rsid w:val="36B82E53"/>
    <w:rsid w:val="36BB7AE7"/>
    <w:rsid w:val="36C431DC"/>
    <w:rsid w:val="36D31856"/>
    <w:rsid w:val="36D84407"/>
    <w:rsid w:val="36DA56CA"/>
    <w:rsid w:val="36DC33FA"/>
    <w:rsid w:val="36DD77FE"/>
    <w:rsid w:val="36E93797"/>
    <w:rsid w:val="36EB45BA"/>
    <w:rsid w:val="36EC0601"/>
    <w:rsid w:val="36F526AB"/>
    <w:rsid w:val="3705166D"/>
    <w:rsid w:val="3707630F"/>
    <w:rsid w:val="370D5A5C"/>
    <w:rsid w:val="371462D8"/>
    <w:rsid w:val="372555C4"/>
    <w:rsid w:val="37275D62"/>
    <w:rsid w:val="37311EE9"/>
    <w:rsid w:val="37365E3F"/>
    <w:rsid w:val="373778AC"/>
    <w:rsid w:val="37394615"/>
    <w:rsid w:val="373B3378"/>
    <w:rsid w:val="37414DAC"/>
    <w:rsid w:val="37425087"/>
    <w:rsid w:val="37485FEB"/>
    <w:rsid w:val="37537D12"/>
    <w:rsid w:val="375615B0"/>
    <w:rsid w:val="37572A03"/>
    <w:rsid w:val="37591E73"/>
    <w:rsid w:val="37593BAA"/>
    <w:rsid w:val="375A18CE"/>
    <w:rsid w:val="375A68C1"/>
    <w:rsid w:val="376121EE"/>
    <w:rsid w:val="37620175"/>
    <w:rsid w:val="376F3958"/>
    <w:rsid w:val="377641AE"/>
    <w:rsid w:val="377947C6"/>
    <w:rsid w:val="37816E09"/>
    <w:rsid w:val="37902956"/>
    <w:rsid w:val="379814D9"/>
    <w:rsid w:val="379A6C25"/>
    <w:rsid w:val="379F0AE8"/>
    <w:rsid w:val="37B35721"/>
    <w:rsid w:val="37BA243B"/>
    <w:rsid w:val="37BA7BDE"/>
    <w:rsid w:val="37BE4196"/>
    <w:rsid w:val="37C05335"/>
    <w:rsid w:val="37C665B9"/>
    <w:rsid w:val="37C92BDB"/>
    <w:rsid w:val="37CB2F4E"/>
    <w:rsid w:val="37CC4E69"/>
    <w:rsid w:val="37D454EB"/>
    <w:rsid w:val="37D45F0D"/>
    <w:rsid w:val="37E6452E"/>
    <w:rsid w:val="37E90E94"/>
    <w:rsid w:val="37F236E1"/>
    <w:rsid w:val="37FB77DD"/>
    <w:rsid w:val="38001D4F"/>
    <w:rsid w:val="38017D7D"/>
    <w:rsid w:val="380F5298"/>
    <w:rsid w:val="38116676"/>
    <w:rsid w:val="38246312"/>
    <w:rsid w:val="38266D0D"/>
    <w:rsid w:val="382A5856"/>
    <w:rsid w:val="382C4851"/>
    <w:rsid w:val="382E3646"/>
    <w:rsid w:val="383124C3"/>
    <w:rsid w:val="3836588A"/>
    <w:rsid w:val="383951B8"/>
    <w:rsid w:val="384213A7"/>
    <w:rsid w:val="384F1CD4"/>
    <w:rsid w:val="384F6DAC"/>
    <w:rsid w:val="38510E88"/>
    <w:rsid w:val="38521018"/>
    <w:rsid w:val="385D2355"/>
    <w:rsid w:val="3860556F"/>
    <w:rsid w:val="38652E94"/>
    <w:rsid w:val="386A4D80"/>
    <w:rsid w:val="386C6E89"/>
    <w:rsid w:val="387300B1"/>
    <w:rsid w:val="3876177E"/>
    <w:rsid w:val="38774633"/>
    <w:rsid w:val="38787002"/>
    <w:rsid w:val="3879168D"/>
    <w:rsid w:val="3880332A"/>
    <w:rsid w:val="388037EE"/>
    <w:rsid w:val="38807CE2"/>
    <w:rsid w:val="3883267F"/>
    <w:rsid w:val="3887192E"/>
    <w:rsid w:val="389F0B70"/>
    <w:rsid w:val="38AA5500"/>
    <w:rsid w:val="38AF113E"/>
    <w:rsid w:val="38B76DEB"/>
    <w:rsid w:val="38B97B59"/>
    <w:rsid w:val="38BB1A36"/>
    <w:rsid w:val="38BC38E3"/>
    <w:rsid w:val="38C3287B"/>
    <w:rsid w:val="38C4076E"/>
    <w:rsid w:val="38C91BAB"/>
    <w:rsid w:val="38CA4F45"/>
    <w:rsid w:val="38D22A33"/>
    <w:rsid w:val="38D742D4"/>
    <w:rsid w:val="38D87D66"/>
    <w:rsid w:val="38DE3FDE"/>
    <w:rsid w:val="38DF6264"/>
    <w:rsid w:val="38E21650"/>
    <w:rsid w:val="38E51572"/>
    <w:rsid w:val="38E63D4D"/>
    <w:rsid w:val="38E77DE7"/>
    <w:rsid w:val="38E83CD0"/>
    <w:rsid w:val="38EC72FA"/>
    <w:rsid w:val="38ED7B8D"/>
    <w:rsid w:val="38EE092E"/>
    <w:rsid w:val="38F96151"/>
    <w:rsid w:val="38FB57A2"/>
    <w:rsid w:val="38FB589F"/>
    <w:rsid w:val="39115B8B"/>
    <w:rsid w:val="391570F2"/>
    <w:rsid w:val="39196940"/>
    <w:rsid w:val="39235850"/>
    <w:rsid w:val="39276EBB"/>
    <w:rsid w:val="392A09A2"/>
    <w:rsid w:val="39342CE1"/>
    <w:rsid w:val="393A0159"/>
    <w:rsid w:val="393A4041"/>
    <w:rsid w:val="393D5460"/>
    <w:rsid w:val="394B4C60"/>
    <w:rsid w:val="394D05EB"/>
    <w:rsid w:val="395225D7"/>
    <w:rsid w:val="39602542"/>
    <w:rsid w:val="396A6E0B"/>
    <w:rsid w:val="397D1052"/>
    <w:rsid w:val="39825085"/>
    <w:rsid w:val="39877856"/>
    <w:rsid w:val="398E10E0"/>
    <w:rsid w:val="39920B57"/>
    <w:rsid w:val="39933E50"/>
    <w:rsid w:val="39951EC6"/>
    <w:rsid w:val="39A17F97"/>
    <w:rsid w:val="39A4772F"/>
    <w:rsid w:val="39A60FEB"/>
    <w:rsid w:val="39AD19D9"/>
    <w:rsid w:val="39AD53FB"/>
    <w:rsid w:val="39B320A0"/>
    <w:rsid w:val="39B4137A"/>
    <w:rsid w:val="39C34784"/>
    <w:rsid w:val="39C7352A"/>
    <w:rsid w:val="39D06C14"/>
    <w:rsid w:val="39D36655"/>
    <w:rsid w:val="39D614F3"/>
    <w:rsid w:val="39D80A90"/>
    <w:rsid w:val="39DC0253"/>
    <w:rsid w:val="39EA2604"/>
    <w:rsid w:val="39EC17D2"/>
    <w:rsid w:val="39FD5540"/>
    <w:rsid w:val="3A001CDF"/>
    <w:rsid w:val="3A0440BE"/>
    <w:rsid w:val="3A077249"/>
    <w:rsid w:val="3A0B4AF4"/>
    <w:rsid w:val="3A0F0416"/>
    <w:rsid w:val="3A11400B"/>
    <w:rsid w:val="3A140471"/>
    <w:rsid w:val="3A1F00DF"/>
    <w:rsid w:val="3A200A3A"/>
    <w:rsid w:val="3A2C0040"/>
    <w:rsid w:val="3A3027CC"/>
    <w:rsid w:val="3A347D8E"/>
    <w:rsid w:val="3A3A0F35"/>
    <w:rsid w:val="3A4311E6"/>
    <w:rsid w:val="3A463404"/>
    <w:rsid w:val="3A526D54"/>
    <w:rsid w:val="3A5354A2"/>
    <w:rsid w:val="3A5A59C5"/>
    <w:rsid w:val="3A6008DE"/>
    <w:rsid w:val="3A6206B1"/>
    <w:rsid w:val="3A6A01B8"/>
    <w:rsid w:val="3A6A2511"/>
    <w:rsid w:val="3A6E4D56"/>
    <w:rsid w:val="3A797357"/>
    <w:rsid w:val="3A7D1C76"/>
    <w:rsid w:val="3A7F31D6"/>
    <w:rsid w:val="3A816F1A"/>
    <w:rsid w:val="3A822943"/>
    <w:rsid w:val="3A8B07AA"/>
    <w:rsid w:val="3A960861"/>
    <w:rsid w:val="3A970729"/>
    <w:rsid w:val="3A9774F9"/>
    <w:rsid w:val="3A990AD1"/>
    <w:rsid w:val="3A9A4857"/>
    <w:rsid w:val="3A9B5A13"/>
    <w:rsid w:val="3AA67773"/>
    <w:rsid w:val="3AAC0161"/>
    <w:rsid w:val="3AB14F58"/>
    <w:rsid w:val="3AB32EF3"/>
    <w:rsid w:val="3AB560A4"/>
    <w:rsid w:val="3AC60B88"/>
    <w:rsid w:val="3AE1734F"/>
    <w:rsid w:val="3AF23FAB"/>
    <w:rsid w:val="3AF42E6F"/>
    <w:rsid w:val="3AFE7C42"/>
    <w:rsid w:val="3B0A6D84"/>
    <w:rsid w:val="3B0F494B"/>
    <w:rsid w:val="3B116AA3"/>
    <w:rsid w:val="3B120994"/>
    <w:rsid w:val="3B151511"/>
    <w:rsid w:val="3B15244D"/>
    <w:rsid w:val="3B153620"/>
    <w:rsid w:val="3B156108"/>
    <w:rsid w:val="3B190D78"/>
    <w:rsid w:val="3B1D1407"/>
    <w:rsid w:val="3B2A776C"/>
    <w:rsid w:val="3B2A7802"/>
    <w:rsid w:val="3B38059C"/>
    <w:rsid w:val="3B3E4D92"/>
    <w:rsid w:val="3B3F06DE"/>
    <w:rsid w:val="3B4A4F86"/>
    <w:rsid w:val="3B4A5AEE"/>
    <w:rsid w:val="3B4D5481"/>
    <w:rsid w:val="3B58313B"/>
    <w:rsid w:val="3B65749F"/>
    <w:rsid w:val="3B786D0E"/>
    <w:rsid w:val="3B7A15FE"/>
    <w:rsid w:val="3B807393"/>
    <w:rsid w:val="3B81471F"/>
    <w:rsid w:val="3B870466"/>
    <w:rsid w:val="3B907451"/>
    <w:rsid w:val="3B9231F7"/>
    <w:rsid w:val="3B940AB2"/>
    <w:rsid w:val="3B9E333D"/>
    <w:rsid w:val="3BA427CE"/>
    <w:rsid w:val="3BA743C6"/>
    <w:rsid w:val="3BB04524"/>
    <w:rsid w:val="3BB963C4"/>
    <w:rsid w:val="3BBC42C0"/>
    <w:rsid w:val="3BBF1F9C"/>
    <w:rsid w:val="3BCD2A02"/>
    <w:rsid w:val="3BCE3D7D"/>
    <w:rsid w:val="3BD00198"/>
    <w:rsid w:val="3BDC45A5"/>
    <w:rsid w:val="3BE31535"/>
    <w:rsid w:val="3BE70B6D"/>
    <w:rsid w:val="3BE94B37"/>
    <w:rsid w:val="3BEA5779"/>
    <w:rsid w:val="3BF20AC9"/>
    <w:rsid w:val="3BFD241B"/>
    <w:rsid w:val="3C01215A"/>
    <w:rsid w:val="3C034C56"/>
    <w:rsid w:val="3C0C6237"/>
    <w:rsid w:val="3C0D3C94"/>
    <w:rsid w:val="3C134682"/>
    <w:rsid w:val="3C1563EE"/>
    <w:rsid w:val="3C2337E9"/>
    <w:rsid w:val="3C2339C4"/>
    <w:rsid w:val="3C3458B0"/>
    <w:rsid w:val="3C352206"/>
    <w:rsid w:val="3C3B7069"/>
    <w:rsid w:val="3C3E3B8C"/>
    <w:rsid w:val="3C484FB9"/>
    <w:rsid w:val="3C4A51DF"/>
    <w:rsid w:val="3C4D31A2"/>
    <w:rsid w:val="3C4D50C5"/>
    <w:rsid w:val="3C53118E"/>
    <w:rsid w:val="3C53120E"/>
    <w:rsid w:val="3C613C01"/>
    <w:rsid w:val="3C665F54"/>
    <w:rsid w:val="3C666012"/>
    <w:rsid w:val="3C6933B4"/>
    <w:rsid w:val="3C732A77"/>
    <w:rsid w:val="3C7436E0"/>
    <w:rsid w:val="3C781B1B"/>
    <w:rsid w:val="3C785108"/>
    <w:rsid w:val="3C791B79"/>
    <w:rsid w:val="3C837C7C"/>
    <w:rsid w:val="3C8446EA"/>
    <w:rsid w:val="3C864D61"/>
    <w:rsid w:val="3C8B7070"/>
    <w:rsid w:val="3C9026DC"/>
    <w:rsid w:val="3C996BEB"/>
    <w:rsid w:val="3C9A662B"/>
    <w:rsid w:val="3C9E4AD6"/>
    <w:rsid w:val="3CA93A13"/>
    <w:rsid w:val="3CB6516F"/>
    <w:rsid w:val="3CBB026C"/>
    <w:rsid w:val="3CC2546A"/>
    <w:rsid w:val="3CCA672F"/>
    <w:rsid w:val="3CDF38BC"/>
    <w:rsid w:val="3CE35EFE"/>
    <w:rsid w:val="3CE56488"/>
    <w:rsid w:val="3CE60496"/>
    <w:rsid w:val="3CEA115F"/>
    <w:rsid w:val="3CEB4E58"/>
    <w:rsid w:val="3CF00A5C"/>
    <w:rsid w:val="3CF43CE2"/>
    <w:rsid w:val="3CFA6C64"/>
    <w:rsid w:val="3D0E0800"/>
    <w:rsid w:val="3D0E2BB4"/>
    <w:rsid w:val="3D104BDD"/>
    <w:rsid w:val="3D142DB1"/>
    <w:rsid w:val="3D1A185F"/>
    <w:rsid w:val="3D1B6DFE"/>
    <w:rsid w:val="3D2623E3"/>
    <w:rsid w:val="3D2817F9"/>
    <w:rsid w:val="3D3238B0"/>
    <w:rsid w:val="3D3A34B1"/>
    <w:rsid w:val="3D405CE7"/>
    <w:rsid w:val="3D4B0EFE"/>
    <w:rsid w:val="3D516AEA"/>
    <w:rsid w:val="3D572A5B"/>
    <w:rsid w:val="3D60067F"/>
    <w:rsid w:val="3D6541DC"/>
    <w:rsid w:val="3D676AF8"/>
    <w:rsid w:val="3D701430"/>
    <w:rsid w:val="3D727162"/>
    <w:rsid w:val="3D747213"/>
    <w:rsid w:val="3D874A7C"/>
    <w:rsid w:val="3D8F0A71"/>
    <w:rsid w:val="3D9A4D9D"/>
    <w:rsid w:val="3D9B1FB6"/>
    <w:rsid w:val="3D9C0333"/>
    <w:rsid w:val="3DA222B7"/>
    <w:rsid w:val="3DA322F7"/>
    <w:rsid w:val="3DAA7FF6"/>
    <w:rsid w:val="3DB038DE"/>
    <w:rsid w:val="3DB14833"/>
    <w:rsid w:val="3DB21C01"/>
    <w:rsid w:val="3DBD5212"/>
    <w:rsid w:val="3DCE6964"/>
    <w:rsid w:val="3DD04341"/>
    <w:rsid w:val="3DD63657"/>
    <w:rsid w:val="3DD87EE4"/>
    <w:rsid w:val="3DDA6CB7"/>
    <w:rsid w:val="3DDD3277"/>
    <w:rsid w:val="3DDF3BF0"/>
    <w:rsid w:val="3DE23C50"/>
    <w:rsid w:val="3DEA1923"/>
    <w:rsid w:val="3E011479"/>
    <w:rsid w:val="3E09068E"/>
    <w:rsid w:val="3E10681A"/>
    <w:rsid w:val="3E147414"/>
    <w:rsid w:val="3E1513CE"/>
    <w:rsid w:val="3E23645A"/>
    <w:rsid w:val="3E44097D"/>
    <w:rsid w:val="3E4E1FBF"/>
    <w:rsid w:val="3E4E49F7"/>
    <w:rsid w:val="3E5928C9"/>
    <w:rsid w:val="3E5E0FAB"/>
    <w:rsid w:val="3E5E672B"/>
    <w:rsid w:val="3E741099"/>
    <w:rsid w:val="3E751674"/>
    <w:rsid w:val="3E761615"/>
    <w:rsid w:val="3E78202C"/>
    <w:rsid w:val="3E8079BA"/>
    <w:rsid w:val="3E8217FF"/>
    <w:rsid w:val="3E85367A"/>
    <w:rsid w:val="3E8804C1"/>
    <w:rsid w:val="3E8A013B"/>
    <w:rsid w:val="3E933C20"/>
    <w:rsid w:val="3E943338"/>
    <w:rsid w:val="3E991ECF"/>
    <w:rsid w:val="3E9A5592"/>
    <w:rsid w:val="3E9B5357"/>
    <w:rsid w:val="3E9C6B71"/>
    <w:rsid w:val="3E9E6FC7"/>
    <w:rsid w:val="3EA73398"/>
    <w:rsid w:val="3EAD1819"/>
    <w:rsid w:val="3EAE57FC"/>
    <w:rsid w:val="3EB535BC"/>
    <w:rsid w:val="3ECD0248"/>
    <w:rsid w:val="3ED84B95"/>
    <w:rsid w:val="3EE314A9"/>
    <w:rsid w:val="3EE83856"/>
    <w:rsid w:val="3EEA03FD"/>
    <w:rsid w:val="3EEE3B7B"/>
    <w:rsid w:val="3EFC68CF"/>
    <w:rsid w:val="3F071586"/>
    <w:rsid w:val="3F0827F7"/>
    <w:rsid w:val="3F0D13E8"/>
    <w:rsid w:val="3F0E3D9E"/>
    <w:rsid w:val="3F123691"/>
    <w:rsid w:val="3F133395"/>
    <w:rsid w:val="3F1C176C"/>
    <w:rsid w:val="3F240DB0"/>
    <w:rsid w:val="3F290E8C"/>
    <w:rsid w:val="3F395C5F"/>
    <w:rsid w:val="3F3C1F40"/>
    <w:rsid w:val="3F427D91"/>
    <w:rsid w:val="3F4F3797"/>
    <w:rsid w:val="3F524769"/>
    <w:rsid w:val="3F55224B"/>
    <w:rsid w:val="3F570031"/>
    <w:rsid w:val="3F5B7E55"/>
    <w:rsid w:val="3F5D325F"/>
    <w:rsid w:val="3F676ECE"/>
    <w:rsid w:val="3F7057C1"/>
    <w:rsid w:val="3F751A05"/>
    <w:rsid w:val="3F791899"/>
    <w:rsid w:val="3F7D66EA"/>
    <w:rsid w:val="3F882C37"/>
    <w:rsid w:val="3F8E7D59"/>
    <w:rsid w:val="3F91169B"/>
    <w:rsid w:val="3F932F85"/>
    <w:rsid w:val="3F9B512F"/>
    <w:rsid w:val="3FA138E1"/>
    <w:rsid w:val="3FA24EA8"/>
    <w:rsid w:val="3FAE4FF3"/>
    <w:rsid w:val="3FB452E6"/>
    <w:rsid w:val="3FC023D6"/>
    <w:rsid w:val="3FC41DB1"/>
    <w:rsid w:val="3FCD626B"/>
    <w:rsid w:val="3FCE6B75"/>
    <w:rsid w:val="3FD057F7"/>
    <w:rsid w:val="3FDA1BBC"/>
    <w:rsid w:val="3FE25146"/>
    <w:rsid w:val="3FE52E63"/>
    <w:rsid w:val="3FE73E1A"/>
    <w:rsid w:val="3FF628DC"/>
    <w:rsid w:val="3FF92B24"/>
    <w:rsid w:val="40026B93"/>
    <w:rsid w:val="40037D39"/>
    <w:rsid w:val="400F1D65"/>
    <w:rsid w:val="400F4A83"/>
    <w:rsid w:val="40133411"/>
    <w:rsid w:val="401A783F"/>
    <w:rsid w:val="40224472"/>
    <w:rsid w:val="40247212"/>
    <w:rsid w:val="402740EA"/>
    <w:rsid w:val="4033445D"/>
    <w:rsid w:val="403A3195"/>
    <w:rsid w:val="403C469F"/>
    <w:rsid w:val="403C5EE8"/>
    <w:rsid w:val="403F6921"/>
    <w:rsid w:val="404227EB"/>
    <w:rsid w:val="40460374"/>
    <w:rsid w:val="404D4756"/>
    <w:rsid w:val="40512A9E"/>
    <w:rsid w:val="40520827"/>
    <w:rsid w:val="40527875"/>
    <w:rsid w:val="40530759"/>
    <w:rsid w:val="40653650"/>
    <w:rsid w:val="40665343"/>
    <w:rsid w:val="40673E50"/>
    <w:rsid w:val="408403FE"/>
    <w:rsid w:val="40904B80"/>
    <w:rsid w:val="40905574"/>
    <w:rsid w:val="4092293F"/>
    <w:rsid w:val="40950B19"/>
    <w:rsid w:val="40A66C6B"/>
    <w:rsid w:val="40AD608E"/>
    <w:rsid w:val="40AF1C68"/>
    <w:rsid w:val="40B146F7"/>
    <w:rsid w:val="40B64AE6"/>
    <w:rsid w:val="40BE6A93"/>
    <w:rsid w:val="40C731F6"/>
    <w:rsid w:val="40CE7F1D"/>
    <w:rsid w:val="40CF4901"/>
    <w:rsid w:val="40D72D76"/>
    <w:rsid w:val="40E70ED1"/>
    <w:rsid w:val="40E77280"/>
    <w:rsid w:val="40EC5ED8"/>
    <w:rsid w:val="40EE067A"/>
    <w:rsid w:val="40F1131A"/>
    <w:rsid w:val="40F42860"/>
    <w:rsid w:val="40FD6130"/>
    <w:rsid w:val="41067D93"/>
    <w:rsid w:val="410742B2"/>
    <w:rsid w:val="41090078"/>
    <w:rsid w:val="410B10E9"/>
    <w:rsid w:val="412F46A8"/>
    <w:rsid w:val="41320BD3"/>
    <w:rsid w:val="41323E08"/>
    <w:rsid w:val="413B030E"/>
    <w:rsid w:val="41464D70"/>
    <w:rsid w:val="415604C5"/>
    <w:rsid w:val="415966D4"/>
    <w:rsid w:val="415A46FC"/>
    <w:rsid w:val="415D7203"/>
    <w:rsid w:val="41614FA9"/>
    <w:rsid w:val="41640765"/>
    <w:rsid w:val="416C2217"/>
    <w:rsid w:val="41756FFE"/>
    <w:rsid w:val="417E1DEF"/>
    <w:rsid w:val="41865391"/>
    <w:rsid w:val="418D5E52"/>
    <w:rsid w:val="419D0226"/>
    <w:rsid w:val="41AD4111"/>
    <w:rsid w:val="41C263D6"/>
    <w:rsid w:val="41C95079"/>
    <w:rsid w:val="41CD578F"/>
    <w:rsid w:val="41E63CD1"/>
    <w:rsid w:val="41E64210"/>
    <w:rsid w:val="41ED6EF2"/>
    <w:rsid w:val="41F86EDD"/>
    <w:rsid w:val="42006322"/>
    <w:rsid w:val="42020E98"/>
    <w:rsid w:val="420307F4"/>
    <w:rsid w:val="42052288"/>
    <w:rsid w:val="422533C2"/>
    <w:rsid w:val="42310E70"/>
    <w:rsid w:val="423E7737"/>
    <w:rsid w:val="42400487"/>
    <w:rsid w:val="42450E81"/>
    <w:rsid w:val="42492BEE"/>
    <w:rsid w:val="4251365C"/>
    <w:rsid w:val="425D1381"/>
    <w:rsid w:val="426A5257"/>
    <w:rsid w:val="427332E1"/>
    <w:rsid w:val="42796F2F"/>
    <w:rsid w:val="427E2DAE"/>
    <w:rsid w:val="429530B6"/>
    <w:rsid w:val="429A6A15"/>
    <w:rsid w:val="42AC5A72"/>
    <w:rsid w:val="42AE5AC4"/>
    <w:rsid w:val="42B42A65"/>
    <w:rsid w:val="42BA184A"/>
    <w:rsid w:val="42BC07CA"/>
    <w:rsid w:val="42C14ED2"/>
    <w:rsid w:val="42C341BE"/>
    <w:rsid w:val="42CB2691"/>
    <w:rsid w:val="42CC1E06"/>
    <w:rsid w:val="42D218AD"/>
    <w:rsid w:val="42DD6902"/>
    <w:rsid w:val="42E01158"/>
    <w:rsid w:val="42E252D7"/>
    <w:rsid w:val="42E81B54"/>
    <w:rsid w:val="42E83F1C"/>
    <w:rsid w:val="42EA6B4F"/>
    <w:rsid w:val="42EC309B"/>
    <w:rsid w:val="42F24873"/>
    <w:rsid w:val="42F66EFB"/>
    <w:rsid w:val="42FD4B06"/>
    <w:rsid w:val="430079A3"/>
    <w:rsid w:val="43011CE6"/>
    <w:rsid w:val="43031F6B"/>
    <w:rsid w:val="43062602"/>
    <w:rsid w:val="430B0C6A"/>
    <w:rsid w:val="431C02C8"/>
    <w:rsid w:val="43291F10"/>
    <w:rsid w:val="433016FF"/>
    <w:rsid w:val="433215DF"/>
    <w:rsid w:val="433F4902"/>
    <w:rsid w:val="434F7C87"/>
    <w:rsid w:val="43617335"/>
    <w:rsid w:val="436F17CF"/>
    <w:rsid w:val="437317D9"/>
    <w:rsid w:val="437C095A"/>
    <w:rsid w:val="4384354A"/>
    <w:rsid w:val="438E76F3"/>
    <w:rsid w:val="438F62C4"/>
    <w:rsid w:val="43947319"/>
    <w:rsid w:val="43986193"/>
    <w:rsid w:val="43A36408"/>
    <w:rsid w:val="43A65030"/>
    <w:rsid w:val="43A87600"/>
    <w:rsid w:val="43B8278B"/>
    <w:rsid w:val="43BC2C91"/>
    <w:rsid w:val="43BD0A09"/>
    <w:rsid w:val="43C035B8"/>
    <w:rsid w:val="43C077F9"/>
    <w:rsid w:val="43C43D77"/>
    <w:rsid w:val="43C96666"/>
    <w:rsid w:val="43CF738F"/>
    <w:rsid w:val="43D57740"/>
    <w:rsid w:val="43E92745"/>
    <w:rsid w:val="43E951C4"/>
    <w:rsid w:val="43F0650F"/>
    <w:rsid w:val="43F8547E"/>
    <w:rsid w:val="43FF0597"/>
    <w:rsid w:val="43FF3602"/>
    <w:rsid w:val="4402549B"/>
    <w:rsid w:val="440415BB"/>
    <w:rsid w:val="44135771"/>
    <w:rsid w:val="4415093E"/>
    <w:rsid w:val="44172595"/>
    <w:rsid w:val="4419514D"/>
    <w:rsid w:val="441D67EF"/>
    <w:rsid w:val="441E5CE0"/>
    <w:rsid w:val="4428171A"/>
    <w:rsid w:val="442B1C63"/>
    <w:rsid w:val="442C1C02"/>
    <w:rsid w:val="442C2094"/>
    <w:rsid w:val="442C5D93"/>
    <w:rsid w:val="442E5667"/>
    <w:rsid w:val="44326CC7"/>
    <w:rsid w:val="44345828"/>
    <w:rsid w:val="443F4F98"/>
    <w:rsid w:val="4451216B"/>
    <w:rsid w:val="44582D96"/>
    <w:rsid w:val="445E0EF8"/>
    <w:rsid w:val="44676A11"/>
    <w:rsid w:val="44781E8A"/>
    <w:rsid w:val="4489275E"/>
    <w:rsid w:val="448C36F2"/>
    <w:rsid w:val="448F39E1"/>
    <w:rsid w:val="44901E7E"/>
    <w:rsid w:val="44965980"/>
    <w:rsid w:val="449D1057"/>
    <w:rsid w:val="449E0454"/>
    <w:rsid w:val="44A307C2"/>
    <w:rsid w:val="44A80265"/>
    <w:rsid w:val="44AF5449"/>
    <w:rsid w:val="44B5302D"/>
    <w:rsid w:val="44B54B34"/>
    <w:rsid w:val="44BB7488"/>
    <w:rsid w:val="44BE41FD"/>
    <w:rsid w:val="44CB1B63"/>
    <w:rsid w:val="44CC618D"/>
    <w:rsid w:val="44D36073"/>
    <w:rsid w:val="44E60424"/>
    <w:rsid w:val="44EA41C0"/>
    <w:rsid w:val="44F527F3"/>
    <w:rsid w:val="44F67068"/>
    <w:rsid w:val="44F86FBA"/>
    <w:rsid w:val="44FB3B6E"/>
    <w:rsid w:val="44FC7651"/>
    <w:rsid w:val="450926B5"/>
    <w:rsid w:val="450C3BAC"/>
    <w:rsid w:val="4514742D"/>
    <w:rsid w:val="452D3AB5"/>
    <w:rsid w:val="452E46CA"/>
    <w:rsid w:val="453A2D3C"/>
    <w:rsid w:val="4548109F"/>
    <w:rsid w:val="45567518"/>
    <w:rsid w:val="45623CE7"/>
    <w:rsid w:val="45664489"/>
    <w:rsid w:val="456D4886"/>
    <w:rsid w:val="457023CE"/>
    <w:rsid w:val="457A419E"/>
    <w:rsid w:val="45835A39"/>
    <w:rsid w:val="4584613F"/>
    <w:rsid w:val="45857654"/>
    <w:rsid w:val="45897A53"/>
    <w:rsid w:val="458F736E"/>
    <w:rsid w:val="45915A95"/>
    <w:rsid w:val="45933C04"/>
    <w:rsid w:val="45A13F90"/>
    <w:rsid w:val="45AF2F03"/>
    <w:rsid w:val="45B5135E"/>
    <w:rsid w:val="45C47CA4"/>
    <w:rsid w:val="45D01CB4"/>
    <w:rsid w:val="45D046BD"/>
    <w:rsid w:val="45D76CE3"/>
    <w:rsid w:val="45DA07AC"/>
    <w:rsid w:val="45DC0732"/>
    <w:rsid w:val="45DE3C1D"/>
    <w:rsid w:val="45E14FB8"/>
    <w:rsid w:val="45E2220C"/>
    <w:rsid w:val="45E605E6"/>
    <w:rsid w:val="45EC15D1"/>
    <w:rsid w:val="45ED22CB"/>
    <w:rsid w:val="45F3589E"/>
    <w:rsid w:val="45F60406"/>
    <w:rsid w:val="45F60B58"/>
    <w:rsid w:val="45FA0440"/>
    <w:rsid w:val="46003C9A"/>
    <w:rsid w:val="460559AA"/>
    <w:rsid w:val="46111FF1"/>
    <w:rsid w:val="46130991"/>
    <w:rsid w:val="461D32F5"/>
    <w:rsid w:val="462A3D84"/>
    <w:rsid w:val="462E19DE"/>
    <w:rsid w:val="462F6293"/>
    <w:rsid w:val="462F6963"/>
    <w:rsid w:val="46304987"/>
    <w:rsid w:val="463C6585"/>
    <w:rsid w:val="464253B8"/>
    <w:rsid w:val="464D2E24"/>
    <w:rsid w:val="465543ED"/>
    <w:rsid w:val="46567C24"/>
    <w:rsid w:val="465A14FD"/>
    <w:rsid w:val="46615841"/>
    <w:rsid w:val="467638B4"/>
    <w:rsid w:val="46802979"/>
    <w:rsid w:val="46835812"/>
    <w:rsid w:val="468F291E"/>
    <w:rsid w:val="46901133"/>
    <w:rsid w:val="469621B4"/>
    <w:rsid w:val="469A6817"/>
    <w:rsid w:val="469D1D3B"/>
    <w:rsid w:val="469D4DDC"/>
    <w:rsid w:val="469E270F"/>
    <w:rsid w:val="469F3A63"/>
    <w:rsid w:val="469F65A2"/>
    <w:rsid w:val="46AB40EC"/>
    <w:rsid w:val="46AB777F"/>
    <w:rsid w:val="46B00AE0"/>
    <w:rsid w:val="46B41490"/>
    <w:rsid w:val="46C40614"/>
    <w:rsid w:val="46C57F24"/>
    <w:rsid w:val="46CA38D6"/>
    <w:rsid w:val="46CC0DA9"/>
    <w:rsid w:val="46D02213"/>
    <w:rsid w:val="46D26C2D"/>
    <w:rsid w:val="46E03622"/>
    <w:rsid w:val="46E72111"/>
    <w:rsid w:val="46FB0FD7"/>
    <w:rsid w:val="470359F3"/>
    <w:rsid w:val="47142DC8"/>
    <w:rsid w:val="47230AB1"/>
    <w:rsid w:val="47252A7D"/>
    <w:rsid w:val="47276884"/>
    <w:rsid w:val="4728412E"/>
    <w:rsid w:val="472D60AA"/>
    <w:rsid w:val="473631A3"/>
    <w:rsid w:val="473C71D3"/>
    <w:rsid w:val="47400AA6"/>
    <w:rsid w:val="474550C8"/>
    <w:rsid w:val="47485B66"/>
    <w:rsid w:val="47565247"/>
    <w:rsid w:val="476144C3"/>
    <w:rsid w:val="47664A8E"/>
    <w:rsid w:val="476C090A"/>
    <w:rsid w:val="47761713"/>
    <w:rsid w:val="47784568"/>
    <w:rsid w:val="477A749C"/>
    <w:rsid w:val="478A1512"/>
    <w:rsid w:val="478C21CD"/>
    <w:rsid w:val="478F4398"/>
    <w:rsid w:val="47900CBB"/>
    <w:rsid w:val="47925489"/>
    <w:rsid w:val="47972E7A"/>
    <w:rsid w:val="47976EBA"/>
    <w:rsid w:val="479B5D1D"/>
    <w:rsid w:val="479F54C3"/>
    <w:rsid w:val="47AA1CEC"/>
    <w:rsid w:val="47BB537B"/>
    <w:rsid w:val="47C14B40"/>
    <w:rsid w:val="47C15A30"/>
    <w:rsid w:val="47C42C4B"/>
    <w:rsid w:val="47C64F64"/>
    <w:rsid w:val="47D95072"/>
    <w:rsid w:val="47DB0733"/>
    <w:rsid w:val="47E246B6"/>
    <w:rsid w:val="47E337DB"/>
    <w:rsid w:val="47E47DEF"/>
    <w:rsid w:val="47E72656"/>
    <w:rsid w:val="47E929BF"/>
    <w:rsid w:val="47F36533"/>
    <w:rsid w:val="47F47CFF"/>
    <w:rsid w:val="47F75A86"/>
    <w:rsid w:val="48072A4C"/>
    <w:rsid w:val="481A7F92"/>
    <w:rsid w:val="481B5886"/>
    <w:rsid w:val="481C7532"/>
    <w:rsid w:val="482D4ADA"/>
    <w:rsid w:val="4832566C"/>
    <w:rsid w:val="48343BB5"/>
    <w:rsid w:val="483D4E6E"/>
    <w:rsid w:val="484C5914"/>
    <w:rsid w:val="48531B40"/>
    <w:rsid w:val="485C3F38"/>
    <w:rsid w:val="4862271F"/>
    <w:rsid w:val="48632578"/>
    <w:rsid w:val="48741B23"/>
    <w:rsid w:val="487D7DE5"/>
    <w:rsid w:val="48841E64"/>
    <w:rsid w:val="489A0F95"/>
    <w:rsid w:val="489D2E2A"/>
    <w:rsid w:val="48A75A26"/>
    <w:rsid w:val="48AA0EF1"/>
    <w:rsid w:val="48AB52FD"/>
    <w:rsid w:val="48B767FD"/>
    <w:rsid w:val="48B95074"/>
    <w:rsid w:val="48BD5134"/>
    <w:rsid w:val="48C5071D"/>
    <w:rsid w:val="48C72F1C"/>
    <w:rsid w:val="48CB57E8"/>
    <w:rsid w:val="48D94867"/>
    <w:rsid w:val="48DB0E88"/>
    <w:rsid w:val="48DB5226"/>
    <w:rsid w:val="48E622E2"/>
    <w:rsid w:val="48F31397"/>
    <w:rsid w:val="48F64AAD"/>
    <w:rsid w:val="48F73DF2"/>
    <w:rsid w:val="48FA09E5"/>
    <w:rsid w:val="49083DBF"/>
    <w:rsid w:val="49106EE3"/>
    <w:rsid w:val="491713DD"/>
    <w:rsid w:val="4917357D"/>
    <w:rsid w:val="491D6ED8"/>
    <w:rsid w:val="491F6AB4"/>
    <w:rsid w:val="49203F9B"/>
    <w:rsid w:val="49243CEB"/>
    <w:rsid w:val="4929139B"/>
    <w:rsid w:val="492E323D"/>
    <w:rsid w:val="49313E0B"/>
    <w:rsid w:val="49406F9A"/>
    <w:rsid w:val="49462B0F"/>
    <w:rsid w:val="494C3358"/>
    <w:rsid w:val="494C3F11"/>
    <w:rsid w:val="49515513"/>
    <w:rsid w:val="49525613"/>
    <w:rsid w:val="4958527F"/>
    <w:rsid w:val="49632E27"/>
    <w:rsid w:val="49686252"/>
    <w:rsid w:val="496B39B0"/>
    <w:rsid w:val="496D09DF"/>
    <w:rsid w:val="49705573"/>
    <w:rsid w:val="49851498"/>
    <w:rsid w:val="49855346"/>
    <w:rsid w:val="4986458E"/>
    <w:rsid w:val="498C4ABD"/>
    <w:rsid w:val="49902920"/>
    <w:rsid w:val="49AA5F05"/>
    <w:rsid w:val="49AB4A89"/>
    <w:rsid w:val="49AF74DA"/>
    <w:rsid w:val="49BD3061"/>
    <w:rsid w:val="49BF1B49"/>
    <w:rsid w:val="49C34E0A"/>
    <w:rsid w:val="49C63B7E"/>
    <w:rsid w:val="49CD76D0"/>
    <w:rsid w:val="49D337A0"/>
    <w:rsid w:val="49DF6D5F"/>
    <w:rsid w:val="49EE42F4"/>
    <w:rsid w:val="49F9409D"/>
    <w:rsid w:val="4A007CE4"/>
    <w:rsid w:val="4A013E2C"/>
    <w:rsid w:val="4A044063"/>
    <w:rsid w:val="4A0E35A8"/>
    <w:rsid w:val="4A112F3D"/>
    <w:rsid w:val="4A13282C"/>
    <w:rsid w:val="4A1427E0"/>
    <w:rsid w:val="4A15450E"/>
    <w:rsid w:val="4A1748A4"/>
    <w:rsid w:val="4A1D232B"/>
    <w:rsid w:val="4A1D6381"/>
    <w:rsid w:val="4A2A6B6F"/>
    <w:rsid w:val="4A2B7B9E"/>
    <w:rsid w:val="4A2D05A1"/>
    <w:rsid w:val="4A2F6181"/>
    <w:rsid w:val="4A332044"/>
    <w:rsid w:val="4A3B0851"/>
    <w:rsid w:val="4A3B47D7"/>
    <w:rsid w:val="4A4366FC"/>
    <w:rsid w:val="4A45763D"/>
    <w:rsid w:val="4A577D47"/>
    <w:rsid w:val="4A5A723A"/>
    <w:rsid w:val="4A661DB9"/>
    <w:rsid w:val="4A6B05F4"/>
    <w:rsid w:val="4A6E4528"/>
    <w:rsid w:val="4A7878F5"/>
    <w:rsid w:val="4A820274"/>
    <w:rsid w:val="4A8A2C89"/>
    <w:rsid w:val="4A8A55C1"/>
    <w:rsid w:val="4A917834"/>
    <w:rsid w:val="4A95497E"/>
    <w:rsid w:val="4A9834FE"/>
    <w:rsid w:val="4AA06EFC"/>
    <w:rsid w:val="4AB2713A"/>
    <w:rsid w:val="4AB9671A"/>
    <w:rsid w:val="4ABD69A0"/>
    <w:rsid w:val="4AC2677E"/>
    <w:rsid w:val="4AC37296"/>
    <w:rsid w:val="4AC46AFB"/>
    <w:rsid w:val="4AC522DC"/>
    <w:rsid w:val="4AC5753D"/>
    <w:rsid w:val="4AC70639"/>
    <w:rsid w:val="4AC7737B"/>
    <w:rsid w:val="4AE21DB3"/>
    <w:rsid w:val="4AEF1A94"/>
    <w:rsid w:val="4AF20941"/>
    <w:rsid w:val="4AF92CD1"/>
    <w:rsid w:val="4B0509D1"/>
    <w:rsid w:val="4B142F47"/>
    <w:rsid w:val="4B1E0429"/>
    <w:rsid w:val="4B293E38"/>
    <w:rsid w:val="4B39190C"/>
    <w:rsid w:val="4B3B12D5"/>
    <w:rsid w:val="4B466F85"/>
    <w:rsid w:val="4B4B025E"/>
    <w:rsid w:val="4B5A280F"/>
    <w:rsid w:val="4B5B42C7"/>
    <w:rsid w:val="4B5D2255"/>
    <w:rsid w:val="4B5F07AD"/>
    <w:rsid w:val="4B65370A"/>
    <w:rsid w:val="4B6549DA"/>
    <w:rsid w:val="4B66439B"/>
    <w:rsid w:val="4B672296"/>
    <w:rsid w:val="4B7A7BA8"/>
    <w:rsid w:val="4B7C1DB1"/>
    <w:rsid w:val="4B815F7C"/>
    <w:rsid w:val="4B877E17"/>
    <w:rsid w:val="4B983DD8"/>
    <w:rsid w:val="4BA43DD1"/>
    <w:rsid w:val="4BA44BDE"/>
    <w:rsid w:val="4BA530E1"/>
    <w:rsid w:val="4BA54454"/>
    <w:rsid w:val="4BB233C7"/>
    <w:rsid w:val="4BBA4CC5"/>
    <w:rsid w:val="4BC03300"/>
    <w:rsid w:val="4BC923E8"/>
    <w:rsid w:val="4BCA036B"/>
    <w:rsid w:val="4BD03029"/>
    <w:rsid w:val="4BD20FCE"/>
    <w:rsid w:val="4BD26429"/>
    <w:rsid w:val="4BE40392"/>
    <w:rsid w:val="4BE43979"/>
    <w:rsid w:val="4BF1336A"/>
    <w:rsid w:val="4BFF284C"/>
    <w:rsid w:val="4C00149A"/>
    <w:rsid w:val="4C026586"/>
    <w:rsid w:val="4C123498"/>
    <w:rsid w:val="4C1424F2"/>
    <w:rsid w:val="4C153192"/>
    <w:rsid w:val="4C174354"/>
    <w:rsid w:val="4C201B69"/>
    <w:rsid w:val="4C241788"/>
    <w:rsid w:val="4C3262BB"/>
    <w:rsid w:val="4C403D40"/>
    <w:rsid w:val="4C4B2767"/>
    <w:rsid w:val="4C554214"/>
    <w:rsid w:val="4C5F739A"/>
    <w:rsid w:val="4C614FAF"/>
    <w:rsid w:val="4C647E82"/>
    <w:rsid w:val="4C677064"/>
    <w:rsid w:val="4C697C8F"/>
    <w:rsid w:val="4C6B07CD"/>
    <w:rsid w:val="4C6C3C74"/>
    <w:rsid w:val="4C6D4E56"/>
    <w:rsid w:val="4C747EF3"/>
    <w:rsid w:val="4C75223F"/>
    <w:rsid w:val="4C860003"/>
    <w:rsid w:val="4C886982"/>
    <w:rsid w:val="4C8C3290"/>
    <w:rsid w:val="4C944E6A"/>
    <w:rsid w:val="4C964CC6"/>
    <w:rsid w:val="4C9B266D"/>
    <w:rsid w:val="4CA12F2D"/>
    <w:rsid w:val="4CA66200"/>
    <w:rsid w:val="4CA94BE5"/>
    <w:rsid w:val="4CAA52F1"/>
    <w:rsid w:val="4CAD486A"/>
    <w:rsid w:val="4CAE3759"/>
    <w:rsid w:val="4CAE41D5"/>
    <w:rsid w:val="4CB2601A"/>
    <w:rsid w:val="4CB71E91"/>
    <w:rsid w:val="4CB8497E"/>
    <w:rsid w:val="4CBE637A"/>
    <w:rsid w:val="4CC04CB8"/>
    <w:rsid w:val="4CC30BEA"/>
    <w:rsid w:val="4CD40769"/>
    <w:rsid w:val="4CD53D41"/>
    <w:rsid w:val="4CDE1AE4"/>
    <w:rsid w:val="4CE35509"/>
    <w:rsid w:val="4CE76050"/>
    <w:rsid w:val="4CE97110"/>
    <w:rsid w:val="4CEC1BAA"/>
    <w:rsid w:val="4CEF7C2C"/>
    <w:rsid w:val="4CF013ED"/>
    <w:rsid w:val="4CF074AE"/>
    <w:rsid w:val="4D0E74EA"/>
    <w:rsid w:val="4D106700"/>
    <w:rsid w:val="4D1847CA"/>
    <w:rsid w:val="4D186548"/>
    <w:rsid w:val="4D186EB4"/>
    <w:rsid w:val="4D1F48A0"/>
    <w:rsid w:val="4D2B401A"/>
    <w:rsid w:val="4D355830"/>
    <w:rsid w:val="4D3C089F"/>
    <w:rsid w:val="4D4071A0"/>
    <w:rsid w:val="4D522E55"/>
    <w:rsid w:val="4D526982"/>
    <w:rsid w:val="4D542886"/>
    <w:rsid w:val="4D585BCC"/>
    <w:rsid w:val="4D5C424F"/>
    <w:rsid w:val="4D61089C"/>
    <w:rsid w:val="4D6B76C1"/>
    <w:rsid w:val="4D6C03E9"/>
    <w:rsid w:val="4D6E5C1E"/>
    <w:rsid w:val="4D7262C9"/>
    <w:rsid w:val="4D766446"/>
    <w:rsid w:val="4D7B7443"/>
    <w:rsid w:val="4D806C48"/>
    <w:rsid w:val="4D82673B"/>
    <w:rsid w:val="4D8329BC"/>
    <w:rsid w:val="4D857844"/>
    <w:rsid w:val="4D8D0FB3"/>
    <w:rsid w:val="4D8D164D"/>
    <w:rsid w:val="4D8E47B9"/>
    <w:rsid w:val="4D9A17D3"/>
    <w:rsid w:val="4D9A5B1B"/>
    <w:rsid w:val="4DA83FCB"/>
    <w:rsid w:val="4DBC62A3"/>
    <w:rsid w:val="4DC1691E"/>
    <w:rsid w:val="4DC20B3B"/>
    <w:rsid w:val="4DC53E15"/>
    <w:rsid w:val="4DCA4DDE"/>
    <w:rsid w:val="4DCF0F45"/>
    <w:rsid w:val="4DDD3E89"/>
    <w:rsid w:val="4DE40F3B"/>
    <w:rsid w:val="4DF10758"/>
    <w:rsid w:val="4DF23A15"/>
    <w:rsid w:val="4DF52F5A"/>
    <w:rsid w:val="4E005E23"/>
    <w:rsid w:val="4E031173"/>
    <w:rsid w:val="4E0575B5"/>
    <w:rsid w:val="4E141D71"/>
    <w:rsid w:val="4E153235"/>
    <w:rsid w:val="4E154BF1"/>
    <w:rsid w:val="4E1A16E7"/>
    <w:rsid w:val="4E1C42B2"/>
    <w:rsid w:val="4E1E56EC"/>
    <w:rsid w:val="4E294E40"/>
    <w:rsid w:val="4E2B153E"/>
    <w:rsid w:val="4E2D269D"/>
    <w:rsid w:val="4E380591"/>
    <w:rsid w:val="4E471978"/>
    <w:rsid w:val="4E4E6A61"/>
    <w:rsid w:val="4E4F114C"/>
    <w:rsid w:val="4E51332F"/>
    <w:rsid w:val="4E583570"/>
    <w:rsid w:val="4E5F3C15"/>
    <w:rsid w:val="4E656D44"/>
    <w:rsid w:val="4E671307"/>
    <w:rsid w:val="4E706E30"/>
    <w:rsid w:val="4E7F19A8"/>
    <w:rsid w:val="4E826F78"/>
    <w:rsid w:val="4E833744"/>
    <w:rsid w:val="4E8F5FDC"/>
    <w:rsid w:val="4E901807"/>
    <w:rsid w:val="4E926566"/>
    <w:rsid w:val="4E9A6D76"/>
    <w:rsid w:val="4E9D684F"/>
    <w:rsid w:val="4E9F728F"/>
    <w:rsid w:val="4EA46E26"/>
    <w:rsid w:val="4EA80D01"/>
    <w:rsid w:val="4EA829A8"/>
    <w:rsid w:val="4EB72B12"/>
    <w:rsid w:val="4EB87FA3"/>
    <w:rsid w:val="4EBA3814"/>
    <w:rsid w:val="4EC10AA6"/>
    <w:rsid w:val="4ECC1479"/>
    <w:rsid w:val="4ED06580"/>
    <w:rsid w:val="4ED14FC0"/>
    <w:rsid w:val="4ED24433"/>
    <w:rsid w:val="4ED503BF"/>
    <w:rsid w:val="4ED659E3"/>
    <w:rsid w:val="4EE72FE2"/>
    <w:rsid w:val="4EF16861"/>
    <w:rsid w:val="4EF5535E"/>
    <w:rsid w:val="4F0101A5"/>
    <w:rsid w:val="4F020E0A"/>
    <w:rsid w:val="4F032F7C"/>
    <w:rsid w:val="4F0D46FE"/>
    <w:rsid w:val="4F0E47E3"/>
    <w:rsid w:val="4F1148BC"/>
    <w:rsid w:val="4F147DDA"/>
    <w:rsid w:val="4F1724D3"/>
    <w:rsid w:val="4F186A39"/>
    <w:rsid w:val="4F220CF7"/>
    <w:rsid w:val="4F2A4723"/>
    <w:rsid w:val="4F3945D0"/>
    <w:rsid w:val="4F415049"/>
    <w:rsid w:val="4F50502B"/>
    <w:rsid w:val="4F5219B4"/>
    <w:rsid w:val="4F525DF4"/>
    <w:rsid w:val="4F547E08"/>
    <w:rsid w:val="4F621365"/>
    <w:rsid w:val="4F645C4A"/>
    <w:rsid w:val="4F6615EB"/>
    <w:rsid w:val="4F692C40"/>
    <w:rsid w:val="4F6D5AC5"/>
    <w:rsid w:val="4F797AA3"/>
    <w:rsid w:val="4F847D34"/>
    <w:rsid w:val="4F890F30"/>
    <w:rsid w:val="4F9019CB"/>
    <w:rsid w:val="4F9300A4"/>
    <w:rsid w:val="4F97536E"/>
    <w:rsid w:val="4FA72B47"/>
    <w:rsid w:val="4FAB601F"/>
    <w:rsid w:val="4FB068D3"/>
    <w:rsid w:val="4FB2713A"/>
    <w:rsid w:val="4FB86A68"/>
    <w:rsid w:val="4FBD5C98"/>
    <w:rsid w:val="4FC36D2A"/>
    <w:rsid w:val="4FCD6871"/>
    <w:rsid w:val="4FD07371"/>
    <w:rsid w:val="4FD62AA8"/>
    <w:rsid w:val="4FE444BC"/>
    <w:rsid w:val="4FED00AC"/>
    <w:rsid w:val="4FED76F4"/>
    <w:rsid w:val="4FF21B06"/>
    <w:rsid w:val="500E2468"/>
    <w:rsid w:val="50106D9A"/>
    <w:rsid w:val="501135B3"/>
    <w:rsid w:val="501657EC"/>
    <w:rsid w:val="50286020"/>
    <w:rsid w:val="502954A0"/>
    <w:rsid w:val="50375889"/>
    <w:rsid w:val="5037759C"/>
    <w:rsid w:val="503D51EA"/>
    <w:rsid w:val="50467FB5"/>
    <w:rsid w:val="504E16CF"/>
    <w:rsid w:val="504E475D"/>
    <w:rsid w:val="50530038"/>
    <w:rsid w:val="505B64E8"/>
    <w:rsid w:val="5064435A"/>
    <w:rsid w:val="50687678"/>
    <w:rsid w:val="507405E9"/>
    <w:rsid w:val="5075400D"/>
    <w:rsid w:val="507A49A5"/>
    <w:rsid w:val="508A00C9"/>
    <w:rsid w:val="508C5328"/>
    <w:rsid w:val="509826FF"/>
    <w:rsid w:val="50986B73"/>
    <w:rsid w:val="509A65E0"/>
    <w:rsid w:val="50A107D9"/>
    <w:rsid w:val="50A37BA9"/>
    <w:rsid w:val="50A97D93"/>
    <w:rsid w:val="50B1617C"/>
    <w:rsid w:val="50C11F5D"/>
    <w:rsid w:val="50C51C35"/>
    <w:rsid w:val="50C530A5"/>
    <w:rsid w:val="50CF53CD"/>
    <w:rsid w:val="50EA6BBA"/>
    <w:rsid w:val="50EF2ED9"/>
    <w:rsid w:val="50F108DB"/>
    <w:rsid w:val="50F23EE5"/>
    <w:rsid w:val="50F56FCD"/>
    <w:rsid w:val="50FD7DC0"/>
    <w:rsid w:val="50FF7245"/>
    <w:rsid w:val="510C4F82"/>
    <w:rsid w:val="510E3184"/>
    <w:rsid w:val="51111006"/>
    <w:rsid w:val="511B4D29"/>
    <w:rsid w:val="511C1494"/>
    <w:rsid w:val="511C3B0A"/>
    <w:rsid w:val="511D4511"/>
    <w:rsid w:val="51206942"/>
    <w:rsid w:val="5123341D"/>
    <w:rsid w:val="512419C7"/>
    <w:rsid w:val="512429B8"/>
    <w:rsid w:val="512A74FB"/>
    <w:rsid w:val="512D4E51"/>
    <w:rsid w:val="513004B1"/>
    <w:rsid w:val="51340018"/>
    <w:rsid w:val="513D1AEA"/>
    <w:rsid w:val="51445175"/>
    <w:rsid w:val="51466BED"/>
    <w:rsid w:val="51546854"/>
    <w:rsid w:val="51584802"/>
    <w:rsid w:val="515D228B"/>
    <w:rsid w:val="516112B7"/>
    <w:rsid w:val="516F72BF"/>
    <w:rsid w:val="517F7C92"/>
    <w:rsid w:val="51821FBE"/>
    <w:rsid w:val="518605A6"/>
    <w:rsid w:val="51865A9A"/>
    <w:rsid w:val="51890380"/>
    <w:rsid w:val="5196525A"/>
    <w:rsid w:val="519F39D0"/>
    <w:rsid w:val="51A239AE"/>
    <w:rsid w:val="51AD6BB1"/>
    <w:rsid w:val="51B464A5"/>
    <w:rsid w:val="51B677F9"/>
    <w:rsid w:val="51B868EB"/>
    <w:rsid w:val="51BC0FC1"/>
    <w:rsid w:val="51BF2DBB"/>
    <w:rsid w:val="51C113E0"/>
    <w:rsid w:val="51C413B8"/>
    <w:rsid w:val="51CC5B83"/>
    <w:rsid w:val="51E40170"/>
    <w:rsid w:val="51EA5BFA"/>
    <w:rsid w:val="51FC0316"/>
    <w:rsid w:val="5219201A"/>
    <w:rsid w:val="5221343F"/>
    <w:rsid w:val="52242B1A"/>
    <w:rsid w:val="52274DC3"/>
    <w:rsid w:val="52304DF6"/>
    <w:rsid w:val="523377E5"/>
    <w:rsid w:val="523B36CA"/>
    <w:rsid w:val="524F061F"/>
    <w:rsid w:val="52767620"/>
    <w:rsid w:val="527A416D"/>
    <w:rsid w:val="527D0323"/>
    <w:rsid w:val="52814D7D"/>
    <w:rsid w:val="52884D80"/>
    <w:rsid w:val="528D0DD8"/>
    <w:rsid w:val="52911B18"/>
    <w:rsid w:val="52954B38"/>
    <w:rsid w:val="52981B1C"/>
    <w:rsid w:val="529C4AA5"/>
    <w:rsid w:val="529F7C39"/>
    <w:rsid w:val="52A779DA"/>
    <w:rsid w:val="52A9266A"/>
    <w:rsid w:val="52AA1E9E"/>
    <w:rsid w:val="52B00ADC"/>
    <w:rsid w:val="52B30B0B"/>
    <w:rsid w:val="52B766F9"/>
    <w:rsid w:val="52BA23C6"/>
    <w:rsid w:val="52BA7A26"/>
    <w:rsid w:val="52BD3D69"/>
    <w:rsid w:val="52C27A6D"/>
    <w:rsid w:val="52C83E55"/>
    <w:rsid w:val="52C85701"/>
    <w:rsid w:val="52E210C6"/>
    <w:rsid w:val="52E96432"/>
    <w:rsid w:val="52F70E5B"/>
    <w:rsid w:val="52FC27CF"/>
    <w:rsid w:val="53004960"/>
    <w:rsid w:val="5305568A"/>
    <w:rsid w:val="530F2FC6"/>
    <w:rsid w:val="53145961"/>
    <w:rsid w:val="53236D07"/>
    <w:rsid w:val="532418C0"/>
    <w:rsid w:val="53267211"/>
    <w:rsid w:val="532858C7"/>
    <w:rsid w:val="532F4822"/>
    <w:rsid w:val="53304F7E"/>
    <w:rsid w:val="5330764E"/>
    <w:rsid w:val="533A59AE"/>
    <w:rsid w:val="533C296D"/>
    <w:rsid w:val="533E5745"/>
    <w:rsid w:val="53483196"/>
    <w:rsid w:val="535C1E20"/>
    <w:rsid w:val="53644E8F"/>
    <w:rsid w:val="536B7CF0"/>
    <w:rsid w:val="536F3012"/>
    <w:rsid w:val="53702327"/>
    <w:rsid w:val="537110E1"/>
    <w:rsid w:val="53753779"/>
    <w:rsid w:val="537B19B0"/>
    <w:rsid w:val="537E5666"/>
    <w:rsid w:val="53850270"/>
    <w:rsid w:val="5392337A"/>
    <w:rsid w:val="53933D85"/>
    <w:rsid w:val="53937F7B"/>
    <w:rsid w:val="53957F12"/>
    <w:rsid w:val="53997537"/>
    <w:rsid w:val="53A2397B"/>
    <w:rsid w:val="53A75559"/>
    <w:rsid w:val="53B24931"/>
    <w:rsid w:val="53B95DC1"/>
    <w:rsid w:val="53CF5698"/>
    <w:rsid w:val="53D154C6"/>
    <w:rsid w:val="53E533C3"/>
    <w:rsid w:val="53F01E52"/>
    <w:rsid w:val="53F24A89"/>
    <w:rsid w:val="53FD32A8"/>
    <w:rsid w:val="540124A5"/>
    <w:rsid w:val="54014A48"/>
    <w:rsid w:val="54043FB8"/>
    <w:rsid w:val="54135525"/>
    <w:rsid w:val="54223163"/>
    <w:rsid w:val="542326F2"/>
    <w:rsid w:val="54247F9B"/>
    <w:rsid w:val="542B6107"/>
    <w:rsid w:val="542E577A"/>
    <w:rsid w:val="54313645"/>
    <w:rsid w:val="543275F8"/>
    <w:rsid w:val="543622E8"/>
    <w:rsid w:val="543F21F8"/>
    <w:rsid w:val="544A1B93"/>
    <w:rsid w:val="544B0CF7"/>
    <w:rsid w:val="544B57FC"/>
    <w:rsid w:val="54584918"/>
    <w:rsid w:val="54600ED2"/>
    <w:rsid w:val="546139D4"/>
    <w:rsid w:val="54686C3B"/>
    <w:rsid w:val="546B22CD"/>
    <w:rsid w:val="5474170B"/>
    <w:rsid w:val="54772C32"/>
    <w:rsid w:val="54816D63"/>
    <w:rsid w:val="5487483D"/>
    <w:rsid w:val="54943A80"/>
    <w:rsid w:val="549851FB"/>
    <w:rsid w:val="54A23A0B"/>
    <w:rsid w:val="54A72E3C"/>
    <w:rsid w:val="54A97C70"/>
    <w:rsid w:val="54AF2754"/>
    <w:rsid w:val="54C600BA"/>
    <w:rsid w:val="54C94BA1"/>
    <w:rsid w:val="54CA6061"/>
    <w:rsid w:val="54D21F02"/>
    <w:rsid w:val="54D97F1F"/>
    <w:rsid w:val="54DB6E8F"/>
    <w:rsid w:val="54F74E80"/>
    <w:rsid w:val="55000C8A"/>
    <w:rsid w:val="55032519"/>
    <w:rsid w:val="55061CA9"/>
    <w:rsid w:val="551B217F"/>
    <w:rsid w:val="551D6544"/>
    <w:rsid w:val="552620EA"/>
    <w:rsid w:val="5540076C"/>
    <w:rsid w:val="554323A3"/>
    <w:rsid w:val="554636FD"/>
    <w:rsid w:val="55480857"/>
    <w:rsid w:val="55551BBE"/>
    <w:rsid w:val="55570011"/>
    <w:rsid w:val="55574863"/>
    <w:rsid w:val="55582678"/>
    <w:rsid w:val="555C6509"/>
    <w:rsid w:val="555E673B"/>
    <w:rsid w:val="556314AA"/>
    <w:rsid w:val="55672B46"/>
    <w:rsid w:val="556A3EBC"/>
    <w:rsid w:val="556E1B30"/>
    <w:rsid w:val="557E41F3"/>
    <w:rsid w:val="558D0590"/>
    <w:rsid w:val="55907A5A"/>
    <w:rsid w:val="55957819"/>
    <w:rsid w:val="55A76625"/>
    <w:rsid w:val="55C75BAC"/>
    <w:rsid w:val="55CB126C"/>
    <w:rsid w:val="55D054A0"/>
    <w:rsid w:val="55DC2AF2"/>
    <w:rsid w:val="55E15BB6"/>
    <w:rsid w:val="55E711EA"/>
    <w:rsid w:val="55E851C9"/>
    <w:rsid w:val="55EA7A68"/>
    <w:rsid w:val="55F466D7"/>
    <w:rsid w:val="55F57D52"/>
    <w:rsid w:val="55F752CE"/>
    <w:rsid w:val="56010E2D"/>
    <w:rsid w:val="56037326"/>
    <w:rsid w:val="560E15F5"/>
    <w:rsid w:val="56173064"/>
    <w:rsid w:val="561761C3"/>
    <w:rsid w:val="561A0AAB"/>
    <w:rsid w:val="56236652"/>
    <w:rsid w:val="5627778B"/>
    <w:rsid w:val="562C31AE"/>
    <w:rsid w:val="56347D4A"/>
    <w:rsid w:val="564151D8"/>
    <w:rsid w:val="56417A1C"/>
    <w:rsid w:val="56623768"/>
    <w:rsid w:val="56647D97"/>
    <w:rsid w:val="56694BBF"/>
    <w:rsid w:val="566B35DA"/>
    <w:rsid w:val="56792E82"/>
    <w:rsid w:val="567C5656"/>
    <w:rsid w:val="56881AD0"/>
    <w:rsid w:val="56894D4E"/>
    <w:rsid w:val="568A3492"/>
    <w:rsid w:val="568F4A77"/>
    <w:rsid w:val="569122D1"/>
    <w:rsid w:val="569F5DDF"/>
    <w:rsid w:val="56AD0960"/>
    <w:rsid w:val="56BA75EC"/>
    <w:rsid w:val="56BC0690"/>
    <w:rsid w:val="56D05CCB"/>
    <w:rsid w:val="56D610C7"/>
    <w:rsid w:val="56E23CD7"/>
    <w:rsid w:val="56E7791F"/>
    <w:rsid w:val="56FA0D87"/>
    <w:rsid w:val="570134DC"/>
    <w:rsid w:val="570227CC"/>
    <w:rsid w:val="570442FD"/>
    <w:rsid w:val="57102608"/>
    <w:rsid w:val="57160D91"/>
    <w:rsid w:val="571643C6"/>
    <w:rsid w:val="57215E14"/>
    <w:rsid w:val="572847A2"/>
    <w:rsid w:val="572C0F09"/>
    <w:rsid w:val="572C1CE5"/>
    <w:rsid w:val="572F5D88"/>
    <w:rsid w:val="57313F2B"/>
    <w:rsid w:val="573D2713"/>
    <w:rsid w:val="573F420D"/>
    <w:rsid w:val="57415B33"/>
    <w:rsid w:val="5742244D"/>
    <w:rsid w:val="57484D8B"/>
    <w:rsid w:val="57523916"/>
    <w:rsid w:val="57625CF5"/>
    <w:rsid w:val="5765182D"/>
    <w:rsid w:val="576877F6"/>
    <w:rsid w:val="576A0FFE"/>
    <w:rsid w:val="577146FF"/>
    <w:rsid w:val="57855294"/>
    <w:rsid w:val="578566B5"/>
    <w:rsid w:val="57865E9D"/>
    <w:rsid w:val="57890790"/>
    <w:rsid w:val="578C7A10"/>
    <w:rsid w:val="579E2B9E"/>
    <w:rsid w:val="57A40A42"/>
    <w:rsid w:val="57A7050F"/>
    <w:rsid w:val="57AC16EE"/>
    <w:rsid w:val="57AC5824"/>
    <w:rsid w:val="57B52FA9"/>
    <w:rsid w:val="57C14870"/>
    <w:rsid w:val="57C85F85"/>
    <w:rsid w:val="57CE16C1"/>
    <w:rsid w:val="57D34A12"/>
    <w:rsid w:val="57D443B0"/>
    <w:rsid w:val="57DE6F96"/>
    <w:rsid w:val="57E40341"/>
    <w:rsid w:val="57ED2DDB"/>
    <w:rsid w:val="57F02763"/>
    <w:rsid w:val="57F86260"/>
    <w:rsid w:val="57FC3838"/>
    <w:rsid w:val="580245B1"/>
    <w:rsid w:val="581E4F71"/>
    <w:rsid w:val="5821258E"/>
    <w:rsid w:val="58281AB5"/>
    <w:rsid w:val="582B03E3"/>
    <w:rsid w:val="5834531F"/>
    <w:rsid w:val="58374CB6"/>
    <w:rsid w:val="58433087"/>
    <w:rsid w:val="58477A64"/>
    <w:rsid w:val="58481864"/>
    <w:rsid w:val="585368E8"/>
    <w:rsid w:val="58564FF5"/>
    <w:rsid w:val="585964D0"/>
    <w:rsid w:val="58623814"/>
    <w:rsid w:val="5866766D"/>
    <w:rsid w:val="586E4D44"/>
    <w:rsid w:val="587961BE"/>
    <w:rsid w:val="587F0159"/>
    <w:rsid w:val="58801068"/>
    <w:rsid w:val="588362ED"/>
    <w:rsid w:val="588A6232"/>
    <w:rsid w:val="58A14EBE"/>
    <w:rsid w:val="58A855E9"/>
    <w:rsid w:val="58AA197B"/>
    <w:rsid w:val="58AB2458"/>
    <w:rsid w:val="58B50975"/>
    <w:rsid w:val="58BA0634"/>
    <w:rsid w:val="58BC7512"/>
    <w:rsid w:val="58BD6392"/>
    <w:rsid w:val="58C16652"/>
    <w:rsid w:val="58C223B5"/>
    <w:rsid w:val="58C372DB"/>
    <w:rsid w:val="58C41E79"/>
    <w:rsid w:val="58CA13EC"/>
    <w:rsid w:val="58D04A13"/>
    <w:rsid w:val="58D059E3"/>
    <w:rsid w:val="58D13859"/>
    <w:rsid w:val="58E21F86"/>
    <w:rsid w:val="58F01393"/>
    <w:rsid w:val="58F10629"/>
    <w:rsid w:val="58F340B0"/>
    <w:rsid w:val="58F86999"/>
    <w:rsid w:val="58FE62D5"/>
    <w:rsid w:val="59002B0C"/>
    <w:rsid w:val="590038A0"/>
    <w:rsid w:val="59143C16"/>
    <w:rsid w:val="591749DA"/>
    <w:rsid w:val="591E3B45"/>
    <w:rsid w:val="59247191"/>
    <w:rsid w:val="592930D3"/>
    <w:rsid w:val="59335EA3"/>
    <w:rsid w:val="59347A0B"/>
    <w:rsid w:val="59423B69"/>
    <w:rsid w:val="594243CD"/>
    <w:rsid w:val="594B4861"/>
    <w:rsid w:val="594C1AF1"/>
    <w:rsid w:val="59584F92"/>
    <w:rsid w:val="595A39FF"/>
    <w:rsid w:val="595A5627"/>
    <w:rsid w:val="595A7317"/>
    <w:rsid w:val="595B2CCC"/>
    <w:rsid w:val="59662975"/>
    <w:rsid w:val="59690729"/>
    <w:rsid w:val="596C2A61"/>
    <w:rsid w:val="59715B4C"/>
    <w:rsid w:val="59761D19"/>
    <w:rsid w:val="597960C1"/>
    <w:rsid w:val="597B313A"/>
    <w:rsid w:val="59815DE1"/>
    <w:rsid w:val="59850725"/>
    <w:rsid w:val="59862FBE"/>
    <w:rsid w:val="598700E6"/>
    <w:rsid w:val="598C13B6"/>
    <w:rsid w:val="598F0FAB"/>
    <w:rsid w:val="5996552B"/>
    <w:rsid w:val="599707B3"/>
    <w:rsid w:val="59A0270B"/>
    <w:rsid w:val="59A05A73"/>
    <w:rsid w:val="59A6203B"/>
    <w:rsid w:val="59AA6DAB"/>
    <w:rsid w:val="59AB5285"/>
    <w:rsid w:val="59B215E6"/>
    <w:rsid w:val="59B252DE"/>
    <w:rsid w:val="59BA4369"/>
    <w:rsid w:val="59BE0DE3"/>
    <w:rsid w:val="59D23311"/>
    <w:rsid w:val="59D66906"/>
    <w:rsid w:val="59E8742F"/>
    <w:rsid w:val="59ED3F5D"/>
    <w:rsid w:val="59F11205"/>
    <w:rsid w:val="59F32951"/>
    <w:rsid w:val="59F47E3F"/>
    <w:rsid w:val="59F5455F"/>
    <w:rsid w:val="59FB6846"/>
    <w:rsid w:val="5A0A4E6D"/>
    <w:rsid w:val="5A271C17"/>
    <w:rsid w:val="5A2B2D48"/>
    <w:rsid w:val="5A473316"/>
    <w:rsid w:val="5A4B07B7"/>
    <w:rsid w:val="5A4C2B3D"/>
    <w:rsid w:val="5A4D79BC"/>
    <w:rsid w:val="5A566516"/>
    <w:rsid w:val="5A5A1D7B"/>
    <w:rsid w:val="5A6032E5"/>
    <w:rsid w:val="5A622A8C"/>
    <w:rsid w:val="5A654408"/>
    <w:rsid w:val="5A68170E"/>
    <w:rsid w:val="5A74199C"/>
    <w:rsid w:val="5A766241"/>
    <w:rsid w:val="5A781A25"/>
    <w:rsid w:val="5A796915"/>
    <w:rsid w:val="5A7A1E31"/>
    <w:rsid w:val="5A7E46B6"/>
    <w:rsid w:val="5A8E6A07"/>
    <w:rsid w:val="5A952BC2"/>
    <w:rsid w:val="5A955FE8"/>
    <w:rsid w:val="5A993514"/>
    <w:rsid w:val="5AA65F0D"/>
    <w:rsid w:val="5AAB6002"/>
    <w:rsid w:val="5AAB7D4B"/>
    <w:rsid w:val="5ACB5F59"/>
    <w:rsid w:val="5AD15A1A"/>
    <w:rsid w:val="5AD35357"/>
    <w:rsid w:val="5AD91F5E"/>
    <w:rsid w:val="5AE8437A"/>
    <w:rsid w:val="5B081FAE"/>
    <w:rsid w:val="5B0A50A9"/>
    <w:rsid w:val="5B1E0E1D"/>
    <w:rsid w:val="5B1E30CF"/>
    <w:rsid w:val="5B2C1D42"/>
    <w:rsid w:val="5B2F5BD6"/>
    <w:rsid w:val="5B432A54"/>
    <w:rsid w:val="5B4877BD"/>
    <w:rsid w:val="5B4B39C5"/>
    <w:rsid w:val="5B4C6843"/>
    <w:rsid w:val="5B4D20E9"/>
    <w:rsid w:val="5B510054"/>
    <w:rsid w:val="5B597601"/>
    <w:rsid w:val="5B5F1A2B"/>
    <w:rsid w:val="5B720C80"/>
    <w:rsid w:val="5B791CC9"/>
    <w:rsid w:val="5B7A551A"/>
    <w:rsid w:val="5B7B51DE"/>
    <w:rsid w:val="5B7FD42A"/>
    <w:rsid w:val="5B8D4411"/>
    <w:rsid w:val="5B9910A3"/>
    <w:rsid w:val="5BA91948"/>
    <w:rsid w:val="5BAA7C9A"/>
    <w:rsid w:val="5BAB4927"/>
    <w:rsid w:val="5BAD6674"/>
    <w:rsid w:val="5BAE1436"/>
    <w:rsid w:val="5BB93F58"/>
    <w:rsid w:val="5BB93FEA"/>
    <w:rsid w:val="5BC33A30"/>
    <w:rsid w:val="5BD403A5"/>
    <w:rsid w:val="5BDD47AB"/>
    <w:rsid w:val="5BEE0577"/>
    <w:rsid w:val="5BFB5EB2"/>
    <w:rsid w:val="5BFFAB1B"/>
    <w:rsid w:val="5C04586C"/>
    <w:rsid w:val="5C0D7E64"/>
    <w:rsid w:val="5C134F65"/>
    <w:rsid w:val="5C1E78DE"/>
    <w:rsid w:val="5C2F1CE3"/>
    <w:rsid w:val="5C463C9C"/>
    <w:rsid w:val="5C507A09"/>
    <w:rsid w:val="5C555C1B"/>
    <w:rsid w:val="5C5720AD"/>
    <w:rsid w:val="5C5C608B"/>
    <w:rsid w:val="5C654E70"/>
    <w:rsid w:val="5C682ED4"/>
    <w:rsid w:val="5C687FD3"/>
    <w:rsid w:val="5C6B0F33"/>
    <w:rsid w:val="5C736742"/>
    <w:rsid w:val="5C754E56"/>
    <w:rsid w:val="5C7B7EC3"/>
    <w:rsid w:val="5C7D46E1"/>
    <w:rsid w:val="5C82218D"/>
    <w:rsid w:val="5C826270"/>
    <w:rsid w:val="5C9136C1"/>
    <w:rsid w:val="5C970990"/>
    <w:rsid w:val="5C9C2E69"/>
    <w:rsid w:val="5CA46763"/>
    <w:rsid w:val="5CA529A1"/>
    <w:rsid w:val="5CB03053"/>
    <w:rsid w:val="5CB21DC4"/>
    <w:rsid w:val="5CCC646C"/>
    <w:rsid w:val="5CCD3ECF"/>
    <w:rsid w:val="5CDA4EF7"/>
    <w:rsid w:val="5CF0225B"/>
    <w:rsid w:val="5CF16475"/>
    <w:rsid w:val="5CF3302C"/>
    <w:rsid w:val="5D0367B2"/>
    <w:rsid w:val="5D070779"/>
    <w:rsid w:val="5D074C28"/>
    <w:rsid w:val="5D080B68"/>
    <w:rsid w:val="5D082405"/>
    <w:rsid w:val="5D0D4E59"/>
    <w:rsid w:val="5D1268AC"/>
    <w:rsid w:val="5D186E36"/>
    <w:rsid w:val="5D1D300C"/>
    <w:rsid w:val="5D1D33B1"/>
    <w:rsid w:val="5D2E47C6"/>
    <w:rsid w:val="5D327B71"/>
    <w:rsid w:val="5D34665C"/>
    <w:rsid w:val="5D347F0D"/>
    <w:rsid w:val="5D3563AD"/>
    <w:rsid w:val="5D3B1FAC"/>
    <w:rsid w:val="5D3C24EF"/>
    <w:rsid w:val="5D3D3287"/>
    <w:rsid w:val="5D3F6DF8"/>
    <w:rsid w:val="5D4856F9"/>
    <w:rsid w:val="5D487ABF"/>
    <w:rsid w:val="5D4E0349"/>
    <w:rsid w:val="5D65444A"/>
    <w:rsid w:val="5D6B0296"/>
    <w:rsid w:val="5D7A4748"/>
    <w:rsid w:val="5D7B1ED1"/>
    <w:rsid w:val="5D801BBE"/>
    <w:rsid w:val="5D880056"/>
    <w:rsid w:val="5D8B3279"/>
    <w:rsid w:val="5D8E72CD"/>
    <w:rsid w:val="5D903BDE"/>
    <w:rsid w:val="5D90455D"/>
    <w:rsid w:val="5D914036"/>
    <w:rsid w:val="5DA6424C"/>
    <w:rsid w:val="5DAB5233"/>
    <w:rsid w:val="5DBD6146"/>
    <w:rsid w:val="5DC45D7B"/>
    <w:rsid w:val="5DC96D60"/>
    <w:rsid w:val="5DCB4F9B"/>
    <w:rsid w:val="5DCC283C"/>
    <w:rsid w:val="5DD20D30"/>
    <w:rsid w:val="5DD2557F"/>
    <w:rsid w:val="5DDD3FFA"/>
    <w:rsid w:val="5DDF65AD"/>
    <w:rsid w:val="5DF307DF"/>
    <w:rsid w:val="5DF72B16"/>
    <w:rsid w:val="5DFD53B2"/>
    <w:rsid w:val="5DFD6EE0"/>
    <w:rsid w:val="5E0645D0"/>
    <w:rsid w:val="5E1405A0"/>
    <w:rsid w:val="5E1A2F0C"/>
    <w:rsid w:val="5E1D1CC2"/>
    <w:rsid w:val="5E241C09"/>
    <w:rsid w:val="5E261893"/>
    <w:rsid w:val="5E2739DE"/>
    <w:rsid w:val="5E2B2D8E"/>
    <w:rsid w:val="5E323267"/>
    <w:rsid w:val="5E332D35"/>
    <w:rsid w:val="5E361890"/>
    <w:rsid w:val="5E372977"/>
    <w:rsid w:val="5E375C14"/>
    <w:rsid w:val="5E4556A0"/>
    <w:rsid w:val="5E5354F1"/>
    <w:rsid w:val="5E70077B"/>
    <w:rsid w:val="5E700FE1"/>
    <w:rsid w:val="5E7B138A"/>
    <w:rsid w:val="5E916BA2"/>
    <w:rsid w:val="5E940365"/>
    <w:rsid w:val="5E9F5C81"/>
    <w:rsid w:val="5EA21A63"/>
    <w:rsid w:val="5EB66702"/>
    <w:rsid w:val="5EBD75B0"/>
    <w:rsid w:val="5EC25878"/>
    <w:rsid w:val="5EC55F65"/>
    <w:rsid w:val="5ECC388F"/>
    <w:rsid w:val="5ED15D46"/>
    <w:rsid w:val="5ED53F9C"/>
    <w:rsid w:val="5ED820BE"/>
    <w:rsid w:val="5EEA29F1"/>
    <w:rsid w:val="5EEE1C1C"/>
    <w:rsid w:val="5EEF4ADB"/>
    <w:rsid w:val="5EF01788"/>
    <w:rsid w:val="5EFD12BD"/>
    <w:rsid w:val="5F0363AE"/>
    <w:rsid w:val="5F091846"/>
    <w:rsid w:val="5F0E4D20"/>
    <w:rsid w:val="5F0F32C1"/>
    <w:rsid w:val="5F112629"/>
    <w:rsid w:val="5F155949"/>
    <w:rsid w:val="5F2E3A1A"/>
    <w:rsid w:val="5F350012"/>
    <w:rsid w:val="5F353B3A"/>
    <w:rsid w:val="5F3822D0"/>
    <w:rsid w:val="5F4942F7"/>
    <w:rsid w:val="5F4A4570"/>
    <w:rsid w:val="5F531060"/>
    <w:rsid w:val="5F5702FC"/>
    <w:rsid w:val="5F5760C7"/>
    <w:rsid w:val="5F5E0048"/>
    <w:rsid w:val="5F5F5F77"/>
    <w:rsid w:val="5F642F48"/>
    <w:rsid w:val="5F645595"/>
    <w:rsid w:val="5F6F4D08"/>
    <w:rsid w:val="5F701044"/>
    <w:rsid w:val="5F730C53"/>
    <w:rsid w:val="5F757EE5"/>
    <w:rsid w:val="5F850BE9"/>
    <w:rsid w:val="5F8F3905"/>
    <w:rsid w:val="5FA35EAE"/>
    <w:rsid w:val="5FA4502E"/>
    <w:rsid w:val="5FAD5040"/>
    <w:rsid w:val="5FB72E80"/>
    <w:rsid w:val="5FC20390"/>
    <w:rsid w:val="5FCC2839"/>
    <w:rsid w:val="5FCD66AF"/>
    <w:rsid w:val="5FCF58CF"/>
    <w:rsid w:val="5FD224D8"/>
    <w:rsid w:val="5FD341E4"/>
    <w:rsid w:val="5FD52B6A"/>
    <w:rsid w:val="5FD83E07"/>
    <w:rsid w:val="5FEF6B69"/>
    <w:rsid w:val="5FF37AC0"/>
    <w:rsid w:val="60092DDF"/>
    <w:rsid w:val="60095F24"/>
    <w:rsid w:val="601A672F"/>
    <w:rsid w:val="602A2DEC"/>
    <w:rsid w:val="60327814"/>
    <w:rsid w:val="60351B3D"/>
    <w:rsid w:val="60367CB0"/>
    <w:rsid w:val="603904A4"/>
    <w:rsid w:val="604257ED"/>
    <w:rsid w:val="604E7EDB"/>
    <w:rsid w:val="60554A8B"/>
    <w:rsid w:val="6056738C"/>
    <w:rsid w:val="60581356"/>
    <w:rsid w:val="605A3D4A"/>
    <w:rsid w:val="606760F4"/>
    <w:rsid w:val="606821DE"/>
    <w:rsid w:val="606B14EA"/>
    <w:rsid w:val="607819E0"/>
    <w:rsid w:val="607A66CD"/>
    <w:rsid w:val="60814907"/>
    <w:rsid w:val="60840AC0"/>
    <w:rsid w:val="608C6E1E"/>
    <w:rsid w:val="608F6D3A"/>
    <w:rsid w:val="609561E7"/>
    <w:rsid w:val="609E2C07"/>
    <w:rsid w:val="60A758B2"/>
    <w:rsid w:val="60B3748A"/>
    <w:rsid w:val="60BA67A8"/>
    <w:rsid w:val="60BB08B2"/>
    <w:rsid w:val="60C0584C"/>
    <w:rsid w:val="60C41540"/>
    <w:rsid w:val="60C941DE"/>
    <w:rsid w:val="60CA4986"/>
    <w:rsid w:val="60D21E48"/>
    <w:rsid w:val="60D40D94"/>
    <w:rsid w:val="60E40BA4"/>
    <w:rsid w:val="60E41A91"/>
    <w:rsid w:val="60ED0265"/>
    <w:rsid w:val="60F46DC0"/>
    <w:rsid w:val="60F87119"/>
    <w:rsid w:val="60FC558E"/>
    <w:rsid w:val="611A43B1"/>
    <w:rsid w:val="611C6C98"/>
    <w:rsid w:val="611E1EC8"/>
    <w:rsid w:val="61263855"/>
    <w:rsid w:val="612754CB"/>
    <w:rsid w:val="612953DF"/>
    <w:rsid w:val="612B2A86"/>
    <w:rsid w:val="61302209"/>
    <w:rsid w:val="613E1970"/>
    <w:rsid w:val="613E2E8D"/>
    <w:rsid w:val="61451005"/>
    <w:rsid w:val="61496A30"/>
    <w:rsid w:val="614D3AEC"/>
    <w:rsid w:val="61616874"/>
    <w:rsid w:val="61625E18"/>
    <w:rsid w:val="616349F6"/>
    <w:rsid w:val="616366E6"/>
    <w:rsid w:val="616465DD"/>
    <w:rsid w:val="616E77F8"/>
    <w:rsid w:val="6176701C"/>
    <w:rsid w:val="61783F6D"/>
    <w:rsid w:val="617C4694"/>
    <w:rsid w:val="617E1786"/>
    <w:rsid w:val="6182031A"/>
    <w:rsid w:val="618536E3"/>
    <w:rsid w:val="6185463D"/>
    <w:rsid w:val="61880AF2"/>
    <w:rsid w:val="61882BE3"/>
    <w:rsid w:val="6195269A"/>
    <w:rsid w:val="619B76E1"/>
    <w:rsid w:val="61AB274E"/>
    <w:rsid w:val="61B32926"/>
    <w:rsid w:val="61B36BFA"/>
    <w:rsid w:val="61B9080E"/>
    <w:rsid w:val="61CA3456"/>
    <w:rsid w:val="61CD6067"/>
    <w:rsid w:val="61D50A0B"/>
    <w:rsid w:val="61D968B7"/>
    <w:rsid w:val="61DE4D7C"/>
    <w:rsid w:val="61DF1695"/>
    <w:rsid w:val="61E46C4C"/>
    <w:rsid w:val="61E82EA1"/>
    <w:rsid w:val="61F6266C"/>
    <w:rsid w:val="61F82807"/>
    <w:rsid w:val="61F86B62"/>
    <w:rsid w:val="61FB0E26"/>
    <w:rsid w:val="61FB66FF"/>
    <w:rsid w:val="61FC6CBC"/>
    <w:rsid w:val="62030B0F"/>
    <w:rsid w:val="62083840"/>
    <w:rsid w:val="620A4644"/>
    <w:rsid w:val="62175255"/>
    <w:rsid w:val="6222743C"/>
    <w:rsid w:val="622508B5"/>
    <w:rsid w:val="62281885"/>
    <w:rsid w:val="6229668F"/>
    <w:rsid w:val="622C5556"/>
    <w:rsid w:val="622F53AC"/>
    <w:rsid w:val="62375BD7"/>
    <w:rsid w:val="62423CA5"/>
    <w:rsid w:val="6244326E"/>
    <w:rsid w:val="62485E51"/>
    <w:rsid w:val="624C2D80"/>
    <w:rsid w:val="62554AD8"/>
    <w:rsid w:val="625A25DB"/>
    <w:rsid w:val="625E0A29"/>
    <w:rsid w:val="62715EB0"/>
    <w:rsid w:val="62765E03"/>
    <w:rsid w:val="62807874"/>
    <w:rsid w:val="628079EB"/>
    <w:rsid w:val="6289071B"/>
    <w:rsid w:val="629427D1"/>
    <w:rsid w:val="629D41EC"/>
    <w:rsid w:val="62A05981"/>
    <w:rsid w:val="62B16CA7"/>
    <w:rsid w:val="62B743C6"/>
    <w:rsid w:val="62B83593"/>
    <w:rsid w:val="62B86822"/>
    <w:rsid w:val="62C2503E"/>
    <w:rsid w:val="62C3304A"/>
    <w:rsid w:val="62C65B9D"/>
    <w:rsid w:val="62DA26E0"/>
    <w:rsid w:val="62E56F5D"/>
    <w:rsid w:val="62EC7D99"/>
    <w:rsid w:val="62F354C1"/>
    <w:rsid w:val="62F65B2C"/>
    <w:rsid w:val="62F67EE1"/>
    <w:rsid w:val="62F72F58"/>
    <w:rsid w:val="62F73461"/>
    <w:rsid w:val="62F9453E"/>
    <w:rsid w:val="62F9479D"/>
    <w:rsid w:val="62FD32AE"/>
    <w:rsid w:val="62FE1947"/>
    <w:rsid w:val="63036D22"/>
    <w:rsid w:val="63055E2C"/>
    <w:rsid w:val="630C76F0"/>
    <w:rsid w:val="63136EBA"/>
    <w:rsid w:val="63184CBD"/>
    <w:rsid w:val="631F7FF2"/>
    <w:rsid w:val="63322338"/>
    <w:rsid w:val="63420CA4"/>
    <w:rsid w:val="634414DB"/>
    <w:rsid w:val="634C5CEC"/>
    <w:rsid w:val="634E671F"/>
    <w:rsid w:val="636B792D"/>
    <w:rsid w:val="6374342C"/>
    <w:rsid w:val="63772739"/>
    <w:rsid w:val="637836C0"/>
    <w:rsid w:val="63784D27"/>
    <w:rsid w:val="637F5EFE"/>
    <w:rsid w:val="637F6D89"/>
    <w:rsid w:val="63873622"/>
    <w:rsid w:val="638F06E9"/>
    <w:rsid w:val="639A170B"/>
    <w:rsid w:val="639C5F74"/>
    <w:rsid w:val="639E2838"/>
    <w:rsid w:val="63A01F14"/>
    <w:rsid w:val="63B02118"/>
    <w:rsid w:val="63B97A88"/>
    <w:rsid w:val="63BA146E"/>
    <w:rsid w:val="63BB6421"/>
    <w:rsid w:val="63BE65AF"/>
    <w:rsid w:val="63C14D24"/>
    <w:rsid w:val="63D04671"/>
    <w:rsid w:val="63D2174E"/>
    <w:rsid w:val="63D360D4"/>
    <w:rsid w:val="63D64FCC"/>
    <w:rsid w:val="63D82E67"/>
    <w:rsid w:val="63DA3157"/>
    <w:rsid w:val="63DA6F0C"/>
    <w:rsid w:val="63E06E66"/>
    <w:rsid w:val="63E35C42"/>
    <w:rsid w:val="63E7489E"/>
    <w:rsid w:val="63E922A6"/>
    <w:rsid w:val="63EA0FAD"/>
    <w:rsid w:val="63EF2AC9"/>
    <w:rsid w:val="63F10942"/>
    <w:rsid w:val="63FF64EF"/>
    <w:rsid w:val="6410484C"/>
    <w:rsid w:val="641D1ACA"/>
    <w:rsid w:val="642C52BE"/>
    <w:rsid w:val="642E104C"/>
    <w:rsid w:val="642E66EB"/>
    <w:rsid w:val="644064F3"/>
    <w:rsid w:val="64461481"/>
    <w:rsid w:val="644E1643"/>
    <w:rsid w:val="64502BAC"/>
    <w:rsid w:val="64535E93"/>
    <w:rsid w:val="64635F21"/>
    <w:rsid w:val="646D58E0"/>
    <w:rsid w:val="647021FF"/>
    <w:rsid w:val="6474640E"/>
    <w:rsid w:val="647B0678"/>
    <w:rsid w:val="647D5156"/>
    <w:rsid w:val="648742A5"/>
    <w:rsid w:val="648B4C7C"/>
    <w:rsid w:val="64913B62"/>
    <w:rsid w:val="6492438F"/>
    <w:rsid w:val="649F1640"/>
    <w:rsid w:val="64A1571B"/>
    <w:rsid w:val="64A2485B"/>
    <w:rsid w:val="64A70D0C"/>
    <w:rsid w:val="64AA62BC"/>
    <w:rsid w:val="64AB6A52"/>
    <w:rsid w:val="64B404D6"/>
    <w:rsid w:val="64B8177E"/>
    <w:rsid w:val="64BA2146"/>
    <w:rsid w:val="64C4034A"/>
    <w:rsid w:val="64C84958"/>
    <w:rsid w:val="64C94FB4"/>
    <w:rsid w:val="64CC7AAE"/>
    <w:rsid w:val="64D06AD6"/>
    <w:rsid w:val="64D27384"/>
    <w:rsid w:val="64DD4013"/>
    <w:rsid w:val="64E21631"/>
    <w:rsid w:val="64E7597B"/>
    <w:rsid w:val="64EC081F"/>
    <w:rsid w:val="64F40561"/>
    <w:rsid w:val="64F40BA3"/>
    <w:rsid w:val="64F915AB"/>
    <w:rsid w:val="64FC7506"/>
    <w:rsid w:val="650B5636"/>
    <w:rsid w:val="650B6EFF"/>
    <w:rsid w:val="65160CE4"/>
    <w:rsid w:val="6518727A"/>
    <w:rsid w:val="651C44AB"/>
    <w:rsid w:val="651E6275"/>
    <w:rsid w:val="652624C3"/>
    <w:rsid w:val="6531193C"/>
    <w:rsid w:val="65380752"/>
    <w:rsid w:val="653F19D0"/>
    <w:rsid w:val="65483804"/>
    <w:rsid w:val="654E54BD"/>
    <w:rsid w:val="655E6EE4"/>
    <w:rsid w:val="65720388"/>
    <w:rsid w:val="657B3D2B"/>
    <w:rsid w:val="65876907"/>
    <w:rsid w:val="659642BC"/>
    <w:rsid w:val="659955DD"/>
    <w:rsid w:val="65AA7F0D"/>
    <w:rsid w:val="65AF6656"/>
    <w:rsid w:val="65B07A05"/>
    <w:rsid w:val="65B1186F"/>
    <w:rsid w:val="65B2547C"/>
    <w:rsid w:val="65B25723"/>
    <w:rsid w:val="65B266FE"/>
    <w:rsid w:val="65BA30C5"/>
    <w:rsid w:val="65BF4152"/>
    <w:rsid w:val="65C3697D"/>
    <w:rsid w:val="65D541F2"/>
    <w:rsid w:val="65D70553"/>
    <w:rsid w:val="65DE684E"/>
    <w:rsid w:val="65E71F8F"/>
    <w:rsid w:val="65EC11B2"/>
    <w:rsid w:val="65F2391E"/>
    <w:rsid w:val="66017D8B"/>
    <w:rsid w:val="66034693"/>
    <w:rsid w:val="660729E3"/>
    <w:rsid w:val="661A367E"/>
    <w:rsid w:val="661D0B3D"/>
    <w:rsid w:val="661F0F0B"/>
    <w:rsid w:val="662858F5"/>
    <w:rsid w:val="662E315D"/>
    <w:rsid w:val="66317755"/>
    <w:rsid w:val="663960F6"/>
    <w:rsid w:val="66443C77"/>
    <w:rsid w:val="66493397"/>
    <w:rsid w:val="664F79BF"/>
    <w:rsid w:val="6651237D"/>
    <w:rsid w:val="66655739"/>
    <w:rsid w:val="666E2AF9"/>
    <w:rsid w:val="66726CC6"/>
    <w:rsid w:val="66755D82"/>
    <w:rsid w:val="667A5251"/>
    <w:rsid w:val="667B0788"/>
    <w:rsid w:val="667B7177"/>
    <w:rsid w:val="66807B4C"/>
    <w:rsid w:val="668C6494"/>
    <w:rsid w:val="669262FE"/>
    <w:rsid w:val="66993CF7"/>
    <w:rsid w:val="669C56C8"/>
    <w:rsid w:val="669F62D9"/>
    <w:rsid w:val="66A04D66"/>
    <w:rsid w:val="66A35723"/>
    <w:rsid w:val="66AB228D"/>
    <w:rsid w:val="66B92F5F"/>
    <w:rsid w:val="66BE5B84"/>
    <w:rsid w:val="66C34430"/>
    <w:rsid w:val="66C90863"/>
    <w:rsid w:val="66C95F8E"/>
    <w:rsid w:val="66CD4D5B"/>
    <w:rsid w:val="66D159E3"/>
    <w:rsid w:val="66D86CCA"/>
    <w:rsid w:val="66E3351B"/>
    <w:rsid w:val="66EB7A52"/>
    <w:rsid w:val="66EC1B9B"/>
    <w:rsid w:val="66ED3061"/>
    <w:rsid w:val="66F4458E"/>
    <w:rsid w:val="66F75B80"/>
    <w:rsid w:val="670021F4"/>
    <w:rsid w:val="670354A0"/>
    <w:rsid w:val="6709312E"/>
    <w:rsid w:val="6710627F"/>
    <w:rsid w:val="671B7F70"/>
    <w:rsid w:val="67204FB9"/>
    <w:rsid w:val="67252C90"/>
    <w:rsid w:val="67286563"/>
    <w:rsid w:val="67294E89"/>
    <w:rsid w:val="672D19C6"/>
    <w:rsid w:val="672D345F"/>
    <w:rsid w:val="672E55A4"/>
    <w:rsid w:val="673440F4"/>
    <w:rsid w:val="6737494B"/>
    <w:rsid w:val="673821B0"/>
    <w:rsid w:val="673D22B4"/>
    <w:rsid w:val="673D2CB7"/>
    <w:rsid w:val="67403A84"/>
    <w:rsid w:val="674111DC"/>
    <w:rsid w:val="67455C1F"/>
    <w:rsid w:val="67556A5D"/>
    <w:rsid w:val="675E6470"/>
    <w:rsid w:val="6767227E"/>
    <w:rsid w:val="676807FD"/>
    <w:rsid w:val="67691462"/>
    <w:rsid w:val="67737349"/>
    <w:rsid w:val="67762CFD"/>
    <w:rsid w:val="677840F3"/>
    <w:rsid w:val="677A5D0B"/>
    <w:rsid w:val="677C0372"/>
    <w:rsid w:val="677F6EF6"/>
    <w:rsid w:val="678A46B7"/>
    <w:rsid w:val="67922518"/>
    <w:rsid w:val="67977B9D"/>
    <w:rsid w:val="679A3566"/>
    <w:rsid w:val="67A22EAD"/>
    <w:rsid w:val="67A368B8"/>
    <w:rsid w:val="67A42620"/>
    <w:rsid w:val="67AC684C"/>
    <w:rsid w:val="67B325F0"/>
    <w:rsid w:val="67B619A7"/>
    <w:rsid w:val="67B81962"/>
    <w:rsid w:val="67C021CA"/>
    <w:rsid w:val="67C07D54"/>
    <w:rsid w:val="67C12E4A"/>
    <w:rsid w:val="67CA5017"/>
    <w:rsid w:val="67CB6991"/>
    <w:rsid w:val="67D65E7E"/>
    <w:rsid w:val="67DD7518"/>
    <w:rsid w:val="67E50714"/>
    <w:rsid w:val="67F229FD"/>
    <w:rsid w:val="67F62C58"/>
    <w:rsid w:val="67FC23DA"/>
    <w:rsid w:val="68030A35"/>
    <w:rsid w:val="68067A48"/>
    <w:rsid w:val="68076C70"/>
    <w:rsid w:val="681001F1"/>
    <w:rsid w:val="681A1162"/>
    <w:rsid w:val="6824574E"/>
    <w:rsid w:val="68357C7D"/>
    <w:rsid w:val="68365668"/>
    <w:rsid w:val="684257EF"/>
    <w:rsid w:val="68470119"/>
    <w:rsid w:val="684843ED"/>
    <w:rsid w:val="684C0F3B"/>
    <w:rsid w:val="6852295B"/>
    <w:rsid w:val="68556752"/>
    <w:rsid w:val="685956CA"/>
    <w:rsid w:val="68617865"/>
    <w:rsid w:val="68636520"/>
    <w:rsid w:val="686E29AC"/>
    <w:rsid w:val="687556AA"/>
    <w:rsid w:val="687B76FD"/>
    <w:rsid w:val="6882475F"/>
    <w:rsid w:val="689E0962"/>
    <w:rsid w:val="689E60A5"/>
    <w:rsid w:val="689E6D25"/>
    <w:rsid w:val="68A476F2"/>
    <w:rsid w:val="68B11474"/>
    <w:rsid w:val="68B14AE9"/>
    <w:rsid w:val="68B661D4"/>
    <w:rsid w:val="68C84DC5"/>
    <w:rsid w:val="68CF368D"/>
    <w:rsid w:val="68D63B23"/>
    <w:rsid w:val="68E40D0E"/>
    <w:rsid w:val="68E81170"/>
    <w:rsid w:val="68EC7A9C"/>
    <w:rsid w:val="68EF65A4"/>
    <w:rsid w:val="68F36F33"/>
    <w:rsid w:val="69162979"/>
    <w:rsid w:val="69262293"/>
    <w:rsid w:val="693B26DE"/>
    <w:rsid w:val="693B54AB"/>
    <w:rsid w:val="69410BFA"/>
    <w:rsid w:val="69452B7A"/>
    <w:rsid w:val="69564B94"/>
    <w:rsid w:val="69671793"/>
    <w:rsid w:val="69724CFC"/>
    <w:rsid w:val="698B5D3C"/>
    <w:rsid w:val="6994061C"/>
    <w:rsid w:val="69966CB4"/>
    <w:rsid w:val="699723BA"/>
    <w:rsid w:val="699A2ABA"/>
    <w:rsid w:val="699F5212"/>
    <w:rsid w:val="69A173E4"/>
    <w:rsid w:val="69A82E1A"/>
    <w:rsid w:val="69AE063C"/>
    <w:rsid w:val="69AE2CF5"/>
    <w:rsid w:val="69B31E8D"/>
    <w:rsid w:val="69BB4C63"/>
    <w:rsid w:val="69C876B5"/>
    <w:rsid w:val="69CB4015"/>
    <w:rsid w:val="69CD264D"/>
    <w:rsid w:val="69CE1833"/>
    <w:rsid w:val="69DD2C01"/>
    <w:rsid w:val="69DF68E2"/>
    <w:rsid w:val="69E219E8"/>
    <w:rsid w:val="69E8095C"/>
    <w:rsid w:val="69EA096B"/>
    <w:rsid w:val="69FE0CAC"/>
    <w:rsid w:val="6A003904"/>
    <w:rsid w:val="6A0E0FFC"/>
    <w:rsid w:val="6A102CE9"/>
    <w:rsid w:val="6A1D12AE"/>
    <w:rsid w:val="6A1E3B10"/>
    <w:rsid w:val="6A222959"/>
    <w:rsid w:val="6A2C3081"/>
    <w:rsid w:val="6A2F5CF5"/>
    <w:rsid w:val="6A36338D"/>
    <w:rsid w:val="6A376A04"/>
    <w:rsid w:val="6A3B180C"/>
    <w:rsid w:val="6A407AAF"/>
    <w:rsid w:val="6A483B24"/>
    <w:rsid w:val="6A4E6DB5"/>
    <w:rsid w:val="6A55670C"/>
    <w:rsid w:val="6A564F61"/>
    <w:rsid w:val="6A585115"/>
    <w:rsid w:val="6A5901A6"/>
    <w:rsid w:val="6A5A3E2E"/>
    <w:rsid w:val="6A61666F"/>
    <w:rsid w:val="6A6A5E53"/>
    <w:rsid w:val="6A707ED8"/>
    <w:rsid w:val="6A790952"/>
    <w:rsid w:val="6A7A0385"/>
    <w:rsid w:val="6A8068E3"/>
    <w:rsid w:val="6A865D26"/>
    <w:rsid w:val="6A9010E6"/>
    <w:rsid w:val="6A910EFD"/>
    <w:rsid w:val="6A957467"/>
    <w:rsid w:val="6A976A6C"/>
    <w:rsid w:val="6A9A5533"/>
    <w:rsid w:val="6AA34681"/>
    <w:rsid w:val="6AA45484"/>
    <w:rsid w:val="6AA47802"/>
    <w:rsid w:val="6AB57B63"/>
    <w:rsid w:val="6AB70891"/>
    <w:rsid w:val="6ABA37A5"/>
    <w:rsid w:val="6ABF491E"/>
    <w:rsid w:val="6AC053D2"/>
    <w:rsid w:val="6AC20043"/>
    <w:rsid w:val="6AC7427B"/>
    <w:rsid w:val="6ACA7132"/>
    <w:rsid w:val="6AD233C1"/>
    <w:rsid w:val="6AD42822"/>
    <w:rsid w:val="6AD9331C"/>
    <w:rsid w:val="6ADB6B5A"/>
    <w:rsid w:val="6AE00C45"/>
    <w:rsid w:val="6AF93471"/>
    <w:rsid w:val="6AFA6CDD"/>
    <w:rsid w:val="6B217EA6"/>
    <w:rsid w:val="6B253391"/>
    <w:rsid w:val="6B26360C"/>
    <w:rsid w:val="6B3E228C"/>
    <w:rsid w:val="6B4E3AB0"/>
    <w:rsid w:val="6B521A8D"/>
    <w:rsid w:val="6B527BCE"/>
    <w:rsid w:val="6B5A17A3"/>
    <w:rsid w:val="6B5C521D"/>
    <w:rsid w:val="6B5D6500"/>
    <w:rsid w:val="6B6467FE"/>
    <w:rsid w:val="6B6A0CA7"/>
    <w:rsid w:val="6B6A5850"/>
    <w:rsid w:val="6B6F2933"/>
    <w:rsid w:val="6B7454EC"/>
    <w:rsid w:val="6B7631A6"/>
    <w:rsid w:val="6B7C662F"/>
    <w:rsid w:val="6B854132"/>
    <w:rsid w:val="6B8B4536"/>
    <w:rsid w:val="6B8E161E"/>
    <w:rsid w:val="6B8E6956"/>
    <w:rsid w:val="6B8F5FFD"/>
    <w:rsid w:val="6B9428CC"/>
    <w:rsid w:val="6BA81981"/>
    <w:rsid w:val="6BA862C4"/>
    <w:rsid w:val="6BAE259D"/>
    <w:rsid w:val="6BB84A32"/>
    <w:rsid w:val="6BBA1C6E"/>
    <w:rsid w:val="6BC60322"/>
    <w:rsid w:val="6BC96F83"/>
    <w:rsid w:val="6BD72646"/>
    <w:rsid w:val="6BE86CC4"/>
    <w:rsid w:val="6BFA7323"/>
    <w:rsid w:val="6C0321DC"/>
    <w:rsid w:val="6C087637"/>
    <w:rsid w:val="6C1024CB"/>
    <w:rsid w:val="6C103A36"/>
    <w:rsid w:val="6C1256EA"/>
    <w:rsid w:val="6C1606D8"/>
    <w:rsid w:val="6C1A41DC"/>
    <w:rsid w:val="6C1F4726"/>
    <w:rsid w:val="6C2D6155"/>
    <w:rsid w:val="6C2F2154"/>
    <w:rsid w:val="6C3042B7"/>
    <w:rsid w:val="6C367F62"/>
    <w:rsid w:val="6C3B36E2"/>
    <w:rsid w:val="6C437047"/>
    <w:rsid w:val="6C5A499B"/>
    <w:rsid w:val="6C5C03CC"/>
    <w:rsid w:val="6C5C30DD"/>
    <w:rsid w:val="6C614C78"/>
    <w:rsid w:val="6C685651"/>
    <w:rsid w:val="6C6D6B98"/>
    <w:rsid w:val="6C6E7FE1"/>
    <w:rsid w:val="6C6F22B2"/>
    <w:rsid w:val="6C740FE8"/>
    <w:rsid w:val="6C7A78C6"/>
    <w:rsid w:val="6C7F2D65"/>
    <w:rsid w:val="6C7F6339"/>
    <w:rsid w:val="6C814811"/>
    <w:rsid w:val="6C815C81"/>
    <w:rsid w:val="6C895281"/>
    <w:rsid w:val="6C8A3C0F"/>
    <w:rsid w:val="6C8B79ED"/>
    <w:rsid w:val="6C8F2B80"/>
    <w:rsid w:val="6C925BED"/>
    <w:rsid w:val="6C98556B"/>
    <w:rsid w:val="6C997B2F"/>
    <w:rsid w:val="6CAF4F50"/>
    <w:rsid w:val="6CBC1908"/>
    <w:rsid w:val="6CC17AD5"/>
    <w:rsid w:val="6CC46D26"/>
    <w:rsid w:val="6CD0178A"/>
    <w:rsid w:val="6CDB54D0"/>
    <w:rsid w:val="6CE349E0"/>
    <w:rsid w:val="6CE83C17"/>
    <w:rsid w:val="6CEB0347"/>
    <w:rsid w:val="6CF17C38"/>
    <w:rsid w:val="6CF50B68"/>
    <w:rsid w:val="6CF63695"/>
    <w:rsid w:val="6CF670CD"/>
    <w:rsid w:val="6CF97369"/>
    <w:rsid w:val="6CFE2EDA"/>
    <w:rsid w:val="6D003795"/>
    <w:rsid w:val="6D01797E"/>
    <w:rsid w:val="6D075E73"/>
    <w:rsid w:val="6D0C2680"/>
    <w:rsid w:val="6D0D1623"/>
    <w:rsid w:val="6D11685C"/>
    <w:rsid w:val="6D1505A6"/>
    <w:rsid w:val="6D180C74"/>
    <w:rsid w:val="6D1A59A4"/>
    <w:rsid w:val="6D1B4471"/>
    <w:rsid w:val="6D1F4648"/>
    <w:rsid w:val="6D220CBE"/>
    <w:rsid w:val="6D290021"/>
    <w:rsid w:val="6D2B349F"/>
    <w:rsid w:val="6D2B3A56"/>
    <w:rsid w:val="6D36106F"/>
    <w:rsid w:val="6D366A87"/>
    <w:rsid w:val="6D3E3F24"/>
    <w:rsid w:val="6D3F41BC"/>
    <w:rsid w:val="6D3F4F4C"/>
    <w:rsid w:val="6D434249"/>
    <w:rsid w:val="6D46653F"/>
    <w:rsid w:val="6D466B8D"/>
    <w:rsid w:val="6D4C2633"/>
    <w:rsid w:val="6D5547AA"/>
    <w:rsid w:val="6D55483F"/>
    <w:rsid w:val="6D5C2995"/>
    <w:rsid w:val="6D651A19"/>
    <w:rsid w:val="6D681DB4"/>
    <w:rsid w:val="6D6B1534"/>
    <w:rsid w:val="6D707C69"/>
    <w:rsid w:val="6D7A61C9"/>
    <w:rsid w:val="6D7E25C2"/>
    <w:rsid w:val="6D820209"/>
    <w:rsid w:val="6D8516CD"/>
    <w:rsid w:val="6D882CB9"/>
    <w:rsid w:val="6D8F2D6B"/>
    <w:rsid w:val="6D91560C"/>
    <w:rsid w:val="6D927B84"/>
    <w:rsid w:val="6DA91351"/>
    <w:rsid w:val="6DAF6E9C"/>
    <w:rsid w:val="6DB64079"/>
    <w:rsid w:val="6DBB4122"/>
    <w:rsid w:val="6DBD64CD"/>
    <w:rsid w:val="6DC55E40"/>
    <w:rsid w:val="6DDC4547"/>
    <w:rsid w:val="6DE2064C"/>
    <w:rsid w:val="6DE24C48"/>
    <w:rsid w:val="6DE91208"/>
    <w:rsid w:val="6DEE2231"/>
    <w:rsid w:val="6DEE5C06"/>
    <w:rsid w:val="6DF027EE"/>
    <w:rsid w:val="6DF27B32"/>
    <w:rsid w:val="6DF83A2E"/>
    <w:rsid w:val="6E0476F6"/>
    <w:rsid w:val="6E137A89"/>
    <w:rsid w:val="6E166A77"/>
    <w:rsid w:val="6E187DB9"/>
    <w:rsid w:val="6E232996"/>
    <w:rsid w:val="6E2611C2"/>
    <w:rsid w:val="6E2B49DB"/>
    <w:rsid w:val="6E2D7600"/>
    <w:rsid w:val="6E2E5947"/>
    <w:rsid w:val="6E301D92"/>
    <w:rsid w:val="6E3A0EA1"/>
    <w:rsid w:val="6E4055AB"/>
    <w:rsid w:val="6E407D9D"/>
    <w:rsid w:val="6E433F8F"/>
    <w:rsid w:val="6E452117"/>
    <w:rsid w:val="6E49682B"/>
    <w:rsid w:val="6E542FEC"/>
    <w:rsid w:val="6E6F4DDD"/>
    <w:rsid w:val="6E71032A"/>
    <w:rsid w:val="6E740BD2"/>
    <w:rsid w:val="6E7B57F2"/>
    <w:rsid w:val="6E7C4670"/>
    <w:rsid w:val="6E8811CB"/>
    <w:rsid w:val="6E994446"/>
    <w:rsid w:val="6E9D0B1E"/>
    <w:rsid w:val="6E9E7033"/>
    <w:rsid w:val="6EA0207E"/>
    <w:rsid w:val="6EA6036C"/>
    <w:rsid w:val="6EAB26CB"/>
    <w:rsid w:val="6EB47258"/>
    <w:rsid w:val="6EB97E65"/>
    <w:rsid w:val="6EC9134A"/>
    <w:rsid w:val="6ED67B56"/>
    <w:rsid w:val="6ED93395"/>
    <w:rsid w:val="6EDF2955"/>
    <w:rsid w:val="6EE05E54"/>
    <w:rsid w:val="6EE40477"/>
    <w:rsid w:val="6EE85D0B"/>
    <w:rsid w:val="6EE95B88"/>
    <w:rsid w:val="6F012554"/>
    <w:rsid w:val="6F03674B"/>
    <w:rsid w:val="6F0B0F55"/>
    <w:rsid w:val="6F103D5C"/>
    <w:rsid w:val="6F111514"/>
    <w:rsid w:val="6F140CBC"/>
    <w:rsid w:val="6F1A6664"/>
    <w:rsid w:val="6F2B655A"/>
    <w:rsid w:val="6F2B7C80"/>
    <w:rsid w:val="6F2F6179"/>
    <w:rsid w:val="6F315261"/>
    <w:rsid w:val="6F334D9F"/>
    <w:rsid w:val="6F3750EE"/>
    <w:rsid w:val="6F39733D"/>
    <w:rsid w:val="6F3C54AF"/>
    <w:rsid w:val="6F3C55E9"/>
    <w:rsid w:val="6F3C6CF7"/>
    <w:rsid w:val="6F3F7D1F"/>
    <w:rsid w:val="6F423F06"/>
    <w:rsid w:val="6F507026"/>
    <w:rsid w:val="6F535262"/>
    <w:rsid w:val="6F537C87"/>
    <w:rsid w:val="6F5F0DA7"/>
    <w:rsid w:val="6F6947A3"/>
    <w:rsid w:val="6F737521"/>
    <w:rsid w:val="6F752C8F"/>
    <w:rsid w:val="6F7B3312"/>
    <w:rsid w:val="6F822138"/>
    <w:rsid w:val="6F867A9B"/>
    <w:rsid w:val="6F94296B"/>
    <w:rsid w:val="6F981482"/>
    <w:rsid w:val="6F9C49B6"/>
    <w:rsid w:val="6FA06938"/>
    <w:rsid w:val="6FA54DAA"/>
    <w:rsid w:val="6FA67706"/>
    <w:rsid w:val="6FAC7C04"/>
    <w:rsid w:val="6FB602E8"/>
    <w:rsid w:val="6FB96A7B"/>
    <w:rsid w:val="6FBA1307"/>
    <w:rsid w:val="6FBD6CD7"/>
    <w:rsid w:val="6FBD779E"/>
    <w:rsid w:val="6FDE4302"/>
    <w:rsid w:val="6FE903BD"/>
    <w:rsid w:val="6FE922A2"/>
    <w:rsid w:val="6FEC3CE4"/>
    <w:rsid w:val="6FF338F2"/>
    <w:rsid w:val="6FF978AF"/>
    <w:rsid w:val="6FFBA393"/>
    <w:rsid w:val="6FFF6BE6"/>
    <w:rsid w:val="700240C5"/>
    <w:rsid w:val="70057E93"/>
    <w:rsid w:val="70084233"/>
    <w:rsid w:val="700865D5"/>
    <w:rsid w:val="700B6459"/>
    <w:rsid w:val="700F4D21"/>
    <w:rsid w:val="701D0703"/>
    <w:rsid w:val="701E512F"/>
    <w:rsid w:val="702228CB"/>
    <w:rsid w:val="702F5627"/>
    <w:rsid w:val="703004A8"/>
    <w:rsid w:val="70303DC3"/>
    <w:rsid w:val="70313CD0"/>
    <w:rsid w:val="70323B0E"/>
    <w:rsid w:val="70332B03"/>
    <w:rsid w:val="70333B0C"/>
    <w:rsid w:val="703E67C6"/>
    <w:rsid w:val="704A1326"/>
    <w:rsid w:val="70543A18"/>
    <w:rsid w:val="70574B97"/>
    <w:rsid w:val="70606AA6"/>
    <w:rsid w:val="7066764D"/>
    <w:rsid w:val="70700E37"/>
    <w:rsid w:val="70705B96"/>
    <w:rsid w:val="70823A9B"/>
    <w:rsid w:val="70904B27"/>
    <w:rsid w:val="70941496"/>
    <w:rsid w:val="70986A36"/>
    <w:rsid w:val="70AA6DF4"/>
    <w:rsid w:val="70AB5F29"/>
    <w:rsid w:val="70B3033E"/>
    <w:rsid w:val="70B77CFB"/>
    <w:rsid w:val="70B81B7B"/>
    <w:rsid w:val="70B94304"/>
    <w:rsid w:val="70BF47B3"/>
    <w:rsid w:val="70E33AA9"/>
    <w:rsid w:val="70E715AE"/>
    <w:rsid w:val="70F0687C"/>
    <w:rsid w:val="70F210CB"/>
    <w:rsid w:val="70F37763"/>
    <w:rsid w:val="70F40B17"/>
    <w:rsid w:val="70F51E6A"/>
    <w:rsid w:val="70FA5640"/>
    <w:rsid w:val="70FA674D"/>
    <w:rsid w:val="710A3D05"/>
    <w:rsid w:val="710B0D39"/>
    <w:rsid w:val="71155A7E"/>
    <w:rsid w:val="7120264E"/>
    <w:rsid w:val="7122713E"/>
    <w:rsid w:val="7128004A"/>
    <w:rsid w:val="71296307"/>
    <w:rsid w:val="713147C4"/>
    <w:rsid w:val="7146696D"/>
    <w:rsid w:val="714F779C"/>
    <w:rsid w:val="7153270E"/>
    <w:rsid w:val="71773589"/>
    <w:rsid w:val="717D4284"/>
    <w:rsid w:val="71843E2E"/>
    <w:rsid w:val="718D5C5B"/>
    <w:rsid w:val="718F0D59"/>
    <w:rsid w:val="71910B94"/>
    <w:rsid w:val="71927521"/>
    <w:rsid w:val="71A90BC2"/>
    <w:rsid w:val="71A97624"/>
    <w:rsid w:val="71AA4423"/>
    <w:rsid w:val="71AA6F88"/>
    <w:rsid w:val="71AC19E4"/>
    <w:rsid w:val="71AF79D8"/>
    <w:rsid w:val="71B35CD9"/>
    <w:rsid w:val="71B56612"/>
    <w:rsid w:val="71B84C54"/>
    <w:rsid w:val="71BB032F"/>
    <w:rsid w:val="71BC677A"/>
    <w:rsid w:val="71C232C4"/>
    <w:rsid w:val="71C46E13"/>
    <w:rsid w:val="71C62F7F"/>
    <w:rsid w:val="71CC7F39"/>
    <w:rsid w:val="71E20962"/>
    <w:rsid w:val="71E3257D"/>
    <w:rsid w:val="71E45C1D"/>
    <w:rsid w:val="71E6164C"/>
    <w:rsid w:val="71E73574"/>
    <w:rsid w:val="71F3015E"/>
    <w:rsid w:val="72056E05"/>
    <w:rsid w:val="72115575"/>
    <w:rsid w:val="721510CF"/>
    <w:rsid w:val="721841BB"/>
    <w:rsid w:val="721D4433"/>
    <w:rsid w:val="721F668F"/>
    <w:rsid w:val="722E3561"/>
    <w:rsid w:val="72341D7D"/>
    <w:rsid w:val="72377C1B"/>
    <w:rsid w:val="72387492"/>
    <w:rsid w:val="723E7568"/>
    <w:rsid w:val="7243144C"/>
    <w:rsid w:val="72472D75"/>
    <w:rsid w:val="724F7C40"/>
    <w:rsid w:val="725A21AE"/>
    <w:rsid w:val="725F4256"/>
    <w:rsid w:val="72655EB3"/>
    <w:rsid w:val="72666C2B"/>
    <w:rsid w:val="72687403"/>
    <w:rsid w:val="7269212E"/>
    <w:rsid w:val="726956AE"/>
    <w:rsid w:val="726D1E86"/>
    <w:rsid w:val="7276291B"/>
    <w:rsid w:val="727D3192"/>
    <w:rsid w:val="72882DC7"/>
    <w:rsid w:val="728A519E"/>
    <w:rsid w:val="728C2E3E"/>
    <w:rsid w:val="72923C18"/>
    <w:rsid w:val="7296684C"/>
    <w:rsid w:val="7299509C"/>
    <w:rsid w:val="729E5F1C"/>
    <w:rsid w:val="72A567CD"/>
    <w:rsid w:val="72A624FC"/>
    <w:rsid w:val="72AC3206"/>
    <w:rsid w:val="72B1328C"/>
    <w:rsid w:val="72B14EB5"/>
    <w:rsid w:val="72B26FA0"/>
    <w:rsid w:val="72B90B75"/>
    <w:rsid w:val="72BA7807"/>
    <w:rsid w:val="72CB1639"/>
    <w:rsid w:val="72D32633"/>
    <w:rsid w:val="72D35A96"/>
    <w:rsid w:val="72D63C19"/>
    <w:rsid w:val="72D823D5"/>
    <w:rsid w:val="72DB421F"/>
    <w:rsid w:val="72DC2AE6"/>
    <w:rsid w:val="72DC7C1C"/>
    <w:rsid w:val="72DD3772"/>
    <w:rsid w:val="72E37D93"/>
    <w:rsid w:val="72E43882"/>
    <w:rsid w:val="72E55BB5"/>
    <w:rsid w:val="72E97234"/>
    <w:rsid w:val="72EA1515"/>
    <w:rsid w:val="72F84D86"/>
    <w:rsid w:val="730055D3"/>
    <w:rsid w:val="730139A4"/>
    <w:rsid w:val="730C2ECF"/>
    <w:rsid w:val="731019A5"/>
    <w:rsid w:val="731F47AE"/>
    <w:rsid w:val="731F66F9"/>
    <w:rsid w:val="73204411"/>
    <w:rsid w:val="73263829"/>
    <w:rsid w:val="732B4A7A"/>
    <w:rsid w:val="732D105C"/>
    <w:rsid w:val="7331251C"/>
    <w:rsid w:val="73326038"/>
    <w:rsid w:val="733425DF"/>
    <w:rsid w:val="733918EC"/>
    <w:rsid w:val="733B4133"/>
    <w:rsid w:val="733B6B46"/>
    <w:rsid w:val="73436685"/>
    <w:rsid w:val="734E077B"/>
    <w:rsid w:val="73556451"/>
    <w:rsid w:val="73570CC1"/>
    <w:rsid w:val="73606C39"/>
    <w:rsid w:val="73620158"/>
    <w:rsid w:val="73667E4A"/>
    <w:rsid w:val="736D7D95"/>
    <w:rsid w:val="73747D8F"/>
    <w:rsid w:val="73754261"/>
    <w:rsid w:val="737F0F94"/>
    <w:rsid w:val="73817560"/>
    <w:rsid w:val="739B47DC"/>
    <w:rsid w:val="739C139A"/>
    <w:rsid w:val="739C2143"/>
    <w:rsid w:val="739E1E24"/>
    <w:rsid w:val="73A53F8B"/>
    <w:rsid w:val="73AC1ECB"/>
    <w:rsid w:val="73AE4DAC"/>
    <w:rsid w:val="73B05D63"/>
    <w:rsid w:val="73B4160F"/>
    <w:rsid w:val="73B426A9"/>
    <w:rsid w:val="73B530B8"/>
    <w:rsid w:val="73B7632E"/>
    <w:rsid w:val="73BA6D65"/>
    <w:rsid w:val="73C75A57"/>
    <w:rsid w:val="73C964BF"/>
    <w:rsid w:val="73D9226C"/>
    <w:rsid w:val="73E0724E"/>
    <w:rsid w:val="73E52E1F"/>
    <w:rsid w:val="73E82E1B"/>
    <w:rsid w:val="73E91CB1"/>
    <w:rsid w:val="73F00663"/>
    <w:rsid w:val="73FE6FF0"/>
    <w:rsid w:val="74014C14"/>
    <w:rsid w:val="740B7881"/>
    <w:rsid w:val="741F2BAD"/>
    <w:rsid w:val="743A5421"/>
    <w:rsid w:val="743B4524"/>
    <w:rsid w:val="744275F0"/>
    <w:rsid w:val="744C78C7"/>
    <w:rsid w:val="746847B3"/>
    <w:rsid w:val="746D57D4"/>
    <w:rsid w:val="74702CFE"/>
    <w:rsid w:val="747D23FB"/>
    <w:rsid w:val="747D6BD6"/>
    <w:rsid w:val="748007EC"/>
    <w:rsid w:val="748F0831"/>
    <w:rsid w:val="748F0FED"/>
    <w:rsid w:val="74902AC7"/>
    <w:rsid w:val="749378C0"/>
    <w:rsid w:val="749410B7"/>
    <w:rsid w:val="7495094C"/>
    <w:rsid w:val="749A0F60"/>
    <w:rsid w:val="74B616B3"/>
    <w:rsid w:val="74B82DD2"/>
    <w:rsid w:val="74BB6E86"/>
    <w:rsid w:val="74BD4406"/>
    <w:rsid w:val="74C01703"/>
    <w:rsid w:val="74C7103C"/>
    <w:rsid w:val="74CB453C"/>
    <w:rsid w:val="74D52AD0"/>
    <w:rsid w:val="74DA7BD3"/>
    <w:rsid w:val="74DC6CFD"/>
    <w:rsid w:val="74E32C94"/>
    <w:rsid w:val="74F248B8"/>
    <w:rsid w:val="74F77BAE"/>
    <w:rsid w:val="750823B7"/>
    <w:rsid w:val="750E6239"/>
    <w:rsid w:val="751118B2"/>
    <w:rsid w:val="751941B4"/>
    <w:rsid w:val="75290B4F"/>
    <w:rsid w:val="753B6003"/>
    <w:rsid w:val="753C59AF"/>
    <w:rsid w:val="754668B3"/>
    <w:rsid w:val="75493748"/>
    <w:rsid w:val="755254D7"/>
    <w:rsid w:val="7557774B"/>
    <w:rsid w:val="755D2E74"/>
    <w:rsid w:val="7564688B"/>
    <w:rsid w:val="756A2F72"/>
    <w:rsid w:val="75714B55"/>
    <w:rsid w:val="758A168C"/>
    <w:rsid w:val="759260CD"/>
    <w:rsid w:val="759772FC"/>
    <w:rsid w:val="759A30FE"/>
    <w:rsid w:val="75A024B1"/>
    <w:rsid w:val="75A82A05"/>
    <w:rsid w:val="75AA3119"/>
    <w:rsid w:val="75B05FBC"/>
    <w:rsid w:val="75D210B7"/>
    <w:rsid w:val="75DC0DC7"/>
    <w:rsid w:val="75E11CD3"/>
    <w:rsid w:val="75E41067"/>
    <w:rsid w:val="75E45429"/>
    <w:rsid w:val="75E74BF8"/>
    <w:rsid w:val="75E96C68"/>
    <w:rsid w:val="75EE5096"/>
    <w:rsid w:val="760C1F6D"/>
    <w:rsid w:val="7610519C"/>
    <w:rsid w:val="762072B5"/>
    <w:rsid w:val="76283C2D"/>
    <w:rsid w:val="763601A7"/>
    <w:rsid w:val="76403524"/>
    <w:rsid w:val="76464A1C"/>
    <w:rsid w:val="76466751"/>
    <w:rsid w:val="764B39F6"/>
    <w:rsid w:val="76552248"/>
    <w:rsid w:val="76570B54"/>
    <w:rsid w:val="766517E2"/>
    <w:rsid w:val="76677F55"/>
    <w:rsid w:val="76695B43"/>
    <w:rsid w:val="767B1E55"/>
    <w:rsid w:val="76832D41"/>
    <w:rsid w:val="76856F75"/>
    <w:rsid w:val="76915E78"/>
    <w:rsid w:val="769614BD"/>
    <w:rsid w:val="76A33E20"/>
    <w:rsid w:val="76A5405F"/>
    <w:rsid w:val="76AC7D36"/>
    <w:rsid w:val="76AD2264"/>
    <w:rsid w:val="76AD2ABF"/>
    <w:rsid w:val="76BE0F8E"/>
    <w:rsid w:val="76C410FF"/>
    <w:rsid w:val="76CD21B1"/>
    <w:rsid w:val="76D36FFE"/>
    <w:rsid w:val="76E05EE1"/>
    <w:rsid w:val="76E2582F"/>
    <w:rsid w:val="76E31A3D"/>
    <w:rsid w:val="76E46681"/>
    <w:rsid w:val="76E71740"/>
    <w:rsid w:val="76E933E1"/>
    <w:rsid w:val="76EC6497"/>
    <w:rsid w:val="76F248F1"/>
    <w:rsid w:val="76F40366"/>
    <w:rsid w:val="76F764D2"/>
    <w:rsid w:val="76FC6FEC"/>
    <w:rsid w:val="76FE03B0"/>
    <w:rsid w:val="76FE2B53"/>
    <w:rsid w:val="76FF05D2"/>
    <w:rsid w:val="77093F1F"/>
    <w:rsid w:val="770A3625"/>
    <w:rsid w:val="77175DD0"/>
    <w:rsid w:val="7718792D"/>
    <w:rsid w:val="771B1288"/>
    <w:rsid w:val="77267DDA"/>
    <w:rsid w:val="77337B2B"/>
    <w:rsid w:val="773D3989"/>
    <w:rsid w:val="7750356B"/>
    <w:rsid w:val="775518D0"/>
    <w:rsid w:val="77582CCB"/>
    <w:rsid w:val="776014E4"/>
    <w:rsid w:val="777264CC"/>
    <w:rsid w:val="777D4209"/>
    <w:rsid w:val="77857934"/>
    <w:rsid w:val="77880F91"/>
    <w:rsid w:val="77895970"/>
    <w:rsid w:val="77942B43"/>
    <w:rsid w:val="77955981"/>
    <w:rsid w:val="77972375"/>
    <w:rsid w:val="779D3C1A"/>
    <w:rsid w:val="77A236BD"/>
    <w:rsid w:val="77A46031"/>
    <w:rsid w:val="77A57E3D"/>
    <w:rsid w:val="77BE3FC3"/>
    <w:rsid w:val="77C07C35"/>
    <w:rsid w:val="77CE3266"/>
    <w:rsid w:val="77D41144"/>
    <w:rsid w:val="77D90C47"/>
    <w:rsid w:val="77D925B8"/>
    <w:rsid w:val="77DEB4A7"/>
    <w:rsid w:val="78014453"/>
    <w:rsid w:val="780D2551"/>
    <w:rsid w:val="78185AF2"/>
    <w:rsid w:val="782306CD"/>
    <w:rsid w:val="782570F3"/>
    <w:rsid w:val="78266C08"/>
    <w:rsid w:val="782B0B52"/>
    <w:rsid w:val="782B3D93"/>
    <w:rsid w:val="78334848"/>
    <w:rsid w:val="783B060B"/>
    <w:rsid w:val="7843609F"/>
    <w:rsid w:val="7846744D"/>
    <w:rsid w:val="78473F85"/>
    <w:rsid w:val="784A682C"/>
    <w:rsid w:val="784C41E2"/>
    <w:rsid w:val="785240F7"/>
    <w:rsid w:val="78554225"/>
    <w:rsid w:val="785F53AE"/>
    <w:rsid w:val="78640452"/>
    <w:rsid w:val="786A37B5"/>
    <w:rsid w:val="78715547"/>
    <w:rsid w:val="788529A8"/>
    <w:rsid w:val="78886508"/>
    <w:rsid w:val="78904407"/>
    <w:rsid w:val="78931354"/>
    <w:rsid w:val="789B0C00"/>
    <w:rsid w:val="78B10B5C"/>
    <w:rsid w:val="78B57516"/>
    <w:rsid w:val="78B817EA"/>
    <w:rsid w:val="78B966B1"/>
    <w:rsid w:val="78C46594"/>
    <w:rsid w:val="78CD3AB9"/>
    <w:rsid w:val="78D439C9"/>
    <w:rsid w:val="78E76B09"/>
    <w:rsid w:val="78E92E12"/>
    <w:rsid w:val="78F41F71"/>
    <w:rsid w:val="78F43A33"/>
    <w:rsid w:val="78FC1C7D"/>
    <w:rsid w:val="79030AC7"/>
    <w:rsid w:val="79064489"/>
    <w:rsid w:val="790F7B0F"/>
    <w:rsid w:val="792342E1"/>
    <w:rsid w:val="79345C48"/>
    <w:rsid w:val="79397A68"/>
    <w:rsid w:val="793B0EBA"/>
    <w:rsid w:val="793D41C6"/>
    <w:rsid w:val="79461E80"/>
    <w:rsid w:val="794830FC"/>
    <w:rsid w:val="794911EE"/>
    <w:rsid w:val="794C7D62"/>
    <w:rsid w:val="7955517B"/>
    <w:rsid w:val="795B4074"/>
    <w:rsid w:val="795D589E"/>
    <w:rsid w:val="7969162A"/>
    <w:rsid w:val="796B7EC1"/>
    <w:rsid w:val="79731BBD"/>
    <w:rsid w:val="797A501F"/>
    <w:rsid w:val="79862FD1"/>
    <w:rsid w:val="798C1F40"/>
    <w:rsid w:val="79906DC6"/>
    <w:rsid w:val="7990759F"/>
    <w:rsid w:val="799103F4"/>
    <w:rsid w:val="79975C89"/>
    <w:rsid w:val="799775D5"/>
    <w:rsid w:val="799A7424"/>
    <w:rsid w:val="799D779C"/>
    <w:rsid w:val="799F64AA"/>
    <w:rsid w:val="79A350B9"/>
    <w:rsid w:val="79A366A0"/>
    <w:rsid w:val="79AA6F8A"/>
    <w:rsid w:val="79AD2BAC"/>
    <w:rsid w:val="79B07487"/>
    <w:rsid w:val="79B13AE6"/>
    <w:rsid w:val="79B223B1"/>
    <w:rsid w:val="79C4261B"/>
    <w:rsid w:val="79C536BE"/>
    <w:rsid w:val="79C642D6"/>
    <w:rsid w:val="79C85C52"/>
    <w:rsid w:val="79D30A0F"/>
    <w:rsid w:val="79D73A2C"/>
    <w:rsid w:val="79EA4DE8"/>
    <w:rsid w:val="79F62828"/>
    <w:rsid w:val="79FE6524"/>
    <w:rsid w:val="7A107688"/>
    <w:rsid w:val="7A1D4A06"/>
    <w:rsid w:val="7A1F11EF"/>
    <w:rsid w:val="7A1F732C"/>
    <w:rsid w:val="7A201BB0"/>
    <w:rsid w:val="7A2231AD"/>
    <w:rsid w:val="7A28209A"/>
    <w:rsid w:val="7A2C2D22"/>
    <w:rsid w:val="7A2D70D2"/>
    <w:rsid w:val="7A356A48"/>
    <w:rsid w:val="7A364B99"/>
    <w:rsid w:val="7A3737A0"/>
    <w:rsid w:val="7A392094"/>
    <w:rsid w:val="7A3D7DFA"/>
    <w:rsid w:val="7A415C40"/>
    <w:rsid w:val="7A4B626B"/>
    <w:rsid w:val="7A4E4456"/>
    <w:rsid w:val="7A4F09FB"/>
    <w:rsid w:val="7A5377EA"/>
    <w:rsid w:val="7A5670C2"/>
    <w:rsid w:val="7A5C1DBA"/>
    <w:rsid w:val="7A5E1639"/>
    <w:rsid w:val="7A661144"/>
    <w:rsid w:val="7A6B4231"/>
    <w:rsid w:val="7A6B45F1"/>
    <w:rsid w:val="7A6E2271"/>
    <w:rsid w:val="7A6E5AE3"/>
    <w:rsid w:val="7A7031E0"/>
    <w:rsid w:val="7A757B08"/>
    <w:rsid w:val="7A794392"/>
    <w:rsid w:val="7A815FE3"/>
    <w:rsid w:val="7A8D66EA"/>
    <w:rsid w:val="7A945688"/>
    <w:rsid w:val="7A9871E7"/>
    <w:rsid w:val="7AA31C03"/>
    <w:rsid w:val="7AA76AF5"/>
    <w:rsid w:val="7AA9023F"/>
    <w:rsid w:val="7AAD4360"/>
    <w:rsid w:val="7AB8352A"/>
    <w:rsid w:val="7AB91F80"/>
    <w:rsid w:val="7AB94028"/>
    <w:rsid w:val="7ABFE3E1"/>
    <w:rsid w:val="7AC56C31"/>
    <w:rsid w:val="7AC64467"/>
    <w:rsid w:val="7ACF724E"/>
    <w:rsid w:val="7AD3299A"/>
    <w:rsid w:val="7AE11348"/>
    <w:rsid w:val="7AEB3553"/>
    <w:rsid w:val="7AF97088"/>
    <w:rsid w:val="7AFB3D8A"/>
    <w:rsid w:val="7B013215"/>
    <w:rsid w:val="7B0A7BF5"/>
    <w:rsid w:val="7B0C169D"/>
    <w:rsid w:val="7B0F5208"/>
    <w:rsid w:val="7B161700"/>
    <w:rsid w:val="7B1813CA"/>
    <w:rsid w:val="7B1E74DC"/>
    <w:rsid w:val="7B22521E"/>
    <w:rsid w:val="7B370D3E"/>
    <w:rsid w:val="7B386974"/>
    <w:rsid w:val="7B4112AA"/>
    <w:rsid w:val="7B441EFB"/>
    <w:rsid w:val="7B446B8A"/>
    <w:rsid w:val="7B472B1A"/>
    <w:rsid w:val="7B481E4A"/>
    <w:rsid w:val="7B4B21D5"/>
    <w:rsid w:val="7B5214CD"/>
    <w:rsid w:val="7B652ED7"/>
    <w:rsid w:val="7B65630D"/>
    <w:rsid w:val="7B6E6BF6"/>
    <w:rsid w:val="7B82530E"/>
    <w:rsid w:val="7B877FF7"/>
    <w:rsid w:val="7B917D7C"/>
    <w:rsid w:val="7B9E16DC"/>
    <w:rsid w:val="7BA113EE"/>
    <w:rsid w:val="7BA8782B"/>
    <w:rsid w:val="7BAB2A05"/>
    <w:rsid w:val="7BB477F8"/>
    <w:rsid w:val="7BB8474B"/>
    <w:rsid w:val="7BC01667"/>
    <w:rsid w:val="7BC540A0"/>
    <w:rsid w:val="7BCC6E18"/>
    <w:rsid w:val="7BDA2262"/>
    <w:rsid w:val="7BDE4CBB"/>
    <w:rsid w:val="7BE553B5"/>
    <w:rsid w:val="7BF2693A"/>
    <w:rsid w:val="7BF457F2"/>
    <w:rsid w:val="7BFE4639"/>
    <w:rsid w:val="7BFF0AD5"/>
    <w:rsid w:val="7C08668B"/>
    <w:rsid w:val="7C0879AA"/>
    <w:rsid w:val="7C0A0EEA"/>
    <w:rsid w:val="7C116E6E"/>
    <w:rsid w:val="7C1C0D94"/>
    <w:rsid w:val="7C204339"/>
    <w:rsid w:val="7C205BA9"/>
    <w:rsid w:val="7C2401A3"/>
    <w:rsid w:val="7C2A6B62"/>
    <w:rsid w:val="7C387480"/>
    <w:rsid w:val="7C4C069B"/>
    <w:rsid w:val="7C4F5F41"/>
    <w:rsid w:val="7C553D5E"/>
    <w:rsid w:val="7C562027"/>
    <w:rsid w:val="7C5F07D9"/>
    <w:rsid w:val="7C67163B"/>
    <w:rsid w:val="7C6D7B9D"/>
    <w:rsid w:val="7C7654CD"/>
    <w:rsid w:val="7C7C270C"/>
    <w:rsid w:val="7C9022C9"/>
    <w:rsid w:val="7CA1683B"/>
    <w:rsid w:val="7CA33231"/>
    <w:rsid w:val="7CAF28C1"/>
    <w:rsid w:val="7CB32CB2"/>
    <w:rsid w:val="7CB54029"/>
    <w:rsid w:val="7CB54F81"/>
    <w:rsid w:val="7CB745AF"/>
    <w:rsid w:val="7CBA79FB"/>
    <w:rsid w:val="7CC46029"/>
    <w:rsid w:val="7CDE70EE"/>
    <w:rsid w:val="7CE256F4"/>
    <w:rsid w:val="7CE92383"/>
    <w:rsid w:val="7CED2332"/>
    <w:rsid w:val="7CED61C1"/>
    <w:rsid w:val="7CEE584C"/>
    <w:rsid w:val="7CEF597A"/>
    <w:rsid w:val="7CF003F2"/>
    <w:rsid w:val="7CF46D0F"/>
    <w:rsid w:val="7CFC1270"/>
    <w:rsid w:val="7D016190"/>
    <w:rsid w:val="7D0B4954"/>
    <w:rsid w:val="7D156103"/>
    <w:rsid w:val="7D1E5F80"/>
    <w:rsid w:val="7D262CD6"/>
    <w:rsid w:val="7D27742F"/>
    <w:rsid w:val="7D3021E2"/>
    <w:rsid w:val="7D312BF2"/>
    <w:rsid w:val="7D355089"/>
    <w:rsid w:val="7D371D3A"/>
    <w:rsid w:val="7D384F22"/>
    <w:rsid w:val="7D3C12A5"/>
    <w:rsid w:val="7D453FFD"/>
    <w:rsid w:val="7D4758E8"/>
    <w:rsid w:val="7D496A0D"/>
    <w:rsid w:val="7D4B192B"/>
    <w:rsid w:val="7D563422"/>
    <w:rsid w:val="7D6E225E"/>
    <w:rsid w:val="7D783FB3"/>
    <w:rsid w:val="7D7A14A7"/>
    <w:rsid w:val="7D7A3431"/>
    <w:rsid w:val="7D842AE0"/>
    <w:rsid w:val="7D8533E0"/>
    <w:rsid w:val="7D8C5E06"/>
    <w:rsid w:val="7D954FD0"/>
    <w:rsid w:val="7DA60003"/>
    <w:rsid w:val="7DA9139F"/>
    <w:rsid w:val="7DB474EB"/>
    <w:rsid w:val="7DB5372F"/>
    <w:rsid w:val="7DBA3C46"/>
    <w:rsid w:val="7DBE6A85"/>
    <w:rsid w:val="7DBF48A8"/>
    <w:rsid w:val="7DC82E91"/>
    <w:rsid w:val="7DCB47C0"/>
    <w:rsid w:val="7DCE5D8F"/>
    <w:rsid w:val="7DD25AE7"/>
    <w:rsid w:val="7DD33C86"/>
    <w:rsid w:val="7DD71796"/>
    <w:rsid w:val="7DDA2DCE"/>
    <w:rsid w:val="7DDD367E"/>
    <w:rsid w:val="7DE153EC"/>
    <w:rsid w:val="7DE26F9D"/>
    <w:rsid w:val="7DE9764D"/>
    <w:rsid w:val="7DED1BC5"/>
    <w:rsid w:val="7DEF2925"/>
    <w:rsid w:val="7DF44590"/>
    <w:rsid w:val="7DFB2FB6"/>
    <w:rsid w:val="7DFD10C4"/>
    <w:rsid w:val="7E003F06"/>
    <w:rsid w:val="7E031253"/>
    <w:rsid w:val="7E086FBC"/>
    <w:rsid w:val="7E0F5057"/>
    <w:rsid w:val="7E233C8C"/>
    <w:rsid w:val="7E241D7E"/>
    <w:rsid w:val="7E2B7272"/>
    <w:rsid w:val="7E2C4DC6"/>
    <w:rsid w:val="7E2F7F48"/>
    <w:rsid w:val="7E393402"/>
    <w:rsid w:val="7E3A0948"/>
    <w:rsid w:val="7E411F6B"/>
    <w:rsid w:val="7E490C0C"/>
    <w:rsid w:val="7E4C7D69"/>
    <w:rsid w:val="7E5936A2"/>
    <w:rsid w:val="7E6617EC"/>
    <w:rsid w:val="7E6E5A5C"/>
    <w:rsid w:val="7E7631AC"/>
    <w:rsid w:val="7E764ECC"/>
    <w:rsid w:val="7E7E111D"/>
    <w:rsid w:val="7E80415F"/>
    <w:rsid w:val="7E851BAC"/>
    <w:rsid w:val="7E856C36"/>
    <w:rsid w:val="7E8618FE"/>
    <w:rsid w:val="7E863929"/>
    <w:rsid w:val="7E8D00E0"/>
    <w:rsid w:val="7E8D08E2"/>
    <w:rsid w:val="7E8E2D5E"/>
    <w:rsid w:val="7E977CD1"/>
    <w:rsid w:val="7E987502"/>
    <w:rsid w:val="7E99748D"/>
    <w:rsid w:val="7E9E3306"/>
    <w:rsid w:val="7EA12395"/>
    <w:rsid w:val="7EA6135E"/>
    <w:rsid w:val="7EB46A66"/>
    <w:rsid w:val="7EC51A47"/>
    <w:rsid w:val="7EC52231"/>
    <w:rsid w:val="7ECB3684"/>
    <w:rsid w:val="7ECD2CFC"/>
    <w:rsid w:val="7ED65141"/>
    <w:rsid w:val="7EE101B2"/>
    <w:rsid w:val="7EF27E15"/>
    <w:rsid w:val="7EF869BD"/>
    <w:rsid w:val="7EFC595C"/>
    <w:rsid w:val="7EFF0E9A"/>
    <w:rsid w:val="7EFFF0D6"/>
    <w:rsid w:val="7F104164"/>
    <w:rsid w:val="7F2748A2"/>
    <w:rsid w:val="7F34110B"/>
    <w:rsid w:val="7F3B4990"/>
    <w:rsid w:val="7F4039F2"/>
    <w:rsid w:val="7F454EDB"/>
    <w:rsid w:val="7F480264"/>
    <w:rsid w:val="7F5B22AE"/>
    <w:rsid w:val="7F705EF9"/>
    <w:rsid w:val="7F771DDF"/>
    <w:rsid w:val="7F8074C4"/>
    <w:rsid w:val="7F816AA5"/>
    <w:rsid w:val="7F816E34"/>
    <w:rsid w:val="7F816E5B"/>
    <w:rsid w:val="7F855E40"/>
    <w:rsid w:val="7F8B0FD7"/>
    <w:rsid w:val="7F8D76A0"/>
    <w:rsid w:val="7F8F459F"/>
    <w:rsid w:val="7F931202"/>
    <w:rsid w:val="7F996E1C"/>
    <w:rsid w:val="7F9D2A86"/>
    <w:rsid w:val="7FB005E9"/>
    <w:rsid w:val="7FB45947"/>
    <w:rsid w:val="7FB7F9E9"/>
    <w:rsid w:val="7FB973D7"/>
    <w:rsid w:val="7FBA042D"/>
    <w:rsid w:val="7FBA5164"/>
    <w:rsid w:val="7FBB13FD"/>
    <w:rsid w:val="7FCD4FB6"/>
    <w:rsid w:val="7FDC3720"/>
    <w:rsid w:val="7FDD043D"/>
    <w:rsid w:val="7FDD3518"/>
    <w:rsid w:val="7FE02C7B"/>
    <w:rsid w:val="7FE126F2"/>
    <w:rsid w:val="7FE5590A"/>
    <w:rsid w:val="7FEA5482"/>
    <w:rsid w:val="7FEB2140"/>
    <w:rsid w:val="7FF10D25"/>
    <w:rsid w:val="7FF21366"/>
    <w:rsid w:val="7FF276F1"/>
    <w:rsid w:val="7FF55453"/>
    <w:rsid w:val="7FFB603E"/>
    <w:rsid w:val="AFB93071"/>
    <w:rsid w:val="B7DDBD7C"/>
    <w:rsid w:val="BF9E10E6"/>
    <w:rsid w:val="BFBB3998"/>
    <w:rsid w:val="DEF4240C"/>
    <w:rsid w:val="E3FF1233"/>
    <w:rsid w:val="EBB65317"/>
    <w:rsid w:val="F57DDE53"/>
    <w:rsid w:val="F71FA00B"/>
    <w:rsid w:val="F7DCB355"/>
    <w:rsid w:val="F97B8042"/>
    <w:rsid w:val="FB6832E4"/>
    <w:rsid w:val="FBE25F2C"/>
    <w:rsid w:val="FD7DAAAB"/>
    <w:rsid w:val="FDCF8915"/>
    <w:rsid w:val="FEDE478C"/>
    <w:rsid w:val="FF67A5D1"/>
    <w:rsid w:val="FFBB768D"/>
    <w:rsid w:val="FFF3A64C"/>
    <w:rsid w:val="FFFB6B3D"/>
    <w:rsid w:val="FFFFE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33"/>
    <w:autoRedefine/>
    <w:qFormat/>
    <w:uiPriority w:val="0"/>
    <w:pPr>
      <w:keepNext/>
      <w:keepLines/>
      <w:spacing w:before="260" w:after="260" w:line="416" w:lineRule="auto"/>
      <w:jc w:val="center"/>
      <w:outlineLvl w:val="1"/>
    </w:pPr>
    <w:rPr>
      <w:rFonts w:ascii="Arial" w:hAnsi="Arial" w:eastAsia="幼圆" w:cs="Times New Roman"/>
      <w:b/>
      <w:bCs/>
      <w:kern w:val="0"/>
      <w:sz w:val="44"/>
      <w:szCs w:val="44"/>
    </w:rPr>
  </w:style>
  <w:style w:type="paragraph" w:styleId="5">
    <w:name w:val="heading 3"/>
    <w:basedOn w:val="1"/>
    <w:next w:val="1"/>
    <w:autoRedefine/>
    <w:qFormat/>
    <w:uiPriority w:val="0"/>
    <w:pPr>
      <w:spacing w:beforeLines="150" w:afterLines="150"/>
      <w:ind w:right="238"/>
      <w:outlineLvl w:val="2"/>
    </w:pPr>
    <w:rPr>
      <w:rFonts w:ascii="宋体" w:hAnsi="Times New Roman" w:eastAsia="宋体" w:cs="Times New Roman"/>
      <w:b/>
      <w:bCs/>
      <w:color w:val="000000"/>
      <w:spacing w:val="40"/>
      <w:sz w:val="24"/>
      <w:szCs w:val="32"/>
      <w:lang w:val="en-US" w:eastAsia="zh-CN" w:bidi="ar-SA"/>
    </w:rPr>
  </w:style>
  <w:style w:type="paragraph" w:styleId="6">
    <w:name w:val="heading 4"/>
    <w:basedOn w:val="1"/>
    <w:next w:val="1"/>
    <w:autoRedefine/>
    <w:qFormat/>
    <w:uiPriority w:val="0"/>
    <w:pPr>
      <w:spacing w:beforeLines="150" w:afterLines="150"/>
      <w:outlineLvl w:val="3"/>
    </w:pPr>
    <w:rPr>
      <w:rFonts w:ascii="宋体" w:hAnsi="宋体"/>
      <w:color w:val="000000"/>
      <w:sz w:val="24"/>
      <w:szCs w:val="28"/>
      <w:u w:val="single"/>
      <w:lang w:val="en-US" w:eastAsia="zh-CN" w:bidi="ar-SA"/>
    </w:rPr>
  </w:style>
  <w:style w:type="character" w:default="1" w:styleId="29">
    <w:name w:val="Default Paragraph Font"/>
    <w:autoRedefine/>
    <w:qFormat/>
    <w:uiPriority w:val="0"/>
    <w:rPr>
      <w:rFonts w:ascii="Times New Roman" w:hAnsi="Times New Roman" w:eastAsia="宋体" w:cs="Times New Roman"/>
    </w:rPr>
  </w:style>
  <w:style w:type="table" w:default="1" w:styleId="27">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link w:val="35"/>
    <w:autoRedefine/>
    <w:qFormat/>
    <w:uiPriority w:val="0"/>
    <w:pPr>
      <w:ind w:firstLine="420"/>
    </w:pPr>
    <w:rPr>
      <w:rFonts w:ascii="Times New Roman" w:hAnsi="Times New Roman" w:eastAsia="宋体" w:cs="Times New Roman"/>
      <w:kern w:val="0"/>
      <w:sz w:val="20"/>
      <w:szCs w:val="21"/>
    </w:rPr>
  </w:style>
  <w:style w:type="paragraph" w:styleId="7">
    <w:name w:val="table of authorities"/>
    <w:basedOn w:val="1"/>
    <w:next w:val="1"/>
    <w:autoRedefine/>
    <w:qFormat/>
    <w:uiPriority w:val="0"/>
    <w:pPr>
      <w:ind w:left="420" w:leftChars="200"/>
    </w:pPr>
    <w:rPr>
      <w:rFonts w:ascii="Times New Roman" w:hAnsi="Times New Roman" w:eastAsia="宋体" w:cs="Times New Roman"/>
    </w:rPr>
  </w:style>
  <w:style w:type="paragraph" w:styleId="8">
    <w:name w:val="annotation text"/>
    <w:basedOn w:val="1"/>
    <w:link w:val="36"/>
    <w:autoRedefine/>
    <w:qFormat/>
    <w:uiPriority w:val="0"/>
    <w:pPr>
      <w:jc w:val="left"/>
    </w:pPr>
    <w:rPr>
      <w:rFonts w:ascii="Times New Roman" w:hAnsi="Times New Roman" w:eastAsia="宋体" w:cs="Times New Roman"/>
    </w:rPr>
  </w:style>
  <w:style w:type="paragraph" w:styleId="9">
    <w:name w:val="Body Text"/>
    <w:basedOn w:val="1"/>
    <w:autoRedefine/>
    <w:qFormat/>
    <w:uiPriority w:val="0"/>
    <w:rPr>
      <w:rFonts w:ascii="楷体_GB2312" w:hAnsi="Arial" w:eastAsia="楷体_GB2312" w:cs="Times New Roman"/>
      <w:kern w:val="0"/>
      <w:sz w:val="28"/>
      <w:szCs w:val="28"/>
    </w:rPr>
  </w:style>
  <w:style w:type="paragraph" w:styleId="10">
    <w:name w:val="Body Text Indent"/>
    <w:basedOn w:val="1"/>
    <w:next w:val="1"/>
    <w:link w:val="37"/>
    <w:autoRedefine/>
    <w:qFormat/>
    <w:uiPriority w:val="0"/>
    <w:pPr>
      <w:spacing w:line="400" w:lineRule="exact"/>
      <w:ind w:firstLine="540" w:firstLineChars="225"/>
    </w:pPr>
    <w:rPr>
      <w:rFonts w:ascii="Times New Roman" w:hAnsi="Times New Roman" w:eastAsia="宋体" w:cs="Times New Roman"/>
      <w:sz w:val="24"/>
    </w:rPr>
  </w:style>
  <w:style w:type="paragraph" w:styleId="11">
    <w:name w:val="index 4"/>
    <w:basedOn w:val="1"/>
    <w:next w:val="1"/>
    <w:autoRedefine/>
    <w:qFormat/>
    <w:uiPriority w:val="0"/>
    <w:pPr>
      <w:ind w:left="1260"/>
    </w:pPr>
    <w:rPr>
      <w:rFonts w:ascii="Times New Roman" w:hAnsi="Times New Roman" w:eastAsia="宋体" w:cs="Times New Roman"/>
    </w:rPr>
  </w:style>
  <w:style w:type="paragraph" w:styleId="12">
    <w:name w:val="Plain Text"/>
    <w:basedOn w:val="1"/>
    <w:link w:val="38"/>
    <w:autoRedefine/>
    <w:qFormat/>
    <w:uiPriority w:val="0"/>
    <w:rPr>
      <w:rFonts w:ascii="宋体" w:hAnsi="Courier New" w:eastAsia="宋体" w:cs="Times New Roman"/>
      <w:kern w:val="0"/>
      <w:sz w:val="20"/>
      <w:szCs w:val="21"/>
    </w:rPr>
  </w:style>
  <w:style w:type="paragraph" w:styleId="13">
    <w:name w:val="Date"/>
    <w:basedOn w:val="1"/>
    <w:next w:val="1"/>
    <w:link w:val="39"/>
    <w:autoRedefine/>
    <w:qFormat/>
    <w:uiPriority w:val="0"/>
    <w:rPr>
      <w:rFonts w:ascii="Times New Roman" w:hAnsi="Times New Roman" w:eastAsia="宋体" w:cs="Times New Roman"/>
      <w:kern w:val="0"/>
      <w:sz w:val="24"/>
      <w:szCs w:val="20"/>
    </w:rPr>
  </w:style>
  <w:style w:type="paragraph" w:styleId="14">
    <w:name w:val="Body Text Indent 2"/>
    <w:basedOn w:val="1"/>
    <w:autoRedefine/>
    <w:qFormat/>
    <w:uiPriority w:val="0"/>
    <w:pPr>
      <w:spacing w:line="520" w:lineRule="exact"/>
      <w:ind w:firstLine="510"/>
    </w:pPr>
    <w:rPr>
      <w:rFonts w:ascii="华文仿宋" w:hAnsi="Times New Roman" w:eastAsia="华文仿宋" w:cs="Times New Roman"/>
      <w:sz w:val="28"/>
    </w:rPr>
  </w:style>
  <w:style w:type="paragraph" w:styleId="15">
    <w:name w:val="Balloon Text"/>
    <w:basedOn w:val="1"/>
    <w:link w:val="40"/>
    <w:autoRedefine/>
    <w:qFormat/>
    <w:uiPriority w:val="0"/>
    <w:rPr>
      <w:rFonts w:ascii="Times New Roman" w:hAnsi="Times New Roman" w:eastAsia="宋体" w:cs="Times New Roman"/>
      <w:kern w:val="0"/>
      <w:sz w:val="18"/>
      <w:szCs w:val="18"/>
    </w:rPr>
  </w:style>
  <w:style w:type="paragraph" w:styleId="16">
    <w:name w:val="footer"/>
    <w:basedOn w:val="1"/>
    <w:link w:val="41"/>
    <w:autoRedefine/>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7">
    <w:name w:val="envelope return"/>
    <w:basedOn w:val="1"/>
    <w:autoRedefine/>
    <w:qFormat/>
    <w:uiPriority w:val="0"/>
    <w:pPr>
      <w:snapToGrid w:val="0"/>
    </w:pPr>
    <w:rPr>
      <w:rFonts w:ascii="Arial" w:hAnsi="Arial" w:eastAsia="宋体" w:cs="Times New Roman"/>
    </w:rPr>
  </w:style>
  <w:style w:type="paragraph" w:styleId="18">
    <w:name w:val="header"/>
    <w:basedOn w:val="1"/>
    <w:link w:val="42"/>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9">
    <w:name w:val="toc 1"/>
    <w:basedOn w:val="1"/>
    <w:next w:val="1"/>
    <w:autoRedefine/>
    <w:qFormat/>
    <w:uiPriority w:val="0"/>
    <w:rPr>
      <w:rFonts w:ascii="Times New Roman" w:hAnsi="Times New Roman" w:eastAsia="宋体" w:cs="Times New Roman"/>
    </w:rPr>
  </w:style>
  <w:style w:type="paragraph" w:styleId="20">
    <w:name w:val="toc 2"/>
    <w:basedOn w:val="1"/>
    <w:next w:val="1"/>
    <w:autoRedefine/>
    <w:qFormat/>
    <w:uiPriority w:val="0"/>
    <w:pPr>
      <w:ind w:left="420" w:leftChars="200"/>
    </w:pPr>
    <w:rPr>
      <w:rFonts w:ascii="Times New Roman" w:hAnsi="Times New Roman" w:eastAsia="宋体" w:cs="Times New Roman"/>
    </w:rPr>
  </w:style>
  <w:style w:type="paragraph" w:styleId="21">
    <w:name w:val="toc 9"/>
    <w:basedOn w:val="1"/>
    <w:next w:val="1"/>
    <w:autoRedefine/>
    <w:qFormat/>
    <w:uiPriority w:val="0"/>
    <w:pPr>
      <w:ind w:left="3360" w:leftChars="1600"/>
    </w:pPr>
    <w:rPr>
      <w:rFonts w:ascii="Calibri" w:hAnsi="Calibri"/>
    </w:rPr>
  </w:style>
  <w:style w:type="paragraph" w:styleId="22">
    <w:name w:val="Body Text 2"/>
    <w:basedOn w:val="1"/>
    <w:autoRedefine/>
    <w:qFormat/>
    <w:uiPriority w:val="0"/>
    <w:pPr>
      <w:spacing w:after="120" w:line="480" w:lineRule="auto"/>
    </w:pPr>
  </w:style>
  <w:style w:type="paragraph" w:styleId="23">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24">
    <w:name w:val="Title"/>
    <w:basedOn w:val="1"/>
    <w:next w:val="1"/>
    <w:autoRedefine/>
    <w:qFormat/>
    <w:uiPriority w:val="10"/>
    <w:pPr>
      <w:spacing w:before="300" w:after="200"/>
      <w:contextualSpacing/>
    </w:pPr>
    <w:rPr>
      <w:sz w:val="48"/>
      <w:szCs w:val="48"/>
    </w:rPr>
  </w:style>
  <w:style w:type="paragraph" w:styleId="25">
    <w:name w:val="annotation subject"/>
    <w:basedOn w:val="8"/>
    <w:next w:val="8"/>
    <w:link w:val="43"/>
    <w:autoRedefine/>
    <w:qFormat/>
    <w:uiPriority w:val="0"/>
    <w:rPr>
      <w:rFonts w:ascii="Times New Roman" w:hAnsi="Times New Roman" w:eastAsia="宋体" w:cs="Times New Roman"/>
      <w:b/>
      <w:bCs/>
    </w:rPr>
  </w:style>
  <w:style w:type="paragraph" w:styleId="26">
    <w:name w:val="Body Text First Indent 2"/>
    <w:basedOn w:val="10"/>
    <w:next w:val="1"/>
    <w:autoRedefine/>
    <w:qFormat/>
    <w:uiPriority w:val="0"/>
    <w:pPr>
      <w:ind w:firstLine="420"/>
    </w:pPr>
  </w:style>
  <w:style w:type="table" w:styleId="28">
    <w:name w:val="Table Grid"/>
    <w:basedOn w:val="2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rPr>
      <w:rFonts w:ascii="Times New Roman" w:hAnsi="Times New Roman" w:eastAsia="宋体" w:cs="Times New Roman"/>
    </w:rPr>
  </w:style>
  <w:style w:type="character" w:styleId="31">
    <w:name w:val="Hyperlink"/>
    <w:autoRedefine/>
    <w:qFormat/>
    <w:uiPriority w:val="0"/>
    <w:rPr>
      <w:rFonts w:ascii="Times New Roman" w:hAnsi="Times New Roman" w:eastAsia="宋体" w:cs="Times New Roman"/>
      <w:color w:val="0000FF"/>
      <w:u w:val="single"/>
    </w:rPr>
  </w:style>
  <w:style w:type="character" w:styleId="32">
    <w:name w:val="annotation reference"/>
    <w:autoRedefine/>
    <w:qFormat/>
    <w:uiPriority w:val="0"/>
    <w:rPr>
      <w:rFonts w:ascii="Times New Roman" w:hAnsi="Times New Roman" w:eastAsia="宋体" w:cs="Times New Roman"/>
      <w:sz w:val="21"/>
      <w:szCs w:val="21"/>
    </w:rPr>
  </w:style>
  <w:style w:type="character" w:customStyle="1" w:styleId="33">
    <w:name w:val="标题 2 Char"/>
    <w:link w:val="3"/>
    <w:autoRedefine/>
    <w:qFormat/>
    <w:uiPriority w:val="0"/>
    <w:rPr>
      <w:rFonts w:ascii="Arial" w:hAnsi="Arial" w:eastAsia="幼圆" w:cs="Times New Roman"/>
      <w:b/>
      <w:bCs/>
      <w:sz w:val="44"/>
      <w:szCs w:val="44"/>
    </w:rPr>
  </w:style>
  <w:style w:type="character" w:customStyle="1" w:styleId="34">
    <w:name w:val="标题 1 Char"/>
    <w:link w:val="2"/>
    <w:autoRedefine/>
    <w:qFormat/>
    <w:uiPriority w:val="0"/>
    <w:rPr>
      <w:rFonts w:ascii="Times New Roman" w:hAnsi="Times New Roman" w:eastAsia="宋体" w:cs="Times New Roman"/>
      <w:b/>
      <w:bCs/>
      <w:kern w:val="44"/>
      <w:sz w:val="44"/>
      <w:szCs w:val="44"/>
    </w:rPr>
  </w:style>
  <w:style w:type="character" w:customStyle="1" w:styleId="35">
    <w:name w:val="正文缩进 Char"/>
    <w:link w:val="4"/>
    <w:autoRedefine/>
    <w:qFormat/>
    <w:uiPriority w:val="0"/>
    <w:rPr>
      <w:rFonts w:ascii="Times New Roman" w:hAnsi="Times New Roman" w:eastAsia="宋体" w:cs="Times New Roman"/>
      <w:szCs w:val="21"/>
    </w:rPr>
  </w:style>
  <w:style w:type="character" w:customStyle="1" w:styleId="36">
    <w:name w:val="批注文字 Char"/>
    <w:link w:val="8"/>
    <w:autoRedefine/>
    <w:qFormat/>
    <w:uiPriority w:val="0"/>
    <w:rPr>
      <w:rFonts w:ascii="Times New Roman" w:hAnsi="Times New Roman" w:eastAsia="宋体" w:cs="Times New Roman"/>
      <w:kern w:val="2"/>
      <w:sz w:val="21"/>
      <w:szCs w:val="22"/>
    </w:rPr>
  </w:style>
  <w:style w:type="character" w:customStyle="1" w:styleId="37">
    <w:name w:val="正文文本缩进 Char"/>
    <w:link w:val="10"/>
    <w:autoRedefine/>
    <w:qFormat/>
    <w:uiPriority w:val="0"/>
    <w:rPr>
      <w:rFonts w:ascii="Times New Roman" w:hAnsi="Times New Roman" w:eastAsia="宋体" w:cs="Times New Roman"/>
      <w:kern w:val="2"/>
      <w:sz w:val="24"/>
      <w:szCs w:val="22"/>
    </w:rPr>
  </w:style>
  <w:style w:type="character" w:customStyle="1" w:styleId="38">
    <w:name w:val="纯文本 Char"/>
    <w:link w:val="12"/>
    <w:autoRedefine/>
    <w:qFormat/>
    <w:uiPriority w:val="0"/>
    <w:rPr>
      <w:rFonts w:ascii="宋体" w:hAnsi="Courier New" w:eastAsia="宋体" w:cs="Times New Roman"/>
      <w:szCs w:val="21"/>
    </w:rPr>
  </w:style>
  <w:style w:type="character" w:customStyle="1" w:styleId="39">
    <w:name w:val="日期 Char"/>
    <w:link w:val="13"/>
    <w:autoRedefine/>
    <w:qFormat/>
    <w:uiPriority w:val="0"/>
    <w:rPr>
      <w:rFonts w:ascii="Times New Roman" w:hAnsi="Times New Roman" w:eastAsia="宋体" w:cs="Times New Roman"/>
      <w:sz w:val="24"/>
      <w:szCs w:val="20"/>
    </w:rPr>
  </w:style>
  <w:style w:type="character" w:customStyle="1" w:styleId="40">
    <w:name w:val="批注框文本 Char"/>
    <w:link w:val="15"/>
    <w:autoRedefine/>
    <w:qFormat/>
    <w:uiPriority w:val="0"/>
    <w:rPr>
      <w:rFonts w:ascii="Times New Roman" w:hAnsi="Times New Roman" w:eastAsia="宋体" w:cs="Times New Roman"/>
      <w:sz w:val="18"/>
      <w:szCs w:val="18"/>
    </w:rPr>
  </w:style>
  <w:style w:type="character" w:customStyle="1" w:styleId="41">
    <w:name w:val="页脚 Char"/>
    <w:link w:val="16"/>
    <w:autoRedefine/>
    <w:qFormat/>
    <w:uiPriority w:val="0"/>
    <w:rPr>
      <w:rFonts w:ascii="Times New Roman" w:hAnsi="Times New Roman" w:eastAsia="宋体" w:cs="Times New Roman"/>
      <w:sz w:val="18"/>
      <w:szCs w:val="18"/>
    </w:rPr>
  </w:style>
  <w:style w:type="character" w:customStyle="1" w:styleId="42">
    <w:name w:val="页眉 Char"/>
    <w:link w:val="18"/>
    <w:autoRedefine/>
    <w:qFormat/>
    <w:uiPriority w:val="0"/>
    <w:rPr>
      <w:rFonts w:ascii="Times New Roman" w:hAnsi="Times New Roman" w:eastAsia="宋体" w:cs="Times New Roman"/>
      <w:sz w:val="18"/>
      <w:szCs w:val="18"/>
    </w:rPr>
  </w:style>
  <w:style w:type="character" w:customStyle="1" w:styleId="43">
    <w:name w:val="批注主题 Char"/>
    <w:link w:val="25"/>
    <w:autoRedefine/>
    <w:qFormat/>
    <w:uiPriority w:val="0"/>
    <w:rPr>
      <w:rFonts w:ascii="Times New Roman" w:hAnsi="Times New Roman" w:eastAsia="宋体" w:cs="Times New Roman"/>
    </w:rPr>
  </w:style>
  <w:style w:type="character" w:customStyle="1" w:styleId="44">
    <w:name w:val="纯文本 Char1"/>
    <w:autoRedefine/>
    <w:qFormat/>
    <w:uiPriority w:val="0"/>
    <w:rPr>
      <w:rFonts w:ascii="宋体" w:hAnsi="Courier New" w:eastAsia="宋体" w:cs="Times New Roman"/>
      <w:szCs w:val="21"/>
    </w:rPr>
  </w:style>
  <w:style w:type="character" w:customStyle="1" w:styleId="45">
    <w:name w:val="NormalCharacter"/>
    <w:autoRedefine/>
    <w:qFormat/>
    <w:uiPriority w:val="0"/>
  </w:style>
  <w:style w:type="character" w:customStyle="1" w:styleId="46">
    <w:name w:val="列出段落 Char"/>
    <w:link w:val="47"/>
    <w:autoRedefine/>
    <w:qFormat/>
    <w:uiPriority w:val="0"/>
    <w:rPr>
      <w:rFonts w:ascii="Calibri" w:hAnsi="Calibri" w:eastAsia="宋体" w:cs="Times New Roman"/>
      <w:kern w:val="0"/>
      <w:sz w:val="24"/>
      <w:szCs w:val="24"/>
      <w:lang w:eastAsia="en-US" w:bidi="en-US"/>
    </w:rPr>
  </w:style>
  <w:style w:type="paragraph" w:customStyle="1" w:styleId="47">
    <w:name w:val="列出段落1"/>
    <w:basedOn w:val="1"/>
    <w:link w:val="46"/>
    <w:autoRedefine/>
    <w:qFormat/>
    <w:uiPriority w:val="0"/>
    <w:pPr>
      <w:widowControl/>
      <w:ind w:left="720"/>
      <w:contextualSpacing/>
      <w:jc w:val="left"/>
    </w:pPr>
    <w:rPr>
      <w:rFonts w:ascii="Times New Roman" w:hAnsi="Times New Roman" w:eastAsia="宋体" w:cs="Times New Roman"/>
      <w:kern w:val="0"/>
      <w:sz w:val="24"/>
      <w:szCs w:val="24"/>
      <w:lang w:eastAsia="en-US" w:bidi="en-US"/>
    </w:rPr>
  </w:style>
  <w:style w:type="paragraph" w:customStyle="1" w:styleId="48">
    <w:name w:val="标题 31"/>
    <w:basedOn w:val="1"/>
    <w:next w:val="1"/>
    <w:autoRedefine/>
    <w:qFormat/>
    <w:uiPriority w:val="0"/>
    <w:pPr>
      <w:keepNext/>
      <w:keepLines/>
      <w:spacing w:before="260" w:after="260" w:line="416" w:lineRule="auto"/>
      <w:outlineLvl w:val="2"/>
    </w:pPr>
    <w:rPr>
      <w:b/>
      <w:bCs/>
      <w:sz w:val="32"/>
      <w:szCs w:val="32"/>
    </w:rPr>
  </w:style>
  <w:style w:type="paragraph" w:customStyle="1" w:styleId="49">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0">
    <w:name w:val="正文（缩进）"/>
    <w:basedOn w:val="1"/>
    <w:next w:val="51"/>
    <w:autoRedefine/>
    <w:qFormat/>
    <w:uiPriority w:val="0"/>
    <w:pPr>
      <w:autoSpaceDE w:val="0"/>
      <w:autoSpaceDN w:val="0"/>
      <w:adjustRightInd w:val="0"/>
      <w:spacing w:before="156" w:after="156"/>
      <w:ind w:firstLine="480" w:firstLineChars="200"/>
      <w:jc w:val="left"/>
    </w:pPr>
    <w:rPr>
      <w:rFonts w:ascii="Copperplate Gothic Bold" w:hAnsi="Copperplate Gothic Bold" w:eastAsia="宋体" w:cs="Times New Roman"/>
      <w:kern w:val="0"/>
      <w:sz w:val="28"/>
      <w:szCs w:val="28"/>
    </w:rPr>
  </w:style>
  <w:style w:type="paragraph" w:customStyle="1" w:styleId="51">
    <w:name w:val="Char Char Char Char Char Char Char Char Char"/>
    <w:basedOn w:val="1"/>
    <w:next w:val="52"/>
    <w:autoRedefine/>
    <w:qFormat/>
    <w:uiPriority w:val="0"/>
    <w:pPr>
      <w:widowControl w:val="0"/>
      <w:autoSpaceDE/>
      <w:autoSpaceDN/>
      <w:spacing w:before="0" w:after="0" w:line="240" w:lineRule="auto"/>
      <w:ind w:left="360" w:firstLine="5784"/>
      <w:jc w:val="both"/>
    </w:pPr>
  </w:style>
  <w:style w:type="paragraph" w:customStyle="1" w:styleId="52">
    <w:name w:val="正文文本 21"/>
    <w:basedOn w:val="1"/>
    <w:next w:val="53"/>
    <w:autoRedefine/>
    <w:qFormat/>
    <w:uiPriority w:val="0"/>
    <w:pPr>
      <w:widowControl/>
      <w:autoSpaceDE w:val="0"/>
      <w:autoSpaceDN w:val="0"/>
      <w:spacing w:before="0" w:after="0" w:line="240" w:lineRule="auto"/>
      <w:ind w:left="720" w:firstLine="5680"/>
      <w:jc w:val="both"/>
    </w:pPr>
  </w:style>
  <w:style w:type="paragraph" w:customStyle="1" w:styleId="53">
    <w:name w:val="默认段落字体 Para Char Char Char Char Char Char Char"/>
    <w:basedOn w:val="1"/>
    <w:next w:val="54"/>
    <w:autoRedefine/>
    <w:qFormat/>
    <w:uiPriority w:val="1723"/>
    <w:pPr>
      <w:ind w:firstLine="200" w:firstLineChars="200"/>
    </w:pPr>
    <w:rPr>
      <w:rFonts w:cs="Arial"/>
    </w:rPr>
  </w:style>
  <w:style w:type="paragraph" w:customStyle="1" w:styleId="54">
    <w:name w:val="样式 首行缩进:  2 字符"/>
    <w:basedOn w:val="1"/>
    <w:next w:val="55"/>
    <w:autoRedefine/>
    <w:qFormat/>
    <w:uiPriority w:val="0"/>
    <w:pPr>
      <w:widowControl w:val="0"/>
      <w:autoSpaceDE/>
      <w:autoSpaceDN/>
      <w:spacing w:before="0" w:after="0" w:line="360" w:lineRule="auto"/>
      <w:ind w:left="480" w:firstLine="5856"/>
      <w:jc w:val="both"/>
    </w:pPr>
  </w:style>
  <w:style w:type="paragraph" w:customStyle="1" w:styleId="55">
    <w:name w:val="样式 段后: 0.25 行"/>
    <w:basedOn w:val="1"/>
    <w:next w:val="56"/>
    <w:autoRedefine/>
    <w:qFormat/>
    <w:uiPriority w:val="0"/>
    <w:pPr>
      <w:widowControl/>
      <w:autoSpaceDE/>
      <w:autoSpaceDN/>
      <w:spacing w:before="0" w:after="0" w:line="300" w:lineRule="auto"/>
      <w:ind w:left="420" w:firstLine="5796"/>
    </w:pPr>
  </w:style>
  <w:style w:type="paragraph" w:customStyle="1" w:styleId="56">
    <w:name w:val="正文 New New New New New New New New New New New New New New"/>
    <w:next w:val="21"/>
    <w:autoRedefine/>
    <w:qFormat/>
    <w:uiPriority w:val="0"/>
    <w:pPr>
      <w:widowControl w:val="0"/>
      <w:ind w:firstLine="2048"/>
      <w:jc w:val="both"/>
    </w:pPr>
    <w:rPr>
      <w:rFonts w:ascii="Calibri" w:hAnsi="Calibri" w:eastAsia="宋体" w:cs="Times New Roman"/>
      <w:lang w:val="en-US" w:eastAsia="zh-CN" w:bidi="ar-SA"/>
    </w:rPr>
  </w:style>
  <w:style w:type="paragraph" w:customStyle="1" w:styleId="57">
    <w:name w:val="l正文"/>
    <w:basedOn w:val="1"/>
    <w:autoRedefine/>
    <w:qFormat/>
    <w:uiPriority w:val="0"/>
    <w:pPr>
      <w:spacing w:line="300" w:lineRule="auto"/>
      <w:ind w:firstLine="200" w:firstLineChars="200"/>
    </w:pPr>
    <w:rPr>
      <w:rFonts w:ascii="楷体_GB2312" w:hAnsi="Times" w:eastAsia="楷体_GB2312"/>
      <w:sz w:val="24"/>
      <w:szCs w:val="24"/>
    </w:rPr>
  </w:style>
  <w:style w:type="paragraph" w:customStyle="1" w:styleId="58">
    <w:name w:val="正文1"/>
    <w:basedOn w:val="1"/>
    <w:next w:val="1"/>
    <w:autoRedefine/>
    <w:qFormat/>
    <w:uiPriority w:val="0"/>
    <w:pPr>
      <w:autoSpaceDE/>
      <w:autoSpaceDN/>
      <w:adjustRightInd/>
      <w:spacing w:before="156" w:line="360" w:lineRule="auto"/>
      <w:ind w:firstLine="510" w:firstLineChars="200"/>
      <w:jc w:val="both"/>
    </w:pPr>
    <w:rPr>
      <w:rFonts w:ascii="Calibri" w:hAnsi="Calibri" w:eastAsia="Calibri" w:cs="宋体"/>
      <w:sz w:val="24"/>
      <w:szCs w:val="20"/>
      <w:lang w:val="zh-CN"/>
    </w:rPr>
  </w:style>
  <w:style w:type="paragraph" w:customStyle="1" w:styleId="59">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60">
    <w:name w:val="Table Paragraph"/>
    <w:basedOn w:val="1"/>
    <w:autoRedefine/>
    <w:qFormat/>
    <w:uiPriority w:val="0"/>
    <w:rPr>
      <w:rFonts w:ascii="宋体" w:hAnsi="宋体" w:eastAsia="宋体" w:cs="宋体"/>
      <w:lang w:val="zh-CN" w:eastAsia="zh-CN" w:bidi="zh-CN"/>
    </w:rPr>
  </w:style>
  <w:style w:type="paragraph" w:customStyle="1" w:styleId="6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62">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63">
    <w:name w:val="正文 1.1"/>
    <w:basedOn w:val="1"/>
    <w:next w:val="64"/>
    <w:autoRedefine/>
    <w:qFormat/>
    <w:uiPriority w:val="0"/>
    <w:pPr>
      <w:numPr>
        <w:ilvl w:val="1"/>
        <w:numId w:val="1"/>
      </w:numPr>
      <w:ind w:firstLine="550"/>
      <w:outlineLvl w:val="1"/>
    </w:pPr>
    <w:rPr>
      <w:rFonts w:ascii="仿宋" w:hAnsi="仿宋" w:eastAsia="宋体" w:cs="Times New Roman"/>
      <w:b/>
    </w:rPr>
  </w:style>
  <w:style w:type="paragraph" w:customStyle="1" w:styleId="64">
    <w:name w:val="正文 1.1.1"/>
    <w:basedOn w:val="1"/>
    <w:next w:val="1"/>
    <w:autoRedefine/>
    <w:qFormat/>
    <w:uiPriority w:val="0"/>
    <w:pPr>
      <w:numPr>
        <w:ilvl w:val="2"/>
        <w:numId w:val="1"/>
      </w:numPr>
      <w:outlineLvl w:val="2"/>
    </w:pPr>
    <w:rPr>
      <w:rFonts w:ascii="Times New Roman" w:hAnsi="宋体" w:eastAsia="宋体" w:cs="Times New Roman"/>
      <w:color w:val="FF0000"/>
    </w:rPr>
  </w:style>
  <w:style w:type="paragraph" w:customStyle="1" w:styleId="65">
    <w:name w:val="正文 A"/>
    <w:next w:val="49"/>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lang w:val="en-US" w:eastAsia="zh-CN" w:bidi="ar-SA"/>
    </w:rPr>
  </w:style>
  <w:style w:type="paragraph" w:styleId="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w:basedOn w:val="1"/>
    <w:autoRedefine/>
    <w:qFormat/>
    <w:uiPriority w:val="0"/>
    <w:pPr>
      <w:adjustRightInd w:val="0"/>
      <w:textAlignment w:val="baseline"/>
    </w:pPr>
    <w:rPr>
      <w:rFonts w:ascii="宋体" w:hAnsi="Courier New" w:eastAsia="楷体_GB2312" w:cs="Times New Roman"/>
      <w:sz w:val="28"/>
      <w:szCs w:val="20"/>
    </w:rPr>
  </w:style>
  <w:style w:type="paragraph" w:styleId="68">
    <w:name w:val="List Paragraph"/>
    <w:basedOn w:val="1"/>
    <w:autoRedefine/>
    <w:qFormat/>
    <w:uiPriority w:val="0"/>
    <w:pPr>
      <w:ind w:firstLine="420" w:firstLineChars="200"/>
    </w:pPr>
    <w:rPr>
      <w:rFonts w:ascii="Times New Roman" w:hAnsi="Times New Roman" w:eastAsia="楷体_GB2312" w:cs="Times New Roman"/>
      <w:sz w:val="26"/>
      <w:szCs w:val="20"/>
    </w:rPr>
  </w:style>
  <w:style w:type="paragraph" w:customStyle="1" w:styleId="69">
    <w:name w:val="Plain Text1"/>
    <w:basedOn w:val="1"/>
    <w:autoRedefine/>
    <w:qFormat/>
    <w:uiPriority w:val="0"/>
    <w:pPr>
      <w:adjustRightInd w:val="0"/>
      <w:textAlignment w:val="baseline"/>
    </w:pPr>
    <w:rPr>
      <w:rFonts w:ascii="宋体" w:hAnsi="Courier New" w:eastAsia="宋体" w:cs="Times New Roman"/>
    </w:rPr>
  </w:style>
  <w:style w:type="paragraph" w:customStyle="1" w:styleId="70">
    <w:name w:val="普通文字"/>
    <w:basedOn w:val="1"/>
    <w:next w:val="1"/>
    <w:autoRedefine/>
    <w:qFormat/>
    <w:uiPriority w:val="0"/>
    <w:rPr>
      <w:rFonts w:ascii="宋体" w:hAnsi="Times New Roman" w:eastAsia="宋体" w:cs="Times New Roman"/>
      <w:kern w:val="0"/>
      <w:sz w:val="24"/>
      <w:szCs w:val="20"/>
    </w:rPr>
  </w:style>
  <w:style w:type="paragraph" w:customStyle="1" w:styleId="71">
    <w:name w:val="Blockquote"/>
    <w:basedOn w:val="1"/>
    <w:autoRedefine/>
    <w:qFormat/>
    <w:uiPriority w:val="0"/>
    <w:pPr>
      <w:autoSpaceDE w:val="0"/>
      <w:autoSpaceDN w:val="0"/>
      <w:adjustRightInd w:val="0"/>
      <w:snapToGrid w:val="0"/>
      <w:spacing w:before="100" w:after="100"/>
      <w:ind w:left="360" w:right="360"/>
      <w:jc w:val="left"/>
    </w:pPr>
    <w:rPr>
      <w:rFonts w:ascii="Times New Roman" w:hAnsi="Times New Roman" w:eastAsia="宋体" w:cs="Times New Roman"/>
      <w:kern w:val="0"/>
      <w:sz w:val="24"/>
      <w:szCs w:val="21"/>
    </w:rPr>
  </w:style>
  <w:style w:type="paragraph" w:customStyle="1" w:styleId="72">
    <w:name w:val="_Style 69"/>
    <w:autoRedefine/>
    <w:qFormat/>
    <w:uiPriority w:val="0"/>
    <w:rPr>
      <w:rFonts w:ascii="Times New Roman" w:hAnsi="Times New Roman" w:eastAsia="宋体" w:cs="Times New Roman"/>
      <w:kern w:val="2"/>
      <w:sz w:val="21"/>
      <w:szCs w:val="22"/>
      <w:lang w:val="en-US" w:eastAsia="zh-CN" w:bidi="ar-SA"/>
    </w:rPr>
  </w:style>
  <w:style w:type="table" w:customStyle="1" w:styleId="73">
    <w:name w:val="网格型6"/>
    <w:basedOn w:val="2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font01"/>
    <w:basedOn w:val="29"/>
    <w:autoRedefine/>
    <w:qFormat/>
    <w:uiPriority w:val="0"/>
    <w:rPr>
      <w:rFonts w:hint="eastAsia" w:ascii="宋体" w:hAnsi="宋体" w:eastAsia="宋体" w:cs="宋体"/>
      <w:color w:val="000000"/>
      <w:sz w:val="20"/>
      <w:szCs w:val="20"/>
      <w:u w:val="none"/>
    </w:rPr>
  </w:style>
  <w:style w:type="paragraph" w:customStyle="1" w:styleId="75">
    <w:name w:val="正文_0"/>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首行缩进"/>
    <w:basedOn w:val="1"/>
    <w:autoRedefine/>
    <w:qFormat/>
    <w:uiPriority w:val="0"/>
    <w:pPr>
      <w:ind w:firstLine="480" w:firstLineChars="200"/>
    </w:pPr>
    <w:rPr>
      <w:rFonts w:ascii="Times New Roman" w:hAnsi="Times New Roman"/>
      <w:lang w:val="zh-CN"/>
    </w:rPr>
  </w:style>
  <w:style w:type="paragraph" w:customStyle="1" w:styleId="77">
    <w:name w:val="_Style 116"/>
    <w:autoRedefine/>
    <w:qFormat/>
    <w:uiPriority w:val="99"/>
    <w:rPr>
      <w:rFonts w:ascii="Times New Roman" w:hAnsi="Times New Roman" w:eastAsia="宋体" w:cs="Times New Roman"/>
      <w:sz w:val="24"/>
      <w:szCs w:val="22"/>
      <w:lang w:val="en-US" w:eastAsia="zh-CN" w:bidi="ar-SA"/>
    </w:rPr>
  </w:style>
  <w:style w:type="paragraph" w:customStyle="1" w:styleId="78">
    <w:name w:val="ListBullet2"/>
    <w:basedOn w:val="1"/>
    <w:autoRedefine/>
    <w:qFormat/>
    <w:uiPriority w:val="0"/>
    <w:pPr>
      <w:numPr>
        <w:ilvl w:val="0"/>
        <w:numId w:val="2"/>
      </w:numPr>
      <w:tabs>
        <w:tab w:val="decimal" w:pos="780"/>
      </w:tabs>
    </w:pPr>
  </w:style>
  <w:style w:type="paragraph" w:customStyle="1" w:styleId="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0">
    <w:name w:val="font31"/>
    <w:basedOn w:val="29"/>
    <w:autoRedefine/>
    <w:qFormat/>
    <w:uiPriority w:val="0"/>
    <w:rPr>
      <w:rFonts w:ascii="方正黑体_GBK" w:hAnsi="方正黑体_GBK" w:eastAsia="方正黑体_GBK" w:cs="方正黑体_GBK"/>
      <w:color w:val="000000"/>
      <w:sz w:val="28"/>
      <w:szCs w:val="28"/>
      <w:u w:val="none"/>
    </w:rPr>
  </w:style>
  <w:style w:type="character" w:customStyle="1" w:styleId="81">
    <w:name w:val="font41"/>
    <w:basedOn w:val="29"/>
    <w:autoRedefine/>
    <w:qFormat/>
    <w:uiPriority w:val="0"/>
    <w:rPr>
      <w:rFonts w:hint="eastAsia" w:ascii="宋体" w:hAnsi="宋体" w:eastAsia="宋体" w:cs="宋体"/>
      <w:color w:val="000000"/>
      <w:sz w:val="24"/>
      <w:szCs w:val="24"/>
      <w:u w:val="none"/>
    </w:rPr>
  </w:style>
  <w:style w:type="paragraph" w:customStyle="1" w:styleId="82">
    <w:name w:val="Default"/>
    <w:next w:val="83"/>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3">
    <w:name w:val="大标题"/>
    <w:basedOn w:val="24"/>
    <w:next w:val="26"/>
    <w:autoRedefine/>
    <w:qFormat/>
    <w:uiPriority w:val="0"/>
    <w:pPr>
      <w:adjustRightInd w:val="0"/>
      <w:spacing w:line="360" w:lineRule="auto"/>
      <w:ind w:firstLine="200" w:firstLineChars="200"/>
    </w:pPr>
    <w:rPr>
      <w:rFonts w:ascii="宋体" w:hAnsi="宋体"/>
      <w:kern w:val="0"/>
      <w:szCs w:val="20"/>
      <w:lang w:val="en-US" w:eastAsia="zh-CN"/>
    </w:rPr>
  </w:style>
  <w:style w:type="character" w:customStyle="1" w:styleId="84">
    <w:name w:val="font11"/>
    <w:basedOn w:val="29"/>
    <w:autoRedefine/>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3558</Words>
  <Characters>20281</Characters>
  <Lines>169</Lines>
  <Paragraphs>47</Paragraphs>
  <TotalTime>12</TotalTime>
  <ScaleCrop>false</ScaleCrop>
  <LinksUpToDate>false</LinksUpToDate>
  <CharactersWithSpaces>23792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2024-01-17T02:17:00Z</dcterms:created>
  <dc:creator>admin</dc:creator>
  <cp:lastModifiedBy>潼 </cp:lastModifiedBy>
  <cp:lastPrinted>2024-02-28T01:38:00Z</cp:lastPrinted>
  <dcterms:modified xsi:type="dcterms:W3CDTF">2024-03-07T08:33:36Z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6E5663A67A9549CCA2FD1F04D76CB990_13</vt:lpwstr>
  </property>
</Properties>
</file>