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674"/>
        <w:gridCol w:w="1001"/>
        <w:gridCol w:w="5496"/>
      </w:tblGrid>
      <w:tr w:rsidR="003C54D0" w:rsidRPr="004F17D0" w14:paraId="6F7DE1D7" w14:textId="77777777" w:rsidTr="00E41711">
        <w:trPr>
          <w:trHeight w:val="887"/>
          <w:jc w:val="center"/>
        </w:trPr>
        <w:tc>
          <w:tcPr>
            <w:tcW w:w="304" w:type="pct"/>
            <w:vAlign w:val="center"/>
          </w:tcPr>
          <w:p w14:paraId="3912224B" w14:textId="77777777" w:rsidR="003C54D0" w:rsidRPr="004F17D0" w:rsidRDefault="003C54D0" w:rsidP="00E41711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F17D0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2" w:type="pct"/>
            <w:vAlign w:val="center"/>
          </w:tcPr>
          <w:p w14:paraId="07BA7163" w14:textId="77777777" w:rsidR="003C54D0" w:rsidRPr="004F17D0" w:rsidRDefault="003C54D0" w:rsidP="00E41711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F17D0">
              <w:rPr>
                <w:rFonts w:ascii="宋体" w:hAnsi="宋体" w:cs="宋体" w:hint="eastAsia"/>
                <w:b/>
                <w:sz w:val="24"/>
                <w:szCs w:val="24"/>
              </w:rPr>
              <w:t xml:space="preserve">评分因素 </w:t>
            </w:r>
          </w:p>
        </w:tc>
        <w:tc>
          <w:tcPr>
            <w:tcW w:w="575" w:type="pct"/>
            <w:vAlign w:val="center"/>
          </w:tcPr>
          <w:p w14:paraId="169CAA26" w14:textId="77777777" w:rsidR="003C54D0" w:rsidRPr="004F17D0" w:rsidRDefault="003C54D0" w:rsidP="00E41711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F17D0">
              <w:rPr>
                <w:rFonts w:ascii="宋体" w:hAnsi="宋体" w:cs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3157" w:type="pct"/>
            <w:vAlign w:val="center"/>
          </w:tcPr>
          <w:p w14:paraId="13383CB7" w14:textId="77777777" w:rsidR="003C54D0" w:rsidRPr="004F17D0" w:rsidRDefault="003C54D0" w:rsidP="00E41711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F17D0">
              <w:rPr>
                <w:rFonts w:ascii="宋体" w:hAnsi="宋体" w:cs="宋体" w:hint="eastAsia"/>
                <w:b/>
                <w:sz w:val="24"/>
                <w:szCs w:val="24"/>
              </w:rPr>
              <w:t>评分标准</w:t>
            </w:r>
          </w:p>
        </w:tc>
      </w:tr>
      <w:tr w:rsidR="003C54D0" w:rsidRPr="004F17D0" w14:paraId="791C5AA7" w14:textId="77777777" w:rsidTr="00E41711">
        <w:trPr>
          <w:trHeight w:val="1167"/>
          <w:jc w:val="center"/>
        </w:trPr>
        <w:tc>
          <w:tcPr>
            <w:tcW w:w="304" w:type="pct"/>
            <w:vAlign w:val="center"/>
          </w:tcPr>
          <w:p w14:paraId="4B4DD922" w14:textId="77777777" w:rsidR="003C54D0" w:rsidRPr="004F17D0" w:rsidRDefault="003C54D0" w:rsidP="00E4171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962" w:type="pct"/>
            <w:vAlign w:val="center"/>
          </w:tcPr>
          <w:p w14:paraId="048FDA14" w14:textId="77777777" w:rsidR="003C54D0" w:rsidRPr="004F17D0" w:rsidRDefault="003C54D0" w:rsidP="00E4171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投标报价</w:t>
            </w:r>
          </w:p>
        </w:tc>
        <w:tc>
          <w:tcPr>
            <w:tcW w:w="575" w:type="pct"/>
            <w:vAlign w:val="center"/>
          </w:tcPr>
          <w:p w14:paraId="1DADD3E3" w14:textId="77777777" w:rsidR="003C54D0" w:rsidRPr="004F17D0" w:rsidRDefault="003C54D0" w:rsidP="00E4171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10分</w:t>
            </w:r>
          </w:p>
        </w:tc>
        <w:tc>
          <w:tcPr>
            <w:tcW w:w="3157" w:type="pct"/>
            <w:vAlign w:val="center"/>
          </w:tcPr>
          <w:p w14:paraId="30A65BCB" w14:textId="77777777" w:rsidR="003C54D0" w:rsidRPr="004F17D0" w:rsidRDefault="003C54D0" w:rsidP="00E41711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以满足</w:t>
            </w:r>
            <w:r>
              <w:rPr>
                <w:rFonts w:ascii="宋体" w:hAnsi="宋体" w:cs="宋体" w:hint="eastAsia"/>
                <w:sz w:val="21"/>
                <w:szCs w:val="21"/>
              </w:rPr>
              <w:t>谈判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文件要求的最终轮最低响应报价为评审基准价，得满分10分，其他响应报价得分=（评审基准价/其他响应报价）×10×100%，保留两位小数。</w:t>
            </w:r>
          </w:p>
        </w:tc>
      </w:tr>
      <w:tr w:rsidR="003C54D0" w:rsidRPr="004F17D0" w14:paraId="4874A084" w14:textId="77777777" w:rsidTr="00E41711">
        <w:trPr>
          <w:trHeight w:val="569"/>
          <w:jc w:val="center"/>
        </w:trPr>
        <w:tc>
          <w:tcPr>
            <w:tcW w:w="304" w:type="pct"/>
            <w:vAlign w:val="center"/>
          </w:tcPr>
          <w:p w14:paraId="4FCEA5B0" w14:textId="77777777" w:rsidR="003C54D0" w:rsidRPr="004F17D0" w:rsidRDefault="003C54D0" w:rsidP="00E4171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962" w:type="pct"/>
            <w:vAlign w:val="center"/>
          </w:tcPr>
          <w:p w14:paraId="45B735DE" w14:textId="77777777" w:rsidR="003C54D0" w:rsidRPr="004F17D0" w:rsidRDefault="003C54D0" w:rsidP="00E41711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服务部分</w:t>
            </w:r>
          </w:p>
        </w:tc>
        <w:tc>
          <w:tcPr>
            <w:tcW w:w="575" w:type="pct"/>
            <w:vAlign w:val="center"/>
          </w:tcPr>
          <w:p w14:paraId="209A52D4" w14:textId="77777777" w:rsidR="003C54D0" w:rsidRPr="004F17D0" w:rsidRDefault="003C54D0" w:rsidP="00E41711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46分</w:t>
            </w:r>
          </w:p>
        </w:tc>
        <w:tc>
          <w:tcPr>
            <w:tcW w:w="3157" w:type="pct"/>
            <w:vAlign w:val="center"/>
          </w:tcPr>
          <w:p w14:paraId="5B6845F0" w14:textId="77777777" w:rsidR="003C54D0" w:rsidRPr="004F17D0" w:rsidRDefault="003C54D0" w:rsidP="003C54D0">
            <w:pPr>
              <w:numPr>
                <w:ilvl w:val="0"/>
                <w:numId w:val="1"/>
              </w:numPr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对项目的理解和总体设计思路（1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分）。</w:t>
            </w:r>
          </w:p>
          <w:p w14:paraId="4A4FE77F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对本项目特点、重点、难点等理解理解深刻、总体设计思路清晰的，得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12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分；</w:t>
            </w:r>
          </w:p>
          <w:p w14:paraId="7670CEC5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对本项目功能、特点、重点、难点等理解基本正确、总体设计思路基本清晰的，得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9分</w:t>
            </w:r>
            <w:r>
              <w:rPr>
                <w:rFonts w:ascii="宋体" w:hAnsi="宋体" w:cs="宋体" w:hint="eastAsia"/>
                <w:sz w:val="21"/>
                <w:szCs w:val="21"/>
              </w:rPr>
              <w:t>；</w:t>
            </w:r>
          </w:p>
          <w:p w14:paraId="60B96163" w14:textId="77777777" w:rsidR="003C54D0" w:rsidRPr="004F17D0" w:rsidRDefault="003C54D0" w:rsidP="00E41711">
            <w:pPr>
              <w:rPr>
                <w:sz w:val="21"/>
                <w:szCs w:val="22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本项目特点、重点、难点等理解理解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较为普通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、总体设计思路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较为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清晰的，得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6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</w:t>
            </w:r>
            <w:r>
              <w:rPr>
                <w:rFonts w:ascii="宋体" w:hAnsi="宋体" w:cs="宋体" w:hint="eastAsia"/>
                <w:sz w:val="21"/>
                <w:szCs w:val="21"/>
                <w:lang w:val="zh-CN"/>
              </w:rPr>
              <w:t>；</w:t>
            </w:r>
          </w:p>
          <w:p w14:paraId="42D9FCB0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对本项目功能、特点、重点、难点等理解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不透彻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、总体设计思路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不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清晰的，得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</w:t>
            </w:r>
            <w:r>
              <w:rPr>
                <w:rFonts w:ascii="宋体" w:hAnsi="宋体" w:cs="宋体" w:hint="eastAsia"/>
                <w:sz w:val="21"/>
                <w:szCs w:val="21"/>
                <w:lang w:val="zh-CN"/>
              </w:rPr>
              <w:t>；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不提供不得分。</w:t>
            </w:r>
          </w:p>
          <w:p w14:paraId="3FBFD117" w14:textId="77777777" w:rsidR="003C54D0" w:rsidRPr="004F17D0" w:rsidRDefault="003C54D0" w:rsidP="003C54D0">
            <w:pPr>
              <w:numPr>
                <w:ilvl w:val="0"/>
                <w:numId w:val="1"/>
              </w:numPr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设计服务的质量保证措施、进度保证措施、安全保证措施（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12分）。</w:t>
            </w:r>
          </w:p>
          <w:p w14:paraId="3CC54170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方案措施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科学、严密、合理，描述详细且具有针对性的得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12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分；</w:t>
            </w:r>
          </w:p>
          <w:p w14:paraId="766C369B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基本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合理、严密、描述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基本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详细，不存在实施难度的得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9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分；</w:t>
            </w:r>
          </w:p>
          <w:p w14:paraId="3077DF1B" w14:textId="77777777" w:rsidR="003C54D0" w:rsidRPr="004F17D0" w:rsidRDefault="003C54D0" w:rsidP="00E41711">
            <w:pPr>
              <w:rPr>
                <w:sz w:val="21"/>
                <w:szCs w:val="22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较为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合理、严密、描述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较为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详细，不存在实施难度的得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6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</w:t>
            </w:r>
            <w:r>
              <w:rPr>
                <w:rFonts w:ascii="宋体" w:hAnsi="宋体" w:cs="宋体" w:hint="eastAsia"/>
                <w:sz w:val="21"/>
                <w:szCs w:val="21"/>
                <w:lang w:val="zh-CN"/>
              </w:rPr>
              <w:t>；</w:t>
            </w:r>
          </w:p>
          <w:p w14:paraId="01B6DFF6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具有不合理项、描述略欠缺、存在一定的实施难度得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分；不提供不得分。</w:t>
            </w:r>
          </w:p>
          <w:p w14:paraId="5FBA88FA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3、专业服务人员工作能力、经验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（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12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分）。</w:t>
            </w:r>
          </w:p>
          <w:p w14:paraId="1225C9E6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根据配备的服务团队基本情况，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包括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服务团队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人员专业配置（包含水工建筑物、机电设备、房建、市政、园林设专业等），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工作经验、学历等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进行评审(提供相关证明材料)</w:t>
            </w:r>
            <w:r>
              <w:rPr>
                <w:rFonts w:ascii="宋体" w:hAnsi="宋体" w:cs="宋体" w:hint="eastAsia"/>
                <w:sz w:val="21"/>
                <w:szCs w:val="21"/>
              </w:rPr>
              <w:t>。</w:t>
            </w:r>
          </w:p>
          <w:p w14:paraId="4EBF3653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服务团队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人员专业配置齐全，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工作经验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丰富，团队能力强得12分；</w:t>
            </w:r>
          </w:p>
          <w:p w14:paraId="1893E9B8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服务团队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人员专业配置较为普通，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工作经验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比较一般，团队能力比较一般得9分</w:t>
            </w:r>
            <w:r>
              <w:rPr>
                <w:rFonts w:ascii="宋体" w:hAnsi="宋体" w:cs="宋体" w:hint="eastAsia"/>
                <w:sz w:val="21"/>
                <w:szCs w:val="21"/>
              </w:rPr>
              <w:t>；</w:t>
            </w:r>
          </w:p>
          <w:p w14:paraId="7D79E9F8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服务团队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人员专业配置一般，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工作经验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一般，团队能力一般得6分；</w:t>
            </w:r>
          </w:p>
          <w:p w14:paraId="4911BCCA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服务团队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人员专业配置较差，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工作经验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较差，团队能力较弱得3分</w:t>
            </w:r>
            <w:r>
              <w:rPr>
                <w:rFonts w:ascii="宋体" w:hAnsi="宋体" w:cs="宋体" w:hint="eastAsia"/>
                <w:sz w:val="21"/>
                <w:szCs w:val="21"/>
              </w:rPr>
              <w:t>；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不提供不得分。</w:t>
            </w:r>
          </w:p>
          <w:p w14:paraId="48846839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4、后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续服务的安排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措施及承诺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（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10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分）。</w:t>
            </w:r>
          </w:p>
          <w:p w14:paraId="1A9F408E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措施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 xml:space="preserve">科学、严密、合理，描述详细且具有针对性的得 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10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分；</w:t>
            </w:r>
          </w:p>
          <w:p w14:paraId="6A7C4600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措施基本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合理、严密、描述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基本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详细，实施难度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合理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的得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8分</w:t>
            </w:r>
            <w:r>
              <w:rPr>
                <w:rFonts w:ascii="宋体" w:hAnsi="宋体" w:cs="宋体" w:hint="eastAsia"/>
                <w:sz w:val="21"/>
                <w:szCs w:val="21"/>
              </w:rPr>
              <w:t>；</w:t>
            </w:r>
          </w:p>
          <w:p w14:paraId="3C96539A" w14:textId="77777777" w:rsidR="003C54D0" w:rsidRPr="004F17D0" w:rsidRDefault="003C54D0" w:rsidP="00E41711">
            <w:pPr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措施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较合理、严密、描述较为详细，不存在实施难度的得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5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分；</w:t>
            </w:r>
          </w:p>
          <w:p w14:paraId="6E122078" w14:textId="77777777" w:rsidR="003C54D0" w:rsidRPr="004F17D0" w:rsidRDefault="003C54D0" w:rsidP="00E41711">
            <w:pPr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措施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具有不合理项、描述略欠缺、存在一定的实施难度得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lastRenderedPageBreak/>
              <w:t>3</w:t>
            </w:r>
            <w:r w:rsidRPr="004F17D0">
              <w:rPr>
                <w:rFonts w:ascii="宋体" w:hAnsi="宋体" w:cs="宋体" w:hint="eastAsia"/>
                <w:sz w:val="21"/>
                <w:szCs w:val="21"/>
                <w:lang w:val="zh-CN"/>
              </w:rPr>
              <w:t>分；不提供不得分。</w:t>
            </w:r>
          </w:p>
        </w:tc>
      </w:tr>
      <w:tr w:rsidR="003C54D0" w:rsidRPr="004F17D0" w14:paraId="3ED454C3" w14:textId="77777777" w:rsidTr="00E41711">
        <w:trPr>
          <w:trHeight w:val="4474"/>
          <w:jc w:val="center"/>
        </w:trPr>
        <w:tc>
          <w:tcPr>
            <w:tcW w:w="304" w:type="pct"/>
            <w:vAlign w:val="center"/>
          </w:tcPr>
          <w:p w14:paraId="3D3ECAC9" w14:textId="77777777" w:rsidR="003C54D0" w:rsidRPr="004F17D0" w:rsidRDefault="003C54D0" w:rsidP="00E41711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962" w:type="pct"/>
            <w:vAlign w:val="center"/>
          </w:tcPr>
          <w:p w14:paraId="2CF64AE6" w14:textId="77777777" w:rsidR="003C54D0" w:rsidRPr="004F17D0" w:rsidRDefault="003C54D0" w:rsidP="00E41711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商务部分</w:t>
            </w:r>
          </w:p>
        </w:tc>
        <w:tc>
          <w:tcPr>
            <w:tcW w:w="575" w:type="pct"/>
            <w:vAlign w:val="center"/>
          </w:tcPr>
          <w:p w14:paraId="7FA43723" w14:textId="77777777" w:rsidR="003C54D0" w:rsidRPr="004F17D0" w:rsidRDefault="003C54D0" w:rsidP="00E41711">
            <w:pPr>
              <w:widowControl/>
              <w:spacing w:line="300" w:lineRule="exact"/>
              <w:jc w:val="center"/>
              <w:outlineLvl w:val="2"/>
              <w:rPr>
                <w:rFonts w:ascii="宋体" w:hAnsi="宋体" w:cs="宋体"/>
                <w:sz w:val="21"/>
                <w:szCs w:val="21"/>
              </w:rPr>
            </w:pPr>
            <w:r w:rsidRPr="004F17D0">
              <w:rPr>
                <w:rFonts w:ascii="宋体" w:hAnsi="宋体" w:cs="宋体" w:hint="eastAsia"/>
                <w:sz w:val="21"/>
                <w:szCs w:val="21"/>
              </w:rPr>
              <w:t>44分</w:t>
            </w:r>
          </w:p>
        </w:tc>
        <w:tc>
          <w:tcPr>
            <w:tcW w:w="3157" w:type="pct"/>
            <w:vAlign w:val="center"/>
          </w:tcPr>
          <w:p w14:paraId="59E434E5" w14:textId="77777777" w:rsidR="003C54D0" w:rsidRPr="004F17D0" w:rsidRDefault="003C54D0" w:rsidP="003C54D0">
            <w:pPr>
              <w:numPr>
                <w:ilvl w:val="0"/>
                <w:numId w:val="2"/>
              </w:numPr>
              <w:rPr>
                <w:sz w:val="21"/>
                <w:szCs w:val="22"/>
              </w:rPr>
            </w:pPr>
            <w:r w:rsidRPr="004F17D0">
              <w:rPr>
                <w:rFonts w:hint="eastAsia"/>
                <w:sz w:val="21"/>
                <w:szCs w:val="22"/>
              </w:rPr>
              <w:t>项目负责人（</w:t>
            </w:r>
            <w:r w:rsidRPr="004F17D0">
              <w:rPr>
                <w:rFonts w:hint="eastAsia"/>
                <w:sz w:val="21"/>
                <w:szCs w:val="22"/>
              </w:rPr>
              <w:t>8</w:t>
            </w:r>
            <w:r w:rsidRPr="004F17D0">
              <w:rPr>
                <w:rFonts w:hint="eastAsia"/>
                <w:sz w:val="21"/>
                <w:szCs w:val="22"/>
              </w:rPr>
              <w:t>分）</w:t>
            </w:r>
          </w:p>
          <w:p w14:paraId="22CE26B6" w14:textId="77777777" w:rsidR="003C54D0" w:rsidRPr="004F17D0" w:rsidRDefault="003C54D0" w:rsidP="00E41711">
            <w:pPr>
              <w:rPr>
                <w:sz w:val="21"/>
                <w:szCs w:val="22"/>
              </w:rPr>
            </w:pPr>
            <w:r w:rsidRPr="004F17D0">
              <w:rPr>
                <w:rFonts w:hint="eastAsia"/>
                <w:sz w:val="21"/>
                <w:szCs w:val="22"/>
              </w:rPr>
              <w:t>项目负责人具有高级技术职称证书的得</w:t>
            </w:r>
            <w:r w:rsidRPr="004F17D0">
              <w:rPr>
                <w:rFonts w:hint="eastAsia"/>
                <w:sz w:val="21"/>
                <w:szCs w:val="22"/>
              </w:rPr>
              <w:t>4</w:t>
            </w:r>
            <w:r w:rsidRPr="004F17D0">
              <w:rPr>
                <w:rFonts w:hint="eastAsia"/>
                <w:sz w:val="21"/>
                <w:szCs w:val="22"/>
              </w:rPr>
              <w:t>分，具有注册咨询工程师（水利水电）资格证书的得</w:t>
            </w:r>
            <w:r w:rsidRPr="004F17D0">
              <w:rPr>
                <w:rFonts w:hint="eastAsia"/>
                <w:sz w:val="21"/>
                <w:szCs w:val="22"/>
              </w:rPr>
              <w:t>4</w:t>
            </w:r>
            <w:r w:rsidRPr="004F17D0">
              <w:rPr>
                <w:rFonts w:hint="eastAsia"/>
                <w:sz w:val="21"/>
                <w:szCs w:val="22"/>
              </w:rPr>
              <w:t>分。（证书复印件并加盖供应商公章）</w:t>
            </w:r>
          </w:p>
          <w:p w14:paraId="59AFCEB6" w14:textId="77777777" w:rsidR="003C54D0" w:rsidRPr="004F17D0" w:rsidRDefault="003C54D0" w:rsidP="003C54D0">
            <w:pPr>
              <w:numPr>
                <w:ilvl w:val="0"/>
                <w:numId w:val="2"/>
              </w:numPr>
              <w:rPr>
                <w:sz w:val="21"/>
                <w:szCs w:val="22"/>
                <w:lang w:val="zh-CN"/>
              </w:rPr>
            </w:pPr>
            <w:r w:rsidRPr="004F17D0">
              <w:rPr>
                <w:rFonts w:hint="eastAsia"/>
                <w:sz w:val="21"/>
                <w:szCs w:val="22"/>
                <w:lang w:val="zh-CN"/>
              </w:rPr>
              <w:t>项目组成员</w:t>
            </w:r>
            <w:r w:rsidRPr="004F17D0">
              <w:rPr>
                <w:rFonts w:hint="eastAsia"/>
                <w:sz w:val="21"/>
                <w:szCs w:val="22"/>
              </w:rPr>
              <w:t>（</w:t>
            </w:r>
            <w:r w:rsidRPr="004F17D0">
              <w:rPr>
                <w:rFonts w:hint="eastAsia"/>
                <w:sz w:val="21"/>
                <w:szCs w:val="22"/>
              </w:rPr>
              <w:t>20</w:t>
            </w:r>
            <w:r w:rsidRPr="004F17D0">
              <w:rPr>
                <w:rFonts w:hint="eastAsia"/>
                <w:sz w:val="21"/>
                <w:szCs w:val="22"/>
              </w:rPr>
              <w:t>分）</w:t>
            </w:r>
          </w:p>
          <w:p w14:paraId="4899F79B" w14:textId="77777777" w:rsidR="003C54D0" w:rsidRPr="004F17D0" w:rsidRDefault="003C54D0" w:rsidP="00E41711">
            <w:pPr>
              <w:rPr>
                <w:sz w:val="21"/>
                <w:szCs w:val="22"/>
              </w:rPr>
            </w:pPr>
            <w:r w:rsidRPr="004F17D0">
              <w:rPr>
                <w:rFonts w:hint="eastAsia"/>
                <w:sz w:val="21"/>
                <w:szCs w:val="22"/>
              </w:rPr>
              <w:t>项目组人员（不包含项目负责人）具备高级及以上专业技术职称证书的，每有一位加</w:t>
            </w:r>
            <w:r w:rsidRPr="004F17D0">
              <w:rPr>
                <w:rFonts w:hint="eastAsia"/>
                <w:sz w:val="21"/>
                <w:szCs w:val="22"/>
              </w:rPr>
              <w:t>4</w:t>
            </w:r>
            <w:r w:rsidRPr="004F17D0">
              <w:rPr>
                <w:rFonts w:hint="eastAsia"/>
                <w:sz w:val="21"/>
                <w:szCs w:val="22"/>
              </w:rPr>
              <w:t>分，具有水利工程系列中级职称证书的，每有一位加</w:t>
            </w:r>
            <w:r w:rsidRPr="004F17D0">
              <w:rPr>
                <w:rFonts w:hint="eastAsia"/>
                <w:sz w:val="21"/>
                <w:szCs w:val="22"/>
              </w:rPr>
              <w:t>3</w:t>
            </w:r>
            <w:r w:rsidRPr="004F17D0">
              <w:rPr>
                <w:rFonts w:hint="eastAsia"/>
                <w:sz w:val="21"/>
                <w:szCs w:val="22"/>
              </w:rPr>
              <w:t>分，最高得</w:t>
            </w:r>
            <w:r w:rsidRPr="004F17D0">
              <w:rPr>
                <w:rFonts w:hint="eastAsia"/>
                <w:sz w:val="21"/>
                <w:szCs w:val="22"/>
              </w:rPr>
              <w:t>12</w:t>
            </w:r>
            <w:r w:rsidRPr="004F17D0">
              <w:rPr>
                <w:rFonts w:hint="eastAsia"/>
                <w:sz w:val="21"/>
                <w:szCs w:val="22"/>
              </w:rPr>
              <w:t>分。具有</w:t>
            </w:r>
            <w:r w:rsidRPr="004F17D0">
              <w:rPr>
                <w:rFonts w:ascii="宋体" w:hAnsi="宋体" w:cs="宋体" w:hint="eastAsia"/>
                <w:sz w:val="21"/>
                <w:szCs w:val="21"/>
              </w:rPr>
              <w:t>测绘、规划（水利）、水工、岩土、电气、造价、水保等相对应注册证书，每有一位加2分，最高得8分。</w:t>
            </w:r>
            <w:r w:rsidRPr="004F17D0">
              <w:rPr>
                <w:rFonts w:hint="eastAsia"/>
                <w:sz w:val="21"/>
                <w:szCs w:val="22"/>
              </w:rPr>
              <w:t>（证书复印件并加盖供应商公章）</w:t>
            </w:r>
          </w:p>
          <w:p w14:paraId="55BCC6D4" w14:textId="77777777" w:rsidR="003C54D0" w:rsidRPr="004F17D0" w:rsidRDefault="003C54D0" w:rsidP="00E41711">
            <w:pPr>
              <w:rPr>
                <w:sz w:val="21"/>
                <w:szCs w:val="22"/>
              </w:rPr>
            </w:pPr>
            <w:r w:rsidRPr="004F17D0">
              <w:rPr>
                <w:rFonts w:hint="eastAsia"/>
                <w:sz w:val="21"/>
                <w:szCs w:val="22"/>
              </w:rPr>
              <w:t>3</w:t>
            </w:r>
            <w:r w:rsidRPr="004F17D0">
              <w:rPr>
                <w:rFonts w:hint="eastAsia"/>
                <w:sz w:val="21"/>
                <w:szCs w:val="22"/>
              </w:rPr>
              <w:t>、类似业绩（</w:t>
            </w:r>
            <w:r w:rsidRPr="004F17D0">
              <w:rPr>
                <w:rFonts w:hint="eastAsia"/>
                <w:sz w:val="21"/>
                <w:szCs w:val="22"/>
              </w:rPr>
              <w:t>10</w:t>
            </w:r>
            <w:r w:rsidRPr="004F17D0">
              <w:rPr>
                <w:rFonts w:hint="eastAsia"/>
                <w:sz w:val="21"/>
                <w:szCs w:val="22"/>
              </w:rPr>
              <w:t>分）</w:t>
            </w:r>
          </w:p>
          <w:p w14:paraId="4624A4D5" w14:textId="77777777" w:rsidR="003C54D0" w:rsidRPr="004F17D0" w:rsidRDefault="003C54D0" w:rsidP="00E41711">
            <w:pPr>
              <w:rPr>
                <w:sz w:val="21"/>
                <w:szCs w:val="22"/>
              </w:rPr>
            </w:pPr>
            <w:r w:rsidRPr="004F17D0">
              <w:rPr>
                <w:rFonts w:hint="eastAsia"/>
                <w:sz w:val="21"/>
                <w:szCs w:val="22"/>
              </w:rPr>
              <w:t>供应商</w:t>
            </w:r>
            <w:r w:rsidRPr="004F17D0">
              <w:rPr>
                <w:rFonts w:hint="eastAsia"/>
                <w:sz w:val="21"/>
                <w:szCs w:val="22"/>
              </w:rPr>
              <w:t>2019</w:t>
            </w:r>
            <w:r w:rsidRPr="004F17D0">
              <w:rPr>
                <w:rFonts w:hint="eastAsia"/>
                <w:sz w:val="21"/>
                <w:szCs w:val="22"/>
              </w:rPr>
              <w:t>年</w:t>
            </w:r>
            <w:r w:rsidRPr="004F17D0">
              <w:rPr>
                <w:rFonts w:hint="eastAsia"/>
                <w:sz w:val="21"/>
                <w:szCs w:val="22"/>
              </w:rPr>
              <w:t>1</w:t>
            </w:r>
            <w:r w:rsidRPr="004F17D0">
              <w:rPr>
                <w:rFonts w:hint="eastAsia"/>
                <w:sz w:val="21"/>
                <w:szCs w:val="22"/>
              </w:rPr>
              <w:t>月</w:t>
            </w:r>
            <w:r w:rsidRPr="004F17D0">
              <w:rPr>
                <w:rFonts w:hint="eastAsia"/>
                <w:sz w:val="21"/>
                <w:szCs w:val="22"/>
              </w:rPr>
              <w:t>1</w:t>
            </w:r>
            <w:r w:rsidRPr="004F17D0">
              <w:rPr>
                <w:rFonts w:hint="eastAsia"/>
                <w:sz w:val="21"/>
                <w:szCs w:val="22"/>
              </w:rPr>
              <w:t>日至今，提供过与本项目类似服务的，每提供</w:t>
            </w:r>
            <w:r w:rsidRPr="004F17D0">
              <w:rPr>
                <w:rFonts w:hint="eastAsia"/>
                <w:sz w:val="21"/>
                <w:szCs w:val="22"/>
              </w:rPr>
              <w:t>1</w:t>
            </w:r>
            <w:r w:rsidRPr="004F17D0">
              <w:rPr>
                <w:rFonts w:hint="eastAsia"/>
                <w:sz w:val="21"/>
                <w:szCs w:val="22"/>
              </w:rPr>
              <w:t>份合同得</w:t>
            </w:r>
            <w:r w:rsidRPr="004F17D0">
              <w:rPr>
                <w:rFonts w:hint="eastAsia"/>
                <w:sz w:val="21"/>
                <w:szCs w:val="22"/>
              </w:rPr>
              <w:t>2.5</w:t>
            </w:r>
            <w:r w:rsidRPr="004F17D0">
              <w:rPr>
                <w:rFonts w:hint="eastAsia"/>
                <w:sz w:val="21"/>
                <w:szCs w:val="22"/>
              </w:rPr>
              <w:t>分，最高得</w:t>
            </w:r>
            <w:r w:rsidRPr="004F17D0">
              <w:rPr>
                <w:rFonts w:hint="eastAsia"/>
                <w:sz w:val="21"/>
                <w:szCs w:val="22"/>
              </w:rPr>
              <w:t>10</w:t>
            </w:r>
            <w:r w:rsidRPr="004F17D0">
              <w:rPr>
                <w:rFonts w:hint="eastAsia"/>
                <w:sz w:val="21"/>
                <w:szCs w:val="22"/>
              </w:rPr>
              <w:t>分。（合同复印件并加盖供应商公章）</w:t>
            </w:r>
          </w:p>
          <w:p w14:paraId="06D455DA" w14:textId="77777777" w:rsidR="003C54D0" w:rsidRPr="004F17D0" w:rsidRDefault="003C54D0" w:rsidP="00E41711">
            <w:pPr>
              <w:rPr>
                <w:sz w:val="21"/>
                <w:szCs w:val="22"/>
              </w:rPr>
            </w:pPr>
            <w:r w:rsidRPr="004F17D0">
              <w:rPr>
                <w:rFonts w:hint="eastAsia"/>
                <w:sz w:val="21"/>
                <w:szCs w:val="22"/>
              </w:rPr>
              <w:t>4</w:t>
            </w:r>
            <w:r w:rsidRPr="004F17D0">
              <w:rPr>
                <w:rFonts w:hint="eastAsia"/>
                <w:sz w:val="21"/>
                <w:szCs w:val="22"/>
              </w:rPr>
              <w:t>、管理体系认证（</w:t>
            </w:r>
            <w:r w:rsidRPr="004F17D0">
              <w:rPr>
                <w:rFonts w:hint="eastAsia"/>
                <w:sz w:val="21"/>
                <w:szCs w:val="22"/>
              </w:rPr>
              <w:t>6</w:t>
            </w:r>
            <w:r w:rsidRPr="004F17D0">
              <w:rPr>
                <w:rFonts w:hint="eastAsia"/>
                <w:sz w:val="21"/>
                <w:szCs w:val="22"/>
              </w:rPr>
              <w:t>分）</w:t>
            </w:r>
          </w:p>
          <w:p w14:paraId="1AEE30D6" w14:textId="77777777" w:rsidR="003C54D0" w:rsidRPr="004F17D0" w:rsidRDefault="003C54D0" w:rsidP="00E41711">
            <w:pPr>
              <w:rPr>
                <w:sz w:val="21"/>
                <w:szCs w:val="22"/>
              </w:rPr>
            </w:pPr>
            <w:r w:rsidRPr="004F17D0">
              <w:rPr>
                <w:rFonts w:hint="eastAsia"/>
                <w:sz w:val="21"/>
                <w:szCs w:val="22"/>
              </w:rPr>
              <w:t>供应商具有质量管理体系、环境管理体系、职业健康安全管理体系认证证书的，有一项加</w:t>
            </w:r>
            <w:r w:rsidRPr="004F17D0">
              <w:rPr>
                <w:rFonts w:hint="eastAsia"/>
                <w:sz w:val="21"/>
                <w:szCs w:val="22"/>
              </w:rPr>
              <w:t>2</w:t>
            </w:r>
            <w:r w:rsidRPr="004F17D0">
              <w:rPr>
                <w:rFonts w:hint="eastAsia"/>
                <w:sz w:val="21"/>
                <w:szCs w:val="22"/>
              </w:rPr>
              <w:t>分，本项最高得</w:t>
            </w:r>
            <w:r w:rsidRPr="004F17D0">
              <w:rPr>
                <w:rFonts w:hint="eastAsia"/>
                <w:sz w:val="21"/>
                <w:szCs w:val="22"/>
              </w:rPr>
              <w:t>6</w:t>
            </w:r>
            <w:r w:rsidRPr="004F17D0">
              <w:rPr>
                <w:rFonts w:hint="eastAsia"/>
                <w:sz w:val="21"/>
                <w:szCs w:val="22"/>
              </w:rPr>
              <w:t>分。（证书须在有效期内，证书复印件并加盖供应商公章）</w:t>
            </w:r>
          </w:p>
        </w:tc>
      </w:tr>
    </w:tbl>
    <w:p w14:paraId="745D4F82" w14:textId="77777777" w:rsidR="00182369" w:rsidRPr="003C54D0" w:rsidRDefault="00182369"/>
    <w:sectPr w:rsidR="00182369" w:rsidRPr="003C5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A74978"/>
    <w:multiLevelType w:val="singleLevel"/>
    <w:tmpl w:val="A1A7497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97B4C09"/>
    <w:multiLevelType w:val="singleLevel"/>
    <w:tmpl w:val="297B4C09"/>
    <w:lvl w:ilvl="0">
      <w:start w:val="1"/>
      <w:numFmt w:val="decimal"/>
      <w:suff w:val="nothing"/>
      <w:lvlText w:val="%1、"/>
      <w:lvlJc w:val="left"/>
    </w:lvl>
  </w:abstractNum>
  <w:num w:numId="1" w16cid:durableId="1344553527">
    <w:abstractNumId w:val="0"/>
  </w:num>
  <w:num w:numId="2" w16cid:durableId="20456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7E"/>
    <w:rsid w:val="00182369"/>
    <w:rsid w:val="003C54D0"/>
    <w:rsid w:val="00B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22689-BCC3-443A-A42A-9A2EA3A0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C54D0"/>
    <w:pPr>
      <w:widowControl w:val="0"/>
      <w:jc w:val="both"/>
    </w:pPr>
    <w:rPr>
      <w:rFonts w:ascii="Times New Roman" w:eastAsia="宋体" w:hAnsi="Times New Roman" w:cs="Times New Roman"/>
      <w:sz w:val="28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F7A7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F7A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A7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A7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A7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A7E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A7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A7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A7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7A7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1">
    <w:name w:val="标题 2 字符"/>
    <w:basedOn w:val="a0"/>
    <w:link w:val="20"/>
    <w:uiPriority w:val="9"/>
    <w:semiHidden/>
    <w:rsid w:val="00BF7A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F7A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F7A7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F7A7E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BF7A7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F7A7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F7A7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F7A7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F7A7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BF7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F7A7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Cs w:val="28"/>
    </w:rPr>
  </w:style>
  <w:style w:type="character" w:customStyle="1" w:styleId="a6">
    <w:name w:val="副标题 字符"/>
    <w:basedOn w:val="a0"/>
    <w:link w:val="a5"/>
    <w:uiPriority w:val="11"/>
    <w:rsid w:val="00BF7A7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F7A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BF7A7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F7A7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F7A7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F7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BF7A7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F7A7E"/>
    <w:rPr>
      <w:b/>
      <w:bCs/>
      <w:smallCaps/>
      <w:color w:val="0F4761" w:themeColor="accent1" w:themeShade="BF"/>
      <w:spacing w:val="5"/>
    </w:rPr>
  </w:style>
  <w:style w:type="paragraph" w:styleId="2">
    <w:name w:val="List Bullet 2"/>
    <w:basedOn w:val="a"/>
    <w:uiPriority w:val="99"/>
    <w:semiHidden/>
    <w:unhideWhenUsed/>
    <w:rsid w:val="003C54D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扬州市财政局本级(填报)</dc:creator>
  <cp:keywords/>
  <dc:description/>
  <cp:lastModifiedBy>扬州市财政局本级(填报)</cp:lastModifiedBy>
  <cp:revision>2</cp:revision>
  <dcterms:created xsi:type="dcterms:W3CDTF">2024-03-04T07:32:00Z</dcterms:created>
  <dcterms:modified xsi:type="dcterms:W3CDTF">2024-03-04T07:32:00Z</dcterms:modified>
</cp:coreProperties>
</file>