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8"/>
          <w:highlight w:val="none"/>
        </w:rPr>
        <w:t>评审标准</w:t>
      </w:r>
    </w:p>
    <w:p>
      <w:pPr>
        <w:pStyle w:val="6"/>
        <w:rPr>
          <w:color w:val="auto"/>
          <w:highlight w:val="none"/>
        </w:rPr>
      </w:pPr>
    </w:p>
    <w:p>
      <w:pPr>
        <w:rPr>
          <w:rFonts w:ascii="宋体" w:hAnsi="宋体" w:cs="宋体"/>
          <w:color w:val="auto"/>
          <w:sz w:val="24"/>
          <w:szCs w:val="24"/>
          <w:highlight w:val="none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092" w:type="dxa"/>
            <w:gridSpan w:val="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文件要求且最后报价最低的供应商报价为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报价得分=(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基准价／最后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服务承诺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目标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①描述清晰，完整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②描述较清晰，较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③描述不够清晰，可行性一般，得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无承诺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，得0分。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印刷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质量保障方案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①描述清晰，完整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②描述较清晰，较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③描述不够清晰，可行性一般，得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方案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，得0分。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供货方案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①描述清晰，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切实符合本项目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6-10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②描述较清晰，较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可行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1-5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无方案，得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0分。</w:t>
            </w:r>
          </w:p>
        </w:tc>
        <w:tc>
          <w:tcPr>
            <w:tcW w:w="11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.3</w:t>
            </w:r>
          </w:p>
        </w:tc>
        <w:tc>
          <w:tcPr>
            <w:tcW w:w="1391" w:type="dxa"/>
            <w:noWrap/>
            <w:vAlign w:val="center"/>
          </w:tcPr>
          <w:p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年1月1日以来企业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签订的业绩每个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分，最多得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注：以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合同或协议书签订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时间为准，响应性文件附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合同或协议书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215"/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注：供应商最后得分=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报价部分得分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得分+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得分。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F002"/>
    <w:multiLevelType w:val="singleLevel"/>
    <w:tmpl w:val="0016F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TJlOTFmODU3ODYxNTY5YzhiMTIxYzZiNWEwMGQifQ=="/>
  </w:docVars>
  <w:rsids>
    <w:rsidRoot w:val="6C415B16"/>
    <w:rsid w:val="6C4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Body Text 2"/>
    <w:basedOn w:val="1"/>
    <w:next w:val="2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7">
    <w:name w:val="表格文字"/>
    <w:basedOn w:val="1"/>
    <w:next w:val="2"/>
    <w:qFormat/>
    <w:uiPriority w:val="99"/>
    <w:pPr>
      <w:adjustRightInd w:val="0"/>
      <w:spacing w:line="420" w:lineRule="atLeas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2024-01-21T12:03:00Z</dcterms:created>
  <dc:creator>安之暖暖</dc:creator>
  <cp:lastModifiedBy>安之暖暖</cp:lastModifiedBy>
  <dcterms:modified xsi:type="dcterms:W3CDTF">2024-01-21T12:04:01Z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8ECDEB525B3241E89DEBFCF30BEFBBFA_11</vt:lpwstr>
  </property>
</Properties>
</file>