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宋体" w:hAnsi="宋体" w:cs="宋体"/>
          <w:b/>
          <w:bCs/>
          <w:szCs w:val="28"/>
        </w:rPr>
      </w:pPr>
      <w:r>
        <w:rPr>
          <w:rFonts w:hint="eastAsia" w:ascii="宋体" w:hAnsi="宋体" w:cs="宋体"/>
          <w:b/>
          <w:bCs/>
          <w:szCs w:val="28"/>
        </w:rPr>
        <w:t>评审标准</w:t>
      </w:r>
    </w:p>
    <w:p>
      <w:pPr>
        <w:keepNext w:val="0"/>
        <w:keepLines w:val="0"/>
        <w:pageBreakBefore w:val="0"/>
        <w:widowControl/>
        <w:kinsoku/>
        <w:wordWrap/>
        <w:overflowPunct/>
        <w:topLinePunct w:val="0"/>
        <w:autoSpaceDE/>
        <w:autoSpaceDN/>
        <w:bidi w:val="0"/>
        <w:adjustRightInd/>
        <w:snapToGrid/>
        <w:spacing w:line="312" w:lineRule="auto"/>
        <w:ind w:left="0"/>
        <w:jc w:val="center"/>
        <w:textAlignment w:val="center"/>
        <w:rPr>
          <w:rFonts w:hint="eastAsia" w:ascii="宋体" w:hAnsi="宋体" w:cs="宋体"/>
          <w:color w:val="auto"/>
          <w:sz w:val="24"/>
          <w:szCs w:val="24"/>
          <w:lang w:val="en-US" w:eastAsia="zh-CN"/>
        </w:rPr>
      </w:pPr>
    </w:p>
    <w:tbl>
      <w:tblPr>
        <w:tblStyle w:val="3"/>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2"/>
        <w:gridCol w:w="7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jc w:val="center"/>
              <w:textAlignment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评审因素</w:t>
            </w:r>
          </w:p>
        </w:tc>
        <w:tc>
          <w:tcPr>
            <w:tcW w:w="74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jc w:val="center"/>
              <w:textAlignment w:val="center"/>
              <w:rPr>
                <w:rFonts w:hint="eastAsia" w:ascii="宋体" w:cs="宋体"/>
                <w:color w:val="auto"/>
                <w:kern w:val="0"/>
                <w:sz w:val="24"/>
                <w:szCs w:val="24"/>
                <w:highlight w:val="none"/>
                <w:lang w:bidi="ar"/>
              </w:rPr>
            </w:pPr>
            <w:r>
              <w:rPr>
                <w:rFonts w:hint="eastAsia" w:ascii="宋体" w:cs="宋体"/>
                <w:color w:val="auto"/>
                <w:kern w:val="0"/>
                <w:sz w:val="24"/>
                <w:szCs w:val="24"/>
                <w:highlight w:val="none"/>
                <w:lang w:bidi="ar"/>
              </w:rPr>
              <w:t>资格性审查</w:t>
            </w:r>
          </w:p>
        </w:tc>
        <w:tc>
          <w:tcPr>
            <w:tcW w:w="74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谈判文件规定的供应商资格条件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4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jc w:val="center"/>
              <w:textAlignment w:val="center"/>
              <w:rPr>
                <w:rFonts w:hint="eastAsia" w:ascii="宋体" w:cs="宋体"/>
                <w:color w:val="auto"/>
                <w:kern w:val="0"/>
                <w:sz w:val="24"/>
                <w:szCs w:val="24"/>
                <w:highlight w:val="none"/>
                <w:lang w:bidi="ar"/>
              </w:rPr>
            </w:pPr>
            <w:r>
              <w:rPr>
                <w:rFonts w:hint="eastAsia" w:ascii="宋体" w:cs="宋体"/>
                <w:color w:val="auto"/>
                <w:kern w:val="0"/>
                <w:sz w:val="24"/>
                <w:szCs w:val="24"/>
                <w:highlight w:val="none"/>
                <w:lang w:bidi="ar"/>
              </w:rPr>
              <w:t>符合性审查</w:t>
            </w:r>
          </w:p>
        </w:tc>
        <w:tc>
          <w:tcPr>
            <w:tcW w:w="74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（1）响应性文件的有效性(签署情况等)；</w:t>
            </w:r>
          </w:p>
          <w:p>
            <w:pPr>
              <w:keepNext w:val="0"/>
              <w:keepLines w:val="0"/>
              <w:pageBreakBefore w:val="0"/>
              <w:widowControl/>
              <w:kinsoku/>
              <w:wordWrap w:val="0"/>
              <w:overflowPunct/>
              <w:topLinePunct w:val="0"/>
              <w:autoSpaceDE/>
              <w:autoSpaceDN/>
              <w:bidi w:val="0"/>
              <w:adjustRightInd/>
              <w:snapToGrid/>
              <w:spacing w:line="312" w:lineRule="auto"/>
              <w:ind w:lef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（2）响应性文件的完整性(响应性文件内容等)；</w:t>
            </w:r>
          </w:p>
          <w:p>
            <w:pPr>
              <w:keepNext w:val="0"/>
              <w:keepLines w:val="0"/>
              <w:pageBreakBefore w:val="0"/>
              <w:widowControl/>
              <w:kinsoku/>
              <w:wordWrap w:val="0"/>
              <w:overflowPunct/>
              <w:topLinePunct w:val="0"/>
              <w:autoSpaceDE/>
              <w:autoSpaceDN/>
              <w:bidi w:val="0"/>
              <w:adjustRightInd/>
              <w:snapToGrid/>
              <w:spacing w:line="312" w:lineRule="auto"/>
              <w:ind w:lef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（3）对</w:t>
            </w:r>
            <w:r>
              <w:rPr>
                <w:rFonts w:hint="eastAsia" w:ascii="宋体" w:hAnsi="宋体" w:eastAsia="宋体" w:cs="宋体"/>
                <w:color w:val="auto"/>
                <w:kern w:val="0"/>
                <w:sz w:val="24"/>
                <w:szCs w:val="24"/>
                <w:lang w:eastAsia="zh-CN"/>
              </w:rPr>
              <w:t>谈判</w:t>
            </w:r>
            <w:r>
              <w:rPr>
                <w:rFonts w:hint="eastAsia" w:ascii="宋体" w:hAnsi="宋体" w:eastAsia="宋体" w:cs="宋体"/>
                <w:color w:val="auto"/>
                <w:kern w:val="0"/>
                <w:sz w:val="24"/>
                <w:szCs w:val="24"/>
              </w:rPr>
              <w:t>文件的响应程度（是否存在重大负偏离等）。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评分项</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分值</w:t>
            </w:r>
          </w:p>
        </w:tc>
        <w:tc>
          <w:tcPr>
            <w:tcW w:w="74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firstLine="480" w:firstLineChars="2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评分</w:t>
            </w:r>
            <w:r>
              <w:rPr>
                <w:rFonts w:hint="eastAsia" w:ascii="宋体" w:hAnsi="宋体" w:cs="宋体"/>
                <w:color w:val="auto"/>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商务</w:t>
            </w:r>
            <w:r>
              <w:rPr>
                <w:rFonts w:hint="eastAsia" w:ascii="宋体" w:hAnsi="宋体" w:eastAsia="宋体" w:cs="宋体"/>
                <w:color w:val="auto"/>
                <w:kern w:val="0"/>
                <w:sz w:val="24"/>
                <w:szCs w:val="24"/>
              </w:rPr>
              <w:t>标</w:t>
            </w:r>
          </w:p>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分）</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分</w:t>
            </w:r>
            <w:r>
              <w:rPr>
                <w:rFonts w:hint="eastAsia" w:ascii="宋体" w:hAnsi="宋体" w:cs="宋体"/>
                <w:color w:val="auto"/>
                <w:sz w:val="24"/>
                <w:szCs w:val="24"/>
                <w:lang w:val="en-US" w:eastAsia="zh-CN"/>
              </w:rPr>
              <w:t>）</w:t>
            </w:r>
          </w:p>
        </w:tc>
        <w:tc>
          <w:tcPr>
            <w:tcW w:w="7494" w:type="dxa"/>
            <w:tcBorders>
              <w:top w:val="single" w:color="auto" w:sz="4" w:space="0"/>
              <w:left w:val="nil"/>
              <w:bottom w:val="single" w:color="auto" w:sz="4" w:space="0"/>
              <w:right w:val="single" w:color="auto" w:sz="4" w:space="0"/>
            </w:tcBorders>
          </w:tcPr>
          <w:p>
            <w:pPr>
              <w:keepNext w:val="0"/>
              <w:keepLines w:val="0"/>
              <w:pageBreakBefore w:val="0"/>
              <w:widowControl/>
              <w:kinsoku/>
              <w:wordWrap w:val="0"/>
              <w:overflowPunct/>
              <w:topLinePunct w:val="0"/>
              <w:autoSpaceDE/>
              <w:autoSpaceDN/>
              <w:bidi w:val="0"/>
              <w:adjustRightInd/>
              <w:snapToGrid/>
              <w:spacing w:line="312" w:lineRule="auto"/>
              <w:ind w:left="0"/>
              <w:rPr>
                <w:rFonts w:hint="eastAsia" w:ascii="宋体" w:hAnsi="宋体" w:eastAsia="宋体" w:cs="宋体"/>
                <w:color w:val="auto"/>
                <w:sz w:val="24"/>
                <w:szCs w:val="24"/>
              </w:rPr>
            </w:pPr>
            <w:r>
              <w:rPr>
                <w:rFonts w:hint="eastAsia" w:ascii="宋体" w:hAnsi="宋体" w:cs="宋体"/>
                <w:color w:val="auto"/>
                <w:kern w:val="0"/>
                <w:sz w:val="24"/>
                <w:szCs w:val="24"/>
                <w:lang w:eastAsia="zh-CN"/>
              </w:rPr>
              <w:t>谈判</w:t>
            </w:r>
            <w:r>
              <w:rPr>
                <w:rFonts w:hint="eastAsia" w:ascii="宋体" w:hAnsi="宋体" w:eastAsia="宋体" w:cs="宋体"/>
                <w:color w:val="auto"/>
                <w:kern w:val="0"/>
                <w:sz w:val="24"/>
                <w:szCs w:val="24"/>
              </w:rPr>
              <w:t>报价超出预算控制金额的，采购人不予接受，且报价无效；</w:t>
            </w:r>
          </w:p>
          <w:p>
            <w:pPr>
              <w:keepNext w:val="0"/>
              <w:keepLines w:val="0"/>
              <w:pageBreakBefore w:val="0"/>
              <w:widowControl/>
              <w:kinsoku/>
              <w:wordWrap w:val="0"/>
              <w:overflowPunct/>
              <w:topLinePunct w:val="0"/>
              <w:autoSpaceDE/>
              <w:autoSpaceDN/>
              <w:bidi w:val="0"/>
              <w:adjustRightInd/>
              <w:snapToGrid/>
              <w:spacing w:line="312" w:lineRule="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谈判报价得分＝（谈判基准价/最后谈判报价</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w:t>
            </w:r>
            <w:r>
              <w:rPr>
                <w:rFonts w:hint="eastAsia" w:ascii="宋体" w:hAnsi="宋体" w:cs="宋体"/>
                <w:color w:val="auto"/>
                <w:sz w:val="24"/>
                <w:szCs w:val="24"/>
                <w:lang w:val="en-US" w:eastAsia="zh-CN"/>
              </w:rPr>
              <w:t>30</w:t>
            </w:r>
          </w:p>
          <w:p>
            <w:pPr>
              <w:keepNext w:val="0"/>
              <w:keepLines w:val="0"/>
              <w:pageBreakBefore w:val="0"/>
              <w:widowControl/>
              <w:kinsoku/>
              <w:wordWrap w:val="0"/>
              <w:overflowPunct/>
              <w:topLinePunct w:val="0"/>
              <w:autoSpaceDE/>
              <w:autoSpaceDN/>
              <w:bidi w:val="0"/>
              <w:adjustRightInd/>
              <w:snapToGrid/>
              <w:spacing w:line="312" w:lineRule="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满足谈判文件要求且最后报价最低的供应商的价格为谈判基准价，其价格分为满分</w:t>
            </w:r>
            <w:r>
              <w:rPr>
                <w:rFonts w:hint="eastAsia" w:ascii="宋体" w:hAnsi="宋体" w:eastAsia="宋体" w:cs="宋体"/>
                <w:color w:val="auto"/>
                <w:sz w:val="24"/>
                <w:szCs w:val="24"/>
                <w:lang w:val="en-US" w:eastAsia="zh-CN"/>
              </w:rPr>
              <w:t>30</w:t>
            </w:r>
            <w:r>
              <w:rPr>
                <w:rFonts w:hint="default" w:ascii="宋体" w:hAnsi="宋体" w:eastAsia="宋体" w:cs="宋体"/>
                <w:color w:val="auto"/>
                <w:sz w:val="24"/>
                <w:szCs w:val="24"/>
                <w:lang w:val="en-US" w:eastAsia="zh-CN"/>
              </w:rPr>
              <w:t>分。</w:t>
            </w:r>
          </w:p>
          <w:p>
            <w:pPr>
              <w:keepNext w:val="0"/>
              <w:keepLines w:val="0"/>
              <w:pageBreakBefore w:val="0"/>
              <w:widowControl/>
              <w:kinsoku/>
              <w:wordWrap w:val="0"/>
              <w:overflowPunct/>
              <w:topLinePunct w:val="0"/>
              <w:autoSpaceDE/>
              <w:autoSpaceDN/>
              <w:bidi w:val="0"/>
              <w:adjustRightInd/>
              <w:snapToGrid/>
              <w:spacing w:line="312" w:lineRule="auto"/>
              <w:rPr>
                <w:rFonts w:hint="default"/>
                <w:lang w:val="en-US" w:eastAsia="zh-CN"/>
              </w:rPr>
            </w:pPr>
            <w:r>
              <w:rPr>
                <w:rFonts w:hint="default" w:ascii="宋体" w:hAnsi="宋体" w:eastAsia="宋体" w:cs="宋体"/>
                <w:b/>
                <w:bCs/>
                <w:color w:val="auto"/>
                <w:sz w:val="24"/>
                <w:szCs w:val="24"/>
                <w:lang w:val="en-US" w:eastAsia="zh-CN"/>
              </w:rPr>
              <w:t>注：小微企业（监狱企业、残疾人福利性单位视同小微企业）给予20%的价格扣除，即：评标价＝谈判报价×（1－20%）。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1101" w:type="dxa"/>
            <w:vMerge w:val="restart"/>
            <w:tcBorders>
              <w:top w:val="nil"/>
              <w:left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技术标</w:t>
            </w:r>
          </w:p>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（50分）</w:t>
            </w:r>
          </w:p>
        </w:tc>
        <w:tc>
          <w:tcPr>
            <w:tcW w:w="1392" w:type="dxa"/>
            <w:tcBorders>
              <w:top w:val="single" w:color="auto" w:sz="4" w:space="0"/>
              <w:left w:val="nil"/>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bookmarkStart w:id="0" w:name="_GoBack"/>
            <w:bookmarkEnd w:id="0"/>
            <w:r>
              <w:rPr>
                <w:rFonts w:hint="eastAsia" w:ascii="宋体" w:hAnsi="宋体" w:eastAsia="宋体" w:cs="宋体"/>
                <w:color w:val="auto"/>
                <w:sz w:val="24"/>
                <w:szCs w:val="24"/>
              </w:rPr>
              <w:t>）</w:t>
            </w:r>
          </w:p>
        </w:tc>
        <w:tc>
          <w:tcPr>
            <w:tcW w:w="7494" w:type="dxa"/>
            <w:tcBorders>
              <w:top w:val="single" w:color="auto" w:sz="4" w:space="0"/>
              <w:left w:val="nil"/>
              <w:bottom w:val="single" w:color="auto" w:sz="4" w:space="0"/>
              <w:right w:val="single" w:color="auto" w:sz="4" w:space="0"/>
            </w:tcBorders>
          </w:tcPr>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安排很合理、人员配备合理，极大程度满足业主对编制周期、人员配备合理等要求得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安排较合理、能够满足业主对编制周期、人员等要求得</w:t>
            </w:r>
            <w:r>
              <w:rPr>
                <w:rFonts w:hint="eastAsia" w:ascii="宋体" w:hAnsi="宋体" w:cs="宋体"/>
                <w:color w:val="auto"/>
                <w:sz w:val="24"/>
                <w:szCs w:val="24"/>
                <w:lang w:val="en-US" w:eastAsia="zh-CN"/>
              </w:rPr>
              <w:t>5-9</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安排一般、能大致满足业主对编制周期、人员等要求得</w:t>
            </w:r>
            <w:r>
              <w:rPr>
                <w:rFonts w:hint="eastAsia" w:ascii="宋体" w:hAnsi="宋体" w:cs="宋体"/>
                <w:color w:val="auto"/>
                <w:sz w:val="24"/>
                <w:szCs w:val="24"/>
                <w:lang w:val="en-US" w:eastAsia="zh-CN"/>
              </w:rPr>
              <w:t>3-4</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安排不太合理、不能满足业主对编制周期、人员等要求得</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1101"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p>
        </w:tc>
        <w:tc>
          <w:tcPr>
            <w:tcW w:w="1392" w:type="dxa"/>
            <w:tcBorders>
              <w:left w:val="nil"/>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技术方案</w:t>
            </w:r>
          </w:p>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7494" w:type="dxa"/>
            <w:tcBorders>
              <w:top w:val="single" w:color="auto" w:sz="4" w:space="0"/>
              <w:left w:val="nil"/>
              <w:bottom w:val="single" w:color="auto" w:sz="4" w:space="0"/>
              <w:right w:val="single" w:color="auto" w:sz="4" w:space="0"/>
            </w:tcBorders>
          </w:tcPr>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技术方案编制内容全面，合理可行得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技术方案编制内容全面、较合理可行得</w:t>
            </w:r>
            <w:r>
              <w:rPr>
                <w:rFonts w:hint="eastAsia" w:ascii="宋体" w:hAnsi="宋体" w:cs="宋体"/>
                <w:color w:val="auto"/>
                <w:sz w:val="24"/>
                <w:szCs w:val="24"/>
                <w:lang w:val="en-US" w:eastAsia="zh-CN"/>
              </w:rPr>
              <w:t>5-9</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技术方案编制内容比较全面、基本合理可行得</w:t>
            </w:r>
            <w:r>
              <w:rPr>
                <w:rFonts w:hint="eastAsia" w:ascii="宋体" w:hAnsi="宋体" w:cs="宋体"/>
                <w:color w:val="auto"/>
                <w:sz w:val="24"/>
                <w:szCs w:val="24"/>
                <w:lang w:val="en-US" w:eastAsia="zh-CN"/>
              </w:rPr>
              <w:t>3-4</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技术方案编制内容不全面、不合理可行的得</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100"/>
              <w:rPr>
                <w:rFonts w:hint="eastAsia" w:ascii="宋体" w:hAnsi="宋体" w:eastAsia="宋体" w:cs="宋体"/>
                <w:color w:val="auto"/>
                <w:sz w:val="24"/>
                <w:szCs w:val="24"/>
              </w:rPr>
            </w:pPr>
            <w:r>
              <w:rPr>
                <w:rFonts w:hint="eastAsia" w:ascii="宋体" w:hAnsi="宋体" w:eastAsia="宋体" w:cs="宋体"/>
                <w:color w:val="auto"/>
                <w:sz w:val="24"/>
                <w:szCs w:val="24"/>
              </w:rPr>
              <w:t>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p>
        </w:tc>
        <w:tc>
          <w:tcPr>
            <w:tcW w:w="1392" w:type="dxa"/>
            <w:tcBorders>
              <w:left w:val="nil"/>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项目进度计划</w:t>
            </w:r>
          </w:p>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7494" w:type="dxa"/>
            <w:tcBorders>
              <w:top w:val="single" w:color="auto" w:sz="4" w:space="0"/>
              <w:left w:val="nil"/>
              <w:bottom w:val="single" w:color="auto" w:sz="4" w:space="0"/>
              <w:right w:val="single" w:color="auto" w:sz="4" w:space="0"/>
            </w:tcBorders>
          </w:tcPr>
          <w:p>
            <w:pPr>
              <w:keepNext w:val="0"/>
              <w:keepLines w:val="0"/>
              <w:pageBreakBefore w:val="0"/>
              <w:widowControl/>
              <w:kinsoku/>
              <w:wordWrap w:val="0"/>
              <w:overflowPunct/>
              <w:topLinePunct w:val="0"/>
              <w:autoSpaceDE/>
              <w:autoSpaceDN/>
              <w:bidi w:val="0"/>
              <w:adjustRightInd/>
              <w:snapToGrid/>
              <w:spacing w:line="312" w:lineRule="auto"/>
              <w:ind w:left="0"/>
              <w:rPr>
                <w:rFonts w:hint="eastAsia" w:ascii="宋体" w:hAnsi="宋体" w:eastAsia="宋体" w:cs="宋体"/>
                <w:color w:val="auto"/>
                <w:sz w:val="24"/>
                <w:szCs w:val="24"/>
              </w:rPr>
            </w:pPr>
            <w:r>
              <w:rPr>
                <w:rFonts w:hint="eastAsia" w:ascii="宋体" w:hAnsi="宋体" w:eastAsia="宋体" w:cs="宋体"/>
                <w:color w:val="auto"/>
                <w:sz w:val="24"/>
                <w:szCs w:val="24"/>
              </w:rPr>
              <w:t>根据对供应商的进度实施计划、进度保证措施（包括项目前期准备工作与管理方面、技术准备方面、投入方面和组织编制服务方面等）进行评分。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进度计划完整有序合理、可行性强，完全满足并优于招标文件要求，得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进度计划完整、可行性一般，能够符合招标文件要求</w:t>
            </w:r>
            <w:r>
              <w:rPr>
                <w:rFonts w:hint="eastAsia" w:ascii="宋体" w:hAnsi="宋体" w:cs="宋体"/>
                <w:color w:val="auto"/>
                <w:sz w:val="24"/>
                <w:szCs w:val="24"/>
                <w:lang w:eastAsia="zh-CN"/>
              </w:rPr>
              <w:t>，</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5-9</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进度计划基本完整、基本可行，基本符合招标文件要求</w:t>
            </w:r>
            <w:r>
              <w:rPr>
                <w:rFonts w:hint="eastAsia" w:ascii="宋体" w:hAnsi="宋体" w:cs="宋体"/>
                <w:color w:val="auto"/>
                <w:sz w:val="24"/>
                <w:szCs w:val="24"/>
                <w:lang w:eastAsia="zh-CN"/>
              </w:rPr>
              <w:t>，</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3-4</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进度计划不完整、可行性不强，基本符合招标文件要求，得</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101"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p>
        </w:tc>
        <w:tc>
          <w:tcPr>
            <w:tcW w:w="1392" w:type="dxa"/>
            <w:tcBorders>
              <w:left w:val="nil"/>
              <w:right w:val="single" w:color="auto" w:sz="4" w:space="0"/>
            </w:tcBorders>
            <w:vAlign w:val="center"/>
          </w:tcPr>
          <w:p>
            <w:pPr>
              <w:keepNext w:val="0"/>
              <w:keepLines w:val="0"/>
              <w:pageBreakBefore w:val="0"/>
              <w:kinsoku/>
              <w:wordWrap w:val="0"/>
              <w:overflowPunct/>
              <w:topLinePunct w:val="0"/>
              <w:autoSpaceDE/>
              <w:autoSpaceDN/>
              <w:bidi w:val="0"/>
              <w:adjustRightInd/>
              <w:snapToGrid/>
              <w:spacing w:line="312"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质量的保障措施</w:t>
            </w:r>
          </w:p>
          <w:p>
            <w:pPr>
              <w:keepNext w:val="0"/>
              <w:keepLines w:val="0"/>
              <w:pageBreakBefore w:val="0"/>
              <w:kinsoku/>
              <w:wordWrap w:val="0"/>
              <w:overflowPunct/>
              <w:topLinePunct w:val="0"/>
              <w:autoSpaceDE/>
              <w:autoSpaceDN/>
              <w:bidi w:val="0"/>
              <w:adjustRightInd/>
              <w:snapToGrid/>
              <w:spacing w:line="312"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7494" w:type="dxa"/>
            <w:tcBorders>
              <w:top w:val="single" w:color="auto" w:sz="4" w:space="0"/>
              <w:left w:val="nil"/>
              <w:bottom w:val="single" w:color="auto" w:sz="4" w:space="0"/>
              <w:right w:val="single" w:color="auto" w:sz="4" w:space="0"/>
            </w:tcBorders>
          </w:tcPr>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项目质量的保障措施具体、合理、可行，完全满足招标要求得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项目质量的保障措施基本可行，基本满足招标要求得</w:t>
            </w:r>
            <w:r>
              <w:rPr>
                <w:rFonts w:hint="eastAsia" w:ascii="宋体" w:hAnsi="宋体" w:cs="宋体"/>
                <w:color w:val="auto"/>
                <w:sz w:val="24"/>
                <w:szCs w:val="24"/>
                <w:lang w:val="en-US" w:eastAsia="zh-CN"/>
              </w:rPr>
              <w:t>4-9</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项目质量的保障措施基本不可行，基本不满足招标要求得1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0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p>
        </w:tc>
        <w:tc>
          <w:tcPr>
            <w:tcW w:w="1392" w:type="dxa"/>
            <w:tcBorders>
              <w:left w:val="nil"/>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snapToGrid/>
              <w:spacing w:line="312"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项目实施保障措施</w:t>
            </w:r>
          </w:p>
          <w:p>
            <w:pPr>
              <w:keepNext w:val="0"/>
              <w:keepLines w:val="0"/>
              <w:pageBreakBefore w:val="0"/>
              <w:kinsoku/>
              <w:wordWrap w:val="0"/>
              <w:overflowPunct/>
              <w:topLinePunct w:val="0"/>
              <w:autoSpaceDE/>
              <w:autoSpaceDN/>
              <w:bidi w:val="0"/>
              <w:adjustRightInd/>
              <w:snapToGrid/>
              <w:spacing w:line="312"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7494" w:type="dxa"/>
            <w:tcBorders>
              <w:top w:val="single" w:color="auto" w:sz="4" w:space="0"/>
              <w:left w:val="nil"/>
              <w:bottom w:val="single" w:color="auto" w:sz="4" w:space="0"/>
              <w:right w:val="single" w:color="auto" w:sz="4" w:space="0"/>
            </w:tcBorders>
          </w:tcPr>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保障措施完善全面合理、可行性强，得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保障措施完整、所采取的措施可行性一般，得</w:t>
            </w:r>
            <w:r>
              <w:rPr>
                <w:rFonts w:hint="eastAsia" w:ascii="宋体" w:hAnsi="宋体" w:cs="宋体"/>
                <w:color w:val="auto"/>
                <w:sz w:val="24"/>
                <w:szCs w:val="24"/>
                <w:lang w:val="en-US" w:eastAsia="zh-CN"/>
              </w:rPr>
              <w:t>4-9</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保障措施基本合理、所采取的措施可行性较差</w:t>
            </w:r>
            <w:r>
              <w:rPr>
                <w:rFonts w:hint="eastAsia" w:ascii="宋体" w:hAnsi="宋体" w:cs="宋体"/>
                <w:color w:val="auto"/>
                <w:sz w:val="24"/>
                <w:szCs w:val="24"/>
                <w:lang w:eastAsia="zh-CN"/>
              </w:rPr>
              <w:t>，</w:t>
            </w:r>
            <w:r>
              <w:rPr>
                <w:rFonts w:hint="eastAsia" w:ascii="宋体" w:hAnsi="宋体" w:eastAsia="宋体" w:cs="宋体"/>
                <w:color w:val="auto"/>
                <w:sz w:val="24"/>
                <w:szCs w:val="24"/>
              </w:rPr>
              <w:t>得1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pPr>
              <w:keepNext w:val="0"/>
              <w:keepLines w:val="0"/>
              <w:pageBreakBefore w:val="0"/>
              <w:widowControl/>
              <w:kinsoku/>
              <w:wordWrap w:val="0"/>
              <w:overflowPunct/>
              <w:topLinePunct w:val="0"/>
              <w:autoSpaceDE/>
              <w:autoSpaceDN/>
              <w:bidi w:val="0"/>
              <w:adjustRightInd/>
              <w:snapToGrid/>
              <w:spacing w:line="312" w:lineRule="auto"/>
              <w:ind w:left="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110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综合标</w:t>
            </w:r>
          </w:p>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分）</w:t>
            </w:r>
          </w:p>
        </w:tc>
        <w:tc>
          <w:tcPr>
            <w:tcW w:w="13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服务承诺</w:t>
            </w:r>
          </w:p>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7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根据各供应商的按期完成最终评审服务承诺以及是否能够承诺保证有足够的人力、物力等资源保证按时按质按量完成本项目业务，提供优质服务，作出违约责任的承诺</w:t>
            </w:r>
            <w:r>
              <w:rPr>
                <w:rFonts w:hint="eastAsia" w:ascii="宋体" w:hAnsi="宋体" w:cs="宋体"/>
                <w:color w:val="auto"/>
                <w:sz w:val="24"/>
                <w:szCs w:val="24"/>
                <w:lang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承诺的资源配置先进、服务优质，得</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承诺的资源配置合理、服务良好，得</w:t>
            </w:r>
            <w:r>
              <w:rPr>
                <w:rFonts w:hint="eastAsia" w:ascii="宋体" w:hAnsi="宋体" w:cs="宋体"/>
                <w:color w:val="auto"/>
                <w:sz w:val="24"/>
                <w:szCs w:val="24"/>
                <w:lang w:val="en-US" w:eastAsia="zh-CN"/>
              </w:rPr>
              <w:t>4-7</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val="0"/>
              <w:overflowPunct/>
              <w:topLinePunct w:val="0"/>
              <w:autoSpaceDE/>
              <w:autoSpaceDN/>
              <w:bidi w:val="0"/>
              <w:adjustRightInd/>
              <w:snapToGrid/>
              <w:spacing w:line="312" w:lineRule="auto"/>
              <w:ind w:leftChars="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承诺的资源配置及服务一般，得</w:t>
            </w: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分；</w:t>
            </w:r>
          </w:p>
          <w:p>
            <w:pPr>
              <w:keepNext w:val="0"/>
              <w:keepLines w:val="0"/>
              <w:pageBreakBefore w:val="0"/>
              <w:widowControl/>
              <w:kinsoku/>
              <w:wordWrap w:val="0"/>
              <w:overflowPunct/>
              <w:topLinePunct w:val="0"/>
              <w:autoSpaceDE/>
              <w:autoSpaceDN/>
              <w:bidi w:val="0"/>
              <w:adjustRightInd/>
              <w:snapToGrid/>
              <w:spacing w:line="312" w:lineRule="auto"/>
              <w:ind w:left="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01"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p>
        </w:tc>
        <w:tc>
          <w:tcPr>
            <w:tcW w:w="1392" w:type="dxa"/>
            <w:tcBorders>
              <w:top w:val="single" w:color="auto" w:sz="4" w:space="0"/>
              <w:left w:val="nil"/>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autoSpaceDN/>
              <w:bidi w:val="0"/>
              <w:adjustRightInd/>
              <w:snapToGrid/>
              <w:spacing w:line="312" w:lineRule="auto"/>
              <w:ind w:left="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企业业绩</w:t>
            </w:r>
          </w:p>
          <w:p>
            <w:pPr>
              <w:pStyle w:val="5"/>
              <w:keepNext w:val="0"/>
              <w:keepLines w:val="0"/>
              <w:pageBreakBefore w:val="0"/>
              <w:widowControl w:val="0"/>
              <w:kinsoku/>
              <w:wordWrap/>
              <w:overflowPunct/>
              <w:topLinePunct w:val="0"/>
              <w:autoSpaceDE/>
              <w:autoSpaceDN/>
              <w:bidi w:val="0"/>
              <w:adjustRightInd/>
              <w:snapToGrid/>
              <w:spacing w:line="312" w:lineRule="auto"/>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(6分)</w:t>
            </w:r>
          </w:p>
        </w:tc>
        <w:tc>
          <w:tcPr>
            <w:tcW w:w="74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firstLine="240" w:firstLineChars="1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投标人提供2020年1月1日</w:t>
            </w:r>
            <w:r>
              <w:rPr>
                <w:rFonts w:hint="eastAsia" w:ascii="宋体" w:hAnsi="宋体" w:cs="宋体"/>
                <w:color w:val="auto"/>
                <w:kern w:val="2"/>
                <w:sz w:val="24"/>
                <w:szCs w:val="24"/>
                <w:lang w:val="en-US" w:eastAsia="zh-CN" w:bidi="ar-SA"/>
              </w:rPr>
              <w:t>以来</w:t>
            </w:r>
            <w:r>
              <w:rPr>
                <w:rFonts w:hint="eastAsia" w:ascii="宋体" w:hAnsi="宋体" w:eastAsia="宋体" w:cs="宋体"/>
                <w:color w:val="auto"/>
                <w:kern w:val="2"/>
                <w:sz w:val="24"/>
                <w:szCs w:val="24"/>
                <w:lang w:val="en-US" w:eastAsia="zh-CN" w:bidi="ar-SA"/>
              </w:rPr>
              <w:t>的类似业绩，每提供一项符合要求的类似业绩得</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分，最高得</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分。</w:t>
            </w:r>
            <w:r>
              <w:rPr>
                <w:rFonts w:hint="eastAsia" w:ascii="宋体" w:hAnsi="宋体" w:cs="宋体"/>
                <w:color w:val="auto"/>
                <w:kern w:val="2"/>
                <w:sz w:val="24"/>
                <w:szCs w:val="24"/>
                <w:lang w:val="en-US" w:eastAsia="zh-CN" w:bidi="ar-SA"/>
              </w:rPr>
              <w:t>（提供合同协议书）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10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rPr>
            </w:pP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企业实力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74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12" w:lineRule="auto"/>
              <w:ind w:lef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供应商须提供</w:t>
            </w:r>
            <w:r>
              <w:rPr>
                <w:rFonts w:hint="eastAsia" w:ascii="宋体" w:hAnsi="宋体" w:cs="宋体"/>
                <w:color w:val="auto"/>
                <w:sz w:val="24"/>
                <w:szCs w:val="24"/>
                <w:highlight w:val="none"/>
                <w:lang w:val="en-US" w:eastAsia="zh-CN"/>
              </w:rPr>
              <w:t>三体系证书（即环境管理体系认证证书、职业健康安全管理体系认证证书及质量管理体系认证证书）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w:t>
            </w:r>
            <w:r>
              <w:rPr>
                <w:rFonts w:hint="eastAsia" w:ascii="宋体" w:hAnsi="宋体" w:cs="宋体"/>
                <w:color w:val="auto"/>
                <w:sz w:val="24"/>
                <w:szCs w:val="24"/>
                <w:highlight w:val="none"/>
                <w:lang w:eastAsia="zh-CN"/>
              </w:rPr>
              <w:t>有</w:t>
            </w:r>
            <w:r>
              <w:rPr>
                <w:rFonts w:hint="eastAsia" w:ascii="宋体" w:hAnsi="宋体" w:eastAsia="宋体" w:cs="宋体"/>
                <w:color w:val="auto"/>
                <w:sz w:val="24"/>
                <w:szCs w:val="24"/>
                <w:highlight w:val="none"/>
              </w:rPr>
              <w:t>一项</w:t>
            </w:r>
            <w:r>
              <w:rPr>
                <w:rFonts w:hint="eastAsia" w:ascii="宋体" w:hAnsi="宋体" w:cs="宋体"/>
                <w:color w:val="auto"/>
                <w:sz w:val="24"/>
                <w:szCs w:val="24"/>
                <w:highlight w:val="none"/>
                <w:lang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kern w:val="2"/>
                <w:sz w:val="24"/>
                <w:szCs w:val="24"/>
                <w:highlight w:val="none"/>
                <w:lang w:val="en-US" w:eastAsia="zh-CN" w:bidi="ar-SA"/>
              </w:rPr>
              <w:t>最高得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sz w:val="24"/>
                <w:szCs w:val="24"/>
                <w:highlight w:val="none"/>
              </w:rPr>
              <w:t>）。</w:t>
            </w:r>
          </w:p>
        </w:tc>
      </w:tr>
    </w:tbl>
    <w:p>
      <w:pPr>
        <w:spacing w:line="312" w:lineRule="auto"/>
        <w:ind w:firstLine="643" w:firstLineChars="200"/>
        <w:jc w:val="center"/>
        <w:rPr>
          <w:rFonts w:ascii="宋体" w:hAnsi="宋体" w:cs="宋体"/>
          <w:b/>
          <w:bCs/>
          <w:i/>
          <w:iCs/>
          <w:color w:val="FF0000"/>
          <w:sz w:val="32"/>
          <w:szCs w:val="32"/>
          <w:u w:val="single"/>
        </w:rPr>
      </w:pPr>
    </w:p>
    <w:p>
      <w:pPr>
        <w:spacing w:line="312" w:lineRule="auto"/>
        <w:ind w:firstLine="480" w:firstLineChars="200"/>
        <w:jc w:val="center"/>
        <w:rPr>
          <w:rFonts w:ascii="宋体" w:hAnsi="宋体" w:cs="宋体"/>
          <w:color w:val="FF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ZDJiMmNlZWJiZWYxNzg1NzNmYmQyYzU0ZTU0MjcifQ=="/>
  </w:docVars>
  <w:rsids>
    <w:rsidRoot w:val="124535BC"/>
    <w:rsid w:val="124535BC"/>
    <w:rsid w:val="37BE6CEB"/>
    <w:rsid w:val="3BD55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Table Paragraph"/>
    <w:basedOn w:val="1"/>
    <w:autoRedefine/>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2024-01-19T02:26:00Z</dcterms:created>
  <dc:creator>璩蕊</dc:creator>
  <cp:lastModifiedBy>璩蕊</cp:lastModifiedBy>
  <dcterms:modified xsi:type="dcterms:W3CDTF">2024-01-19T03:00:53Z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6DC8C6FEE6BC4954890018DF1E12CE10_11</vt:lpwstr>
  </property>
</Properties>
</file>