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rPr>
      </w:pPr>
      <w:r>
        <w:rPr>
          <w:rFonts w:hint="eastAsia" w:ascii="宋体" w:hAnsi="宋体"/>
        </w:rPr>
        <w:t xml:space="preserve"> </w:t>
      </w:r>
    </w:p>
    <w:p>
      <w:pPr>
        <w:jc w:val="center"/>
        <w:outlineLvl w:val="0"/>
        <w:rPr>
          <w:rFonts w:ascii="黑体" w:hAnsi="黑体" w:eastAsia="黑体"/>
          <w:color w:val="000000" w:themeColor="text1"/>
          <w:spacing w:val="80"/>
          <w:sz w:val="112"/>
          <w:szCs w:val="112"/>
          <w14:textFill>
            <w14:solidFill>
              <w14:schemeClr w14:val="tx1"/>
            </w14:solidFill>
          </w14:textFill>
        </w:rPr>
      </w:pPr>
      <w:r>
        <w:rPr>
          <w:rFonts w:hint="eastAsia" w:ascii="黑体" w:hAnsi="黑体" w:eastAsia="黑体"/>
          <w:color w:val="000000" w:themeColor="text1"/>
          <w:spacing w:val="80"/>
          <w:sz w:val="112"/>
          <w:szCs w:val="112"/>
          <w:lang w:val="en-US" w:eastAsia="zh-CN"/>
          <w14:textFill>
            <w14:solidFill>
              <w14:schemeClr w14:val="tx1"/>
            </w14:solidFill>
          </w14:textFill>
        </w:rPr>
        <w:t>询比</w:t>
      </w:r>
      <w:r>
        <w:rPr>
          <w:rFonts w:hint="eastAsia" w:ascii="黑体" w:hAnsi="黑体" w:eastAsia="黑体"/>
          <w:color w:val="000000" w:themeColor="text1"/>
          <w:spacing w:val="80"/>
          <w:sz w:val="112"/>
          <w:szCs w:val="112"/>
          <w14:textFill>
            <w14:solidFill>
              <w14:schemeClr w14:val="tx1"/>
            </w14:solidFill>
          </w14:textFill>
        </w:rPr>
        <w:t>采购文件</w:t>
      </w:r>
    </w:p>
    <w:p>
      <w:pPr>
        <w:jc w:val="center"/>
        <w:outlineLvl w:val="0"/>
        <w:rPr>
          <w:rFonts w:ascii="黑体" w:hAnsi="黑体" w:eastAsia="黑体"/>
          <w:color w:val="000000" w:themeColor="text1"/>
          <w:spacing w:val="80"/>
          <w:sz w:val="44"/>
          <w:szCs w:val="44"/>
          <w14:textFill>
            <w14:solidFill>
              <w14:schemeClr w14:val="tx1"/>
            </w14:solidFill>
          </w14:textFill>
        </w:rPr>
      </w:pPr>
      <w:r>
        <w:rPr>
          <w:rFonts w:hint="eastAsia" w:ascii="黑体" w:hAnsi="黑体" w:eastAsia="黑体"/>
          <w:color w:val="000000" w:themeColor="text1"/>
          <w:spacing w:val="80"/>
          <w:sz w:val="44"/>
          <w:szCs w:val="44"/>
          <w14:textFill>
            <w14:solidFill>
              <w14:schemeClr w14:val="tx1"/>
            </w14:solidFill>
          </w14:textFill>
        </w:rPr>
        <w:t>（综合评分法）</w:t>
      </w: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ind w:left="2875" w:leftChars="384" w:hanging="1800" w:hangingChars="500"/>
        <w:jc w:val="both"/>
        <w:rPr>
          <w:rFonts w:ascii="黑体" w:hAnsi="黑体" w:eastAsia="黑体"/>
          <w:b/>
          <w:color w:val="000000" w:themeColor="text1"/>
          <w:sz w:val="30"/>
          <w:szCs w:val="30"/>
          <w14:textFill>
            <w14:solidFill>
              <w14:schemeClr w14:val="tx1"/>
            </w14:solidFill>
          </w14:textFill>
        </w:rPr>
      </w:pPr>
      <w:r>
        <w:rPr>
          <w:rFonts w:hint="eastAsia" w:ascii="黑体" w:hAnsi="黑体" w:eastAsia="黑体"/>
          <w:color w:val="000000" w:themeColor="text1"/>
          <w:sz w:val="36"/>
          <w:szCs w:val="30"/>
          <w14:textFill>
            <w14:solidFill>
              <w14:schemeClr w14:val="tx1"/>
            </w14:solidFill>
          </w14:textFill>
        </w:rPr>
        <w:t>项目名称</w:t>
      </w:r>
      <w:r>
        <w:rPr>
          <w:rFonts w:hint="eastAsia" w:ascii="黑体" w:hAnsi="黑体" w:eastAsia="黑体"/>
          <w:color w:val="000000" w:themeColor="text1"/>
          <w:sz w:val="36"/>
          <w:szCs w:val="30"/>
          <w:u w:val="none"/>
          <w:lang w:eastAsia="zh-CN"/>
          <w14:textFill>
            <w14:solidFill>
              <w14:schemeClr w14:val="tx1"/>
            </w14:solidFill>
          </w14:textFill>
        </w:rPr>
        <w:t>：</w:t>
      </w:r>
      <w:r>
        <w:rPr>
          <w:rFonts w:hint="eastAsia" w:ascii="黑体" w:hAnsi="黑体" w:eastAsia="黑体" w:cs="黑体"/>
          <w:i w:val="0"/>
          <w:iCs w:val="0"/>
          <w:color w:val="000000"/>
          <w:sz w:val="36"/>
          <w:szCs w:val="36"/>
          <w:u w:val="single"/>
          <w:lang w:eastAsia="zh-CN"/>
        </w:rPr>
        <w:t>昌都市卡若区夏通街片区配套基础设施提升项目可行性研究报告技术服务</w:t>
      </w:r>
    </w:p>
    <w:p>
      <w:pPr>
        <w:spacing w:line="700" w:lineRule="exact"/>
        <w:rPr>
          <w:rFonts w:ascii="黑体" w:hAnsi="黑体" w:eastAsia="黑体"/>
          <w:b/>
          <w:color w:val="000000" w:themeColor="text1"/>
          <w:sz w:val="30"/>
          <w:szCs w:val="30"/>
          <w14:textFill>
            <w14:solidFill>
              <w14:schemeClr w14:val="tx1"/>
            </w14:solidFill>
          </w14:textFill>
        </w:rPr>
      </w:pPr>
    </w:p>
    <w:p>
      <w:pPr>
        <w:spacing w:line="700" w:lineRule="exact"/>
        <w:rPr>
          <w:rFonts w:ascii="黑体" w:hAnsi="黑体" w:eastAsia="黑体"/>
          <w:b/>
          <w:color w:val="000000" w:themeColor="text1"/>
          <w:sz w:val="30"/>
          <w:szCs w:val="30"/>
          <w14:textFill>
            <w14:solidFill>
              <w14:schemeClr w14:val="tx1"/>
            </w14:solidFill>
          </w14:textFill>
        </w:rPr>
      </w:pPr>
    </w:p>
    <w:p>
      <w:pPr>
        <w:spacing w:line="700" w:lineRule="exact"/>
        <w:rPr>
          <w:rFonts w:ascii="黑体" w:hAnsi="黑体" w:eastAsia="黑体"/>
          <w:b/>
          <w:color w:val="000000" w:themeColor="text1"/>
          <w:sz w:val="30"/>
          <w:szCs w:val="30"/>
          <w14:textFill>
            <w14:solidFill>
              <w14:schemeClr w14:val="tx1"/>
            </w14:solidFill>
          </w14:textFill>
        </w:rPr>
      </w:pPr>
    </w:p>
    <w:p>
      <w:pPr>
        <w:spacing w:line="700" w:lineRule="exact"/>
        <w:rPr>
          <w:rFonts w:ascii="黑体" w:hAnsi="黑体" w:eastAsia="黑体"/>
          <w:b/>
          <w:color w:val="000000" w:themeColor="text1"/>
          <w:sz w:val="30"/>
          <w:szCs w:val="30"/>
          <w14:textFill>
            <w14:solidFill>
              <w14:schemeClr w14:val="tx1"/>
            </w14:solidFill>
          </w14:textFill>
        </w:rPr>
      </w:pPr>
    </w:p>
    <w:p>
      <w:pPr>
        <w:pStyle w:val="3"/>
        <w:ind w:firstLine="1080" w:firstLineChars="300"/>
        <w:rPr>
          <w:rFonts w:hint="eastAsia" w:ascii="黑体" w:hAnsi="黑体" w:eastAsia="黑体"/>
          <w:color w:val="000000" w:themeColor="text1"/>
          <w:sz w:val="36"/>
          <w:szCs w:val="30"/>
          <w:u w:val="single"/>
          <w:lang w:eastAsia="zh-CN"/>
          <w14:textFill>
            <w14:solidFill>
              <w14:schemeClr w14:val="tx1"/>
            </w14:solidFill>
          </w14:textFill>
        </w:rPr>
      </w:pPr>
      <w:r>
        <w:rPr>
          <w:rFonts w:hint="eastAsia" w:ascii="黑体" w:hAnsi="黑体" w:eastAsia="黑体"/>
          <w:color w:val="000000" w:themeColor="text1"/>
          <w:sz w:val="36"/>
          <w:szCs w:val="30"/>
          <w14:textFill>
            <w14:solidFill>
              <w14:schemeClr w14:val="tx1"/>
            </w14:solidFill>
          </w14:textFill>
        </w:rPr>
        <w:t>采   购   人：</w:t>
      </w:r>
      <w:r>
        <w:rPr>
          <w:rFonts w:hint="eastAsia" w:ascii="黑体" w:hAnsi="黑体" w:eastAsia="黑体"/>
          <w:color w:val="000000" w:themeColor="text1"/>
          <w:sz w:val="36"/>
          <w:szCs w:val="30"/>
          <w:u w:val="single"/>
          <w:lang w:eastAsia="zh-CN"/>
          <w14:textFill>
            <w14:solidFill>
              <w14:schemeClr w14:val="tx1"/>
            </w14:solidFill>
          </w14:textFill>
        </w:rPr>
        <w:t>昌都市卡若区住房和城乡建设局</w:t>
      </w:r>
    </w:p>
    <w:p>
      <w:pPr>
        <w:pStyle w:val="3"/>
        <w:rPr>
          <w:rFonts w:hint="eastAsia" w:ascii="黑体" w:hAnsi="黑体" w:eastAsia="黑体"/>
          <w:color w:val="000000" w:themeColor="text1"/>
          <w:sz w:val="36"/>
          <w:szCs w:val="30"/>
          <w:u w:val="single"/>
          <w:lang w:eastAsia="zh-CN"/>
          <w14:textFill>
            <w14:solidFill>
              <w14:schemeClr w14:val="tx1"/>
            </w14:solidFill>
          </w14:textFill>
        </w:rPr>
      </w:pPr>
    </w:p>
    <w:p>
      <w:pPr>
        <w:pStyle w:val="3"/>
        <w:rPr>
          <w:rFonts w:hint="eastAsia" w:ascii="黑体" w:hAnsi="黑体" w:eastAsia="黑体"/>
          <w:color w:val="000000" w:themeColor="text1"/>
          <w:sz w:val="36"/>
          <w:szCs w:val="30"/>
          <w:u w:val="single"/>
          <w:lang w:eastAsia="zh-CN"/>
          <w14:textFill>
            <w14:solidFill>
              <w14:schemeClr w14:val="tx1"/>
            </w14:solidFill>
          </w14:textFill>
        </w:rPr>
      </w:pPr>
    </w:p>
    <w:p>
      <w:pPr>
        <w:spacing w:line="720" w:lineRule="exact"/>
        <w:jc w:val="center"/>
        <w:outlineLvl w:val="0"/>
        <w:rPr>
          <w:rFonts w:ascii="黑体" w:hAnsi="黑体" w:eastAsia="黑体"/>
          <w:color w:val="000000" w:themeColor="text1"/>
          <w:sz w:val="48"/>
          <w:szCs w:val="32"/>
          <w14:textFill>
            <w14:solidFill>
              <w14:schemeClr w14:val="tx1"/>
            </w14:solidFill>
          </w14:textFill>
        </w:rPr>
      </w:pPr>
      <w:r>
        <w:rPr>
          <w:rFonts w:hint="eastAsia" w:ascii="黑体" w:hAnsi="黑体" w:eastAsia="黑体"/>
          <w:color w:val="000000" w:themeColor="text1"/>
          <w:sz w:val="48"/>
          <w:szCs w:val="32"/>
          <w14:textFill>
            <w14:solidFill>
              <w14:schemeClr w14:val="tx1"/>
            </w14:solidFill>
          </w14:textFill>
        </w:rPr>
        <w:t>二〇</w:t>
      </w:r>
      <w:r>
        <w:rPr>
          <w:rFonts w:hint="eastAsia" w:ascii="黑体" w:hAnsi="黑体" w:eastAsia="黑体"/>
          <w:color w:val="000000" w:themeColor="text1"/>
          <w:sz w:val="48"/>
          <w:szCs w:val="32"/>
          <w:lang w:eastAsia="zh-CN"/>
          <w14:textFill>
            <w14:solidFill>
              <w14:schemeClr w14:val="tx1"/>
            </w14:solidFill>
          </w14:textFill>
        </w:rPr>
        <w:t>二</w:t>
      </w:r>
      <w:r>
        <w:rPr>
          <w:rFonts w:hint="eastAsia" w:ascii="黑体" w:hAnsi="黑体" w:eastAsia="黑体"/>
          <w:color w:val="000000" w:themeColor="text1"/>
          <w:sz w:val="48"/>
          <w:szCs w:val="32"/>
          <w:lang w:val="en-US" w:eastAsia="zh-CN"/>
          <w14:textFill>
            <w14:solidFill>
              <w14:schemeClr w14:val="tx1"/>
            </w14:solidFill>
          </w14:textFill>
        </w:rPr>
        <w:t>四</w:t>
      </w:r>
      <w:r>
        <w:rPr>
          <w:rFonts w:hint="eastAsia" w:ascii="黑体" w:hAnsi="黑体" w:eastAsia="黑体"/>
          <w:color w:val="000000" w:themeColor="text1"/>
          <w:sz w:val="48"/>
          <w:szCs w:val="32"/>
          <w14:textFill>
            <w14:solidFill>
              <w14:schemeClr w14:val="tx1"/>
            </w14:solidFill>
          </w14:textFill>
        </w:rPr>
        <w:t>年</w:t>
      </w:r>
      <w:r>
        <w:rPr>
          <w:rFonts w:hint="eastAsia" w:ascii="黑体" w:hAnsi="黑体" w:eastAsia="黑体"/>
          <w:color w:val="000000" w:themeColor="text1"/>
          <w:sz w:val="48"/>
          <w:szCs w:val="32"/>
          <w:lang w:val="en-US" w:eastAsia="zh-CN"/>
          <w14:textFill>
            <w14:solidFill>
              <w14:schemeClr w14:val="tx1"/>
            </w14:solidFill>
          </w14:textFill>
        </w:rPr>
        <w:t>一</w:t>
      </w:r>
      <w:r>
        <w:rPr>
          <w:rFonts w:hint="eastAsia" w:ascii="黑体" w:hAnsi="黑体" w:eastAsia="黑体"/>
          <w:color w:val="000000" w:themeColor="text1"/>
          <w:sz w:val="48"/>
          <w:szCs w:val="32"/>
          <w14:textFill>
            <w14:solidFill>
              <w14:schemeClr w14:val="tx1"/>
            </w14:solidFill>
          </w14:textFill>
        </w:rPr>
        <w:t>月</w:t>
      </w:r>
    </w:p>
    <w:p>
      <w:pPr>
        <w:spacing w:line="480" w:lineRule="exact"/>
        <w:outlineLvl w:val="0"/>
        <w:rPr>
          <w:rFonts w:ascii="黑体" w:hAnsi="黑体" w:eastAsia="黑体"/>
          <w:color w:val="000000" w:themeColor="text1"/>
          <w:sz w:val="44"/>
          <w:szCs w:val="28"/>
          <w14:textFill>
            <w14:solidFill>
              <w14:schemeClr w14:val="tx1"/>
            </w14:solidFill>
          </w14:textFill>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spacing w:line="360" w:lineRule="auto"/>
        <w:jc w:val="center"/>
        <w:outlineLvl w:val="0"/>
        <w:rPr>
          <w:rFonts w:ascii="黑体" w:hAnsi="黑体" w:eastAsia="黑体"/>
          <w:b/>
          <w:bCs/>
          <w:color w:val="000000" w:themeColor="text1"/>
          <w:spacing w:val="80"/>
          <w:sz w:val="44"/>
          <w:szCs w:val="44"/>
          <w14:textFill>
            <w14:solidFill>
              <w14:schemeClr w14:val="tx1"/>
            </w14:solidFill>
          </w14:textFill>
        </w:rPr>
      </w:pPr>
      <w:r>
        <w:rPr>
          <w:rFonts w:hint="eastAsia" w:ascii="黑体" w:hAnsi="黑体" w:eastAsia="黑体"/>
          <w:b/>
          <w:bCs/>
          <w:color w:val="000000" w:themeColor="text1"/>
          <w:spacing w:val="80"/>
          <w:sz w:val="44"/>
          <w:szCs w:val="44"/>
          <w14:textFill>
            <w14:solidFill>
              <w14:schemeClr w14:val="tx1"/>
            </w14:solidFill>
          </w14:textFill>
        </w:rPr>
        <w:t>（综合评分法）</w:t>
      </w:r>
    </w:p>
    <w:p>
      <w:pPr>
        <w:pStyle w:val="2"/>
        <w:spacing w:before="0" w:after="0" w:line="360" w:lineRule="auto"/>
        <w:rPr>
          <w:rFonts w:ascii="宋体" w:hAnsi="宋体" w:cs="宋体"/>
          <w:color w:val="000000" w:themeColor="text1"/>
          <w:sz w:val="24"/>
          <w:szCs w:val="24"/>
          <w14:textFill>
            <w14:solidFill>
              <w14:schemeClr w14:val="tx1"/>
            </w14:solidFill>
          </w14:textFill>
        </w:rPr>
      </w:pPr>
      <w:bookmarkStart w:id="0" w:name="_Toc18881"/>
      <w:bookmarkStart w:id="1" w:name="_Toc313893526"/>
      <w:bookmarkStart w:id="2" w:name="_Toc25458"/>
      <w:bookmarkStart w:id="3" w:name="_Toc7625"/>
      <w:bookmarkStart w:id="4" w:name="_Toc3463"/>
      <w:bookmarkStart w:id="5" w:name="_Toc12808"/>
      <w:bookmarkStart w:id="6" w:name="_Toc317775175"/>
      <w:bookmarkStart w:id="7" w:name="_Toc26820"/>
      <w:bookmarkStart w:id="8" w:name="_Toc18159"/>
      <w:r>
        <w:rPr>
          <w:rFonts w:hint="eastAsia" w:ascii="宋体" w:hAnsi="宋体" w:cs="宋体"/>
          <w:color w:val="000000" w:themeColor="text1"/>
          <w:sz w:val="24"/>
          <w:szCs w:val="24"/>
          <w14:textFill>
            <w14:solidFill>
              <w14:schemeClr w14:val="tx1"/>
            </w14:solidFill>
          </w14:textFill>
        </w:rPr>
        <w:t>一、询比采购内容</w:t>
      </w:r>
      <w:bookmarkEnd w:id="0"/>
      <w:bookmarkEnd w:id="1"/>
      <w:bookmarkEnd w:id="2"/>
      <w:bookmarkEnd w:id="3"/>
      <w:bookmarkEnd w:id="4"/>
      <w:bookmarkEnd w:id="5"/>
      <w:bookmarkEnd w:id="6"/>
      <w:bookmarkEnd w:id="7"/>
      <w:bookmarkEnd w:id="8"/>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1560"/>
        <w:gridCol w:w="1537"/>
        <w:gridCol w:w="1263"/>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623" w:type="dxa"/>
            <w:tcBorders>
              <w:top w:val="single" w:color="auto" w:sz="4" w:space="0"/>
              <w:left w:val="single" w:color="auto" w:sz="4" w:space="0"/>
              <w:right w:val="single" w:color="auto" w:sz="4" w:space="0"/>
            </w:tcBorders>
            <w:noWrap w:val="0"/>
            <w:vAlign w:val="center"/>
          </w:tcPr>
          <w:p>
            <w:pPr>
              <w:widowControl/>
              <w:spacing w:line="360" w:lineRule="auto"/>
              <w:jc w:val="center"/>
              <w:rPr>
                <w:rFonts w:ascii="宋体" w:hAnsi="宋体" w:cs="宋体"/>
                <w:b/>
                <w:bCs/>
                <w:color w:val="000000" w:themeColor="text1"/>
                <w:kern w:val="0"/>
                <w:sz w:val="24"/>
                <w:szCs w:val="24"/>
                <w14:textFill>
                  <w14:solidFill>
                    <w14:schemeClr w14:val="tx1"/>
                  </w14:solidFill>
                </w14:textFill>
              </w:rPr>
            </w:pPr>
            <w:bookmarkStart w:id="9" w:name="_Toc22399"/>
            <w:bookmarkStart w:id="10" w:name="_Toc19437"/>
            <w:bookmarkStart w:id="11" w:name="_Toc15727"/>
            <w:bookmarkStart w:id="12" w:name="_Toc25190"/>
            <w:bookmarkStart w:id="13" w:name="_Toc15576"/>
            <w:bookmarkStart w:id="14" w:name="_Toc6462"/>
            <w:bookmarkStart w:id="15" w:name="_Toc1790"/>
            <w:bookmarkStart w:id="16" w:name="_Toc373860293"/>
            <w:bookmarkStart w:id="17" w:name="_Toc317775178"/>
            <w:r>
              <w:rPr>
                <w:rFonts w:hint="eastAsia" w:ascii="宋体" w:hAnsi="宋体" w:cs="宋体"/>
                <w:b/>
                <w:bCs/>
                <w:color w:val="000000" w:themeColor="text1"/>
                <w:kern w:val="0"/>
                <w:sz w:val="24"/>
                <w:szCs w:val="24"/>
                <w14:textFill>
                  <w14:solidFill>
                    <w14:schemeClr w14:val="tx1"/>
                  </w14:solidFill>
                </w14:textFill>
              </w:rPr>
              <w:t>项目名称</w:t>
            </w:r>
          </w:p>
        </w:tc>
        <w:tc>
          <w:tcPr>
            <w:tcW w:w="1560" w:type="dxa"/>
            <w:tcBorders>
              <w:top w:val="single" w:color="auto" w:sz="4" w:space="0"/>
              <w:left w:val="single" w:color="auto" w:sz="4" w:space="0"/>
              <w:right w:val="single" w:color="auto" w:sz="4" w:space="0"/>
            </w:tcBorders>
            <w:noWrap w:val="0"/>
            <w:vAlign w:val="center"/>
          </w:tcPr>
          <w:p>
            <w:pPr>
              <w:widowControl/>
              <w:spacing w:line="360" w:lineRule="auto"/>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采购预算</w:t>
            </w:r>
          </w:p>
          <w:p>
            <w:pPr>
              <w:spacing w:line="360" w:lineRule="auto"/>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（万元）</w:t>
            </w:r>
          </w:p>
        </w:tc>
        <w:tc>
          <w:tcPr>
            <w:tcW w:w="1537"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成交供应商数量（名）</w:t>
            </w:r>
          </w:p>
        </w:tc>
        <w:tc>
          <w:tcPr>
            <w:tcW w:w="1263" w:type="dxa"/>
            <w:tcBorders>
              <w:top w:val="single" w:color="auto" w:sz="4" w:space="0"/>
              <w:left w:val="single" w:color="auto" w:sz="4" w:space="0"/>
              <w:right w:val="single" w:color="auto" w:sz="4" w:space="0"/>
            </w:tcBorders>
            <w:noWrap w:val="0"/>
            <w:vAlign w:val="center"/>
          </w:tcPr>
          <w:p>
            <w:pPr>
              <w:spacing w:line="360" w:lineRule="auto"/>
              <w:rPr>
                <w:rFonts w:ascii="宋体" w:hAnsi="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资金来源</w:t>
            </w:r>
          </w:p>
        </w:tc>
        <w:tc>
          <w:tcPr>
            <w:tcW w:w="1100"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623"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bookmarkStart w:id="18" w:name="_Hlk344477914"/>
            <w:r>
              <w:rPr>
                <w:rFonts w:hint="eastAsia" w:ascii="宋体" w:hAnsi="宋体" w:cs="宋体"/>
                <w:b/>
                <w:bCs/>
                <w:i w:val="0"/>
                <w:iCs w:val="0"/>
                <w:color w:val="000000"/>
                <w:sz w:val="24"/>
                <w:szCs w:val="24"/>
                <w:u w:val="none"/>
                <w:lang w:eastAsia="zh-CN"/>
              </w:rPr>
              <w:t>昌都市卡若区夏通街片区配套基础设施提升项目可行性研究报告技术服务</w:t>
            </w:r>
          </w:p>
        </w:tc>
        <w:tc>
          <w:tcPr>
            <w:tcW w:w="1560" w:type="dxa"/>
            <w:tcBorders>
              <w:top w:val="single" w:color="auto" w:sz="4" w:space="0"/>
              <w:left w:val="single" w:color="auto" w:sz="4" w:space="0"/>
              <w:right w:val="single" w:color="auto" w:sz="4" w:space="0"/>
            </w:tcBorders>
            <w:noWrap w:val="0"/>
            <w:vAlign w:val="center"/>
          </w:tcPr>
          <w:p>
            <w:pPr>
              <w:widowControl/>
              <w:spacing w:line="360" w:lineRule="auto"/>
              <w:jc w:val="left"/>
              <w:rPr>
                <w:rFonts w:hint="default" w:ascii="宋体" w:hAnsi="宋体" w:eastAsia="宋体" w:cs="宋体"/>
                <w:b/>
                <w:bCs/>
                <w:color w:val="000000" w:themeColor="text1"/>
                <w:kern w:val="0"/>
                <w:sz w:val="24"/>
                <w:szCs w:val="24"/>
                <w:u w:val="single"/>
                <w:lang w:val="en-US" w:eastAsia="zh-CN"/>
                <w14:textFill>
                  <w14:solidFill>
                    <w14:schemeClr w14:val="tx1"/>
                  </w14:solidFill>
                </w14:textFill>
              </w:rPr>
            </w:pPr>
            <w:r>
              <w:rPr>
                <w:rFonts w:hint="eastAsia" w:ascii="宋体" w:hAnsi="宋体" w:cs="宋体"/>
                <w:b/>
                <w:bCs/>
                <w:color w:val="000000" w:themeColor="text1"/>
                <w:kern w:val="0"/>
                <w:sz w:val="24"/>
                <w:szCs w:val="24"/>
                <w:u w:val="single"/>
                <w:lang w:val="en-US" w:eastAsia="zh-CN"/>
                <w14:textFill>
                  <w14:solidFill>
                    <w14:schemeClr w14:val="tx1"/>
                  </w14:solidFill>
                </w14:textFill>
              </w:rPr>
              <w:t>10000（以概算批复为准）</w:t>
            </w:r>
          </w:p>
        </w:tc>
        <w:tc>
          <w:tcPr>
            <w:tcW w:w="1537" w:type="dxa"/>
            <w:tcBorders>
              <w:top w:val="single" w:color="auto" w:sz="4" w:space="0"/>
              <w:left w:val="single" w:color="auto" w:sz="4" w:space="0"/>
              <w:right w:val="single" w:color="auto" w:sz="4" w:space="0"/>
            </w:tcBorders>
            <w:noWrap w:val="0"/>
            <w:vAlign w:val="center"/>
          </w:tcPr>
          <w:p>
            <w:pPr>
              <w:widowControl/>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1263" w:type="dxa"/>
            <w:tcBorders>
              <w:top w:val="single" w:color="auto" w:sz="4" w:space="0"/>
              <w:left w:val="single" w:color="auto" w:sz="4" w:space="0"/>
              <w:right w:val="single" w:color="auto" w:sz="4" w:space="0"/>
            </w:tcBorders>
            <w:noWrap w:val="0"/>
            <w:vAlign w:val="center"/>
          </w:tcPr>
          <w:p>
            <w:pPr>
              <w:spacing w:line="360" w:lineRule="auto"/>
              <w:jc w:val="left"/>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国家资金</w:t>
            </w:r>
          </w:p>
        </w:tc>
        <w:tc>
          <w:tcPr>
            <w:tcW w:w="1100" w:type="dxa"/>
            <w:tcBorders>
              <w:top w:val="single" w:color="auto" w:sz="4" w:space="0"/>
              <w:left w:val="single" w:color="auto" w:sz="4" w:space="0"/>
              <w:right w:val="single" w:color="auto" w:sz="4" w:space="0"/>
            </w:tcBorders>
            <w:noWrap w:val="0"/>
            <w:vAlign w:val="center"/>
          </w:tcPr>
          <w:p>
            <w:pPr>
              <w:spacing w:line="360" w:lineRule="auto"/>
              <w:jc w:val="left"/>
              <w:rPr>
                <w:rFonts w:ascii="宋体" w:hAnsi="宋体"/>
                <w:b/>
                <w:color w:val="000000" w:themeColor="text1"/>
                <w:sz w:val="24"/>
                <w:szCs w:val="24"/>
                <w14:textFill>
                  <w14:solidFill>
                    <w14:schemeClr w14:val="tx1"/>
                  </w14:solidFill>
                </w14:textFill>
              </w:rPr>
            </w:pPr>
          </w:p>
        </w:tc>
      </w:tr>
      <w:bookmarkEnd w:id="18"/>
    </w:tbl>
    <w:p>
      <w:pPr>
        <w:pStyle w:val="2"/>
        <w:spacing w:before="0" w:after="0" w:line="360" w:lineRule="auto"/>
        <w:rPr>
          <w:rFonts w:hint="eastAsia" w:ascii="宋体" w:hAnsi="宋体" w:cs="宋体"/>
          <w:color w:val="000000" w:themeColor="text1"/>
          <w:sz w:val="24"/>
          <w:szCs w:val="24"/>
          <w14:textFill>
            <w14:solidFill>
              <w14:schemeClr w14:val="tx1"/>
            </w14:solidFill>
          </w14:textFill>
        </w:rPr>
      </w:pPr>
    </w:p>
    <w:p>
      <w:pPr>
        <w:pStyle w:val="2"/>
        <w:spacing w:before="0"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二、询比</w:t>
      </w:r>
      <w:bookmarkEnd w:id="9"/>
      <w:bookmarkEnd w:id="10"/>
      <w:bookmarkEnd w:id="11"/>
      <w:bookmarkEnd w:id="12"/>
      <w:bookmarkEnd w:id="13"/>
      <w:bookmarkEnd w:id="14"/>
      <w:bookmarkEnd w:id="15"/>
      <w:r>
        <w:rPr>
          <w:rFonts w:hint="eastAsia" w:ascii="宋体" w:hAnsi="宋体" w:cs="宋体"/>
          <w:color w:val="000000" w:themeColor="text1"/>
          <w:sz w:val="24"/>
          <w:szCs w:val="24"/>
          <w14:textFill>
            <w14:solidFill>
              <w14:schemeClr w14:val="tx1"/>
            </w14:solidFill>
          </w14:textFill>
        </w:rPr>
        <w:t>资格条件</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（一）一般资格条件</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1、具有独立承担民事责任的能力（提供法人或者其他组织的营业执照等证明文件，扫描件加盖公章）；</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2、具有良好的商业信誉和健全的财务会计制度；</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3、具有履行合同所必需的设备和专业技术能力；</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4、有依法缴纳税收和社会保障资金的良好记录；</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5、参加政府采购活动前三年内，在经营活动中没有重大违法记录；</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6、法律、行政法规规定的其他条件。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（2-6由供应商自行提供承诺说明，加盖公章）</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（二）特定资格条件</w:t>
      </w:r>
      <w:bookmarkStart w:id="36" w:name="_GoBack"/>
      <w:bookmarkEnd w:id="36"/>
    </w:p>
    <w:bookmarkEnd w:id="16"/>
    <w:bookmarkEnd w:id="17"/>
    <w:p>
      <w:pPr>
        <w:snapToGrid w:val="0"/>
        <w:spacing w:line="360" w:lineRule="auto"/>
        <w:ind w:firstLine="480" w:firstLineChars="200"/>
        <w:rPr>
          <w:rFonts w:hint="eastAsia" w:asciiTheme="minorEastAsia" w:hAnsiTheme="minorEastAsia" w:eastAsiaTheme="minorEastAsia" w:cstheme="minorEastAsia"/>
          <w:i w:val="0"/>
          <w:caps w:val="0"/>
          <w:color w:val="000000"/>
          <w:spacing w:val="0"/>
          <w:sz w:val="24"/>
          <w:szCs w:val="24"/>
          <w:lang w:val="en-US" w:eastAsia="zh-CN"/>
        </w:rPr>
      </w:pPr>
      <w:r>
        <w:rPr>
          <w:rFonts w:hint="eastAsia" w:asciiTheme="minorEastAsia" w:hAnsiTheme="minorEastAsia" w:eastAsiaTheme="minorEastAsia" w:cstheme="minorEastAsia"/>
          <w:i w:val="0"/>
          <w:caps w:val="0"/>
          <w:color w:val="000000"/>
          <w:spacing w:val="0"/>
          <w:sz w:val="24"/>
          <w:szCs w:val="24"/>
          <w:lang w:val="en-US" w:eastAsia="zh-CN"/>
        </w:rPr>
        <w:t>无</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三、采购服务内容</w:t>
      </w:r>
    </w:p>
    <w:p>
      <w:pPr>
        <w:numPr>
          <w:ilvl w:val="0"/>
          <w:numId w:val="0"/>
        </w:numPr>
        <w:spacing w:line="360" w:lineRule="auto"/>
        <w:ind w:firstLine="480" w:firstLineChars="200"/>
        <w:jc w:val="left"/>
        <w:rPr>
          <w:rFonts w:hint="default" w:ascii="宋体" w:hAnsi="宋体" w:cs="宋体"/>
          <w:b w:val="0"/>
          <w:bCs w:val="0"/>
          <w:i w:val="0"/>
          <w:iCs w:val="0"/>
          <w:color w:val="000000"/>
          <w:sz w:val="24"/>
          <w:szCs w:val="24"/>
          <w:u w:val="none"/>
          <w:lang w:val="en-US" w:eastAsia="zh-CN"/>
        </w:rPr>
      </w:pPr>
      <w:r>
        <w:rPr>
          <w:rFonts w:hint="eastAsia" w:ascii="宋体" w:hAnsi="宋体" w:cs="宋体"/>
          <w:b w:val="0"/>
          <w:bCs w:val="0"/>
          <w:i w:val="0"/>
          <w:iCs w:val="0"/>
          <w:color w:val="000000"/>
          <w:sz w:val="24"/>
          <w:szCs w:val="24"/>
          <w:u w:val="none"/>
          <w:lang w:eastAsia="zh-CN"/>
        </w:rPr>
        <w:t>昌都市卡若区夏通街片区配套基础设施提升项目可行性研究报告技术服务，</w:t>
      </w:r>
      <w:r>
        <w:rPr>
          <w:rFonts w:hint="eastAsia" w:cs="宋体" w:asciiTheme="majorEastAsia" w:hAnsiTheme="majorEastAsia" w:eastAsiaTheme="majorEastAsia"/>
          <w:b w:val="0"/>
          <w:bCs w:val="0"/>
          <w:color w:val="000000" w:themeColor="text1"/>
          <w:sz w:val="24"/>
          <w:szCs w:val="24"/>
          <w:lang w:eastAsia="zh-CN"/>
          <w14:textFill>
            <w14:solidFill>
              <w14:schemeClr w14:val="tx1"/>
            </w14:solidFill>
          </w14:textFill>
        </w:rPr>
        <w:t>本次</w:t>
      </w:r>
      <w:r>
        <w:rPr>
          <w:rFonts w:hint="eastAsia" w:cs="宋体" w:asciiTheme="majorEastAsia" w:hAnsiTheme="majorEastAsia" w:eastAsiaTheme="majorEastAsia"/>
          <w:b w:val="0"/>
          <w:bCs w:val="0"/>
          <w:color w:val="000000" w:themeColor="text1"/>
          <w:sz w:val="24"/>
          <w:szCs w:val="24"/>
          <w:lang w:val="en-US" w:eastAsia="zh-CN"/>
          <w14:textFill>
            <w14:solidFill>
              <w14:schemeClr w14:val="tx1"/>
            </w14:solidFill>
          </w14:textFill>
        </w:rPr>
        <w:t>询比</w:t>
      </w:r>
      <w:r>
        <w:rPr>
          <w:rFonts w:hint="eastAsia" w:cs="宋体" w:asciiTheme="majorEastAsia" w:hAnsiTheme="majorEastAsia" w:eastAsiaTheme="majorEastAsia"/>
          <w:b w:val="0"/>
          <w:bCs w:val="0"/>
          <w:color w:val="000000" w:themeColor="text1"/>
          <w:sz w:val="24"/>
          <w:szCs w:val="24"/>
          <w:lang w:eastAsia="zh-CN"/>
          <w14:textFill>
            <w14:solidFill>
              <w14:schemeClr w14:val="tx1"/>
            </w14:solidFill>
          </w14:textFill>
        </w:rPr>
        <w:t>内容是对</w:t>
      </w:r>
      <w:r>
        <w:rPr>
          <w:rFonts w:hint="eastAsia" w:ascii="宋体" w:hAnsi="宋体" w:cs="宋体"/>
          <w:b w:val="0"/>
          <w:bCs w:val="0"/>
          <w:i w:val="0"/>
          <w:iCs w:val="0"/>
          <w:color w:val="000000"/>
          <w:sz w:val="24"/>
          <w:szCs w:val="24"/>
          <w:u w:val="none"/>
          <w:lang w:val="en-US" w:eastAsia="zh-CN"/>
        </w:rPr>
        <w:t>本</w:t>
      </w:r>
      <w:r>
        <w:rPr>
          <w:rFonts w:hint="eastAsia" w:ascii="宋体" w:hAnsi="宋体" w:cs="宋体"/>
          <w:b w:val="0"/>
          <w:bCs w:val="0"/>
          <w:i w:val="0"/>
          <w:iCs w:val="0"/>
          <w:color w:val="000000"/>
          <w:sz w:val="24"/>
          <w:szCs w:val="24"/>
          <w:u w:val="none"/>
          <w:lang w:eastAsia="zh-CN"/>
        </w:rPr>
        <w:t>项目</w:t>
      </w:r>
      <w:r>
        <w:rPr>
          <w:rFonts w:hint="eastAsia" w:cs="宋体" w:asciiTheme="majorEastAsia" w:hAnsiTheme="majorEastAsia" w:eastAsiaTheme="majorEastAsia"/>
          <w:b w:val="0"/>
          <w:bCs w:val="0"/>
          <w:color w:val="000000" w:themeColor="text1"/>
          <w:sz w:val="24"/>
          <w:szCs w:val="24"/>
          <w:lang w:eastAsia="zh-CN"/>
          <w14:textFill>
            <w14:solidFill>
              <w14:schemeClr w14:val="tx1"/>
            </w14:solidFill>
          </w14:textFill>
        </w:rPr>
        <w:t>进行前期研究，并按照国家发改委有关可行性研究报告编制内容和深度等要求，编制符合各级行政主管部门报批要求的《</w:t>
      </w:r>
      <w:r>
        <w:rPr>
          <w:rFonts w:hint="eastAsia" w:ascii="宋体" w:hAnsi="宋体" w:cs="宋体"/>
          <w:b/>
          <w:bCs/>
          <w:i w:val="0"/>
          <w:iCs w:val="0"/>
          <w:color w:val="000000"/>
          <w:sz w:val="24"/>
          <w:szCs w:val="24"/>
          <w:u w:val="none"/>
          <w:lang w:eastAsia="zh-CN"/>
        </w:rPr>
        <w:t>昌都市卡若区夏通街片区配套基础设施提升项目</w:t>
      </w:r>
      <w:r>
        <w:rPr>
          <w:rFonts w:hint="eastAsia" w:cs="宋体" w:asciiTheme="majorEastAsia" w:hAnsiTheme="majorEastAsia" w:eastAsiaTheme="majorEastAsia"/>
          <w:b w:val="0"/>
          <w:bCs w:val="0"/>
          <w:color w:val="000000" w:themeColor="text1"/>
          <w:sz w:val="24"/>
          <w:szCs w:val="24"/>
          <w:u w:val="none"/>
          <w:lang w:eastAsia="zh-CN"/>
          <w14:textFill>
            <w14:solidFill>
              <w14:schemeClr w14:val="tx1"/>
            </w14:solidFill>
          </w14:textFill>
        </w:rPr>
        <w:t>可</w:t>
      </w:r>
      <w:r>
        <w:rPr>
          <w:rFonts w:hint="eastAsia" w:cs="宋体" w:asciiTheme="majorEastAsia" w:hAnsiTheme="majorEastAsia" w:eastAsiaTheme="majorEastAsia"/>
          <w:b w:val="0"/>
          <w:bCs w:val="0"/>
          <w:color w:val="000000" w:themeColor="text1"/>
          <w:sz w:val="24"/>
          <w:szCs w:val="24"/>
          <w:lang w:eastAsia="zh-CN"/>
          <w14:textFill>
            <w14:solidFill>
              <w14:schemeClr w14:val="tx1"/>
            </w14:solidFill>
          </w14:textFill>
        </w:rPr>
        <w:t>行性研究报告》，包括为编制报告而进行的所有调查、踏勘、资料收集、现场勘察等工作；以及协助业主进行项目评审及文件的报批工作等</w:t>
      </w:r>
      <w:r>
        <w:rPr>
          <w:rFonts w:hint="eastAsia" w:ascii="宋体" w:hAnsi="宋体" w:cs="宋体"/>
          <w:b w:val="0"/>
          <w:bCs w:val="0"/>
          <w:i w:val="0"/>
          <w:iCs w:val="0"/>
          <w:color w:val="000000"/>
          <w:sz w:val="24"/>
          <w:szCs w:val="24"/>
          <w:u w:val="none"/>
          <w:lang w:eastAsia="zh-CN"/>
        </w:rPr>
        <w:t>。</w:t>
      </w:r>
      <w:r>
        <w:rPr>
          <w:rFonts w:hint="eastAsia" w:ascii="宋体" w:hAnsi="宋体" w:cs="宋体"/>
          <w:b w:val="0"/>
          <w:bCs w:val="0"/>
          <w:i w:val="0"/>
          <w:iCs w:val="0"/>
          <w:color w:val="000000"/>
          <w:sz w:val="24"/>
          <w:szCs w:val="24"/>
          <w:u w:val="none"/>
          <w:lang w:val="en-US" w:eastAsia="zh-CN"/>
        </w:rPr>
        <w:t>报告费用</w:t>
      </w:r>
      <w:r>
        <w:rPr>
          <w:rFonts w:hint="eastAsia" w:ascii="宋体" w:hAnsi="宋体" w:cs="宋体"/>
          <w:b w:val="0"/>
          <w:bCs w:val="0"/>
          <w:i w:val="0"/>
          <w:iCs w:val="0"/>
          <w:color w:val="000000"/>
          <w:sz w:val="24"/>
          <w:szCs w:val="24"/>
          <w:u w:val="none"/>
          <w:lang w:eastAsia="zh-CN"/>
        </w:rPr>
        <w:t>以项目概算批复或实施方案批复资金为准，项目在申报阶段，下达项目设计实施方案(概算)批复后才有</w:t>
      </w:r>
      <w:r>
        <w:rPr>
          <w:rFonts w:hint="eastAsia" w:ascii="宋体" w:hAnsi="宋体" w:cs="宋体"/>
          <w:b w:val="0"/>
          <w:bCs w:val="0"/>
          <w:i w:val="0"/>
          <w:iCs w:val="0"/>
          <w:color w:val="000000"/>
          <w:sz w:val="24"/>
          <w:szCs w:val="24"/>
          <w:u w:val="none"/>
          <w:lang w:val="en-US" w:eastAsia="zh-CN"/>
        </w:rPr>
        <w:t>相关</w:t>
      </w:r>
      <w:r>
        <w:rPr>
          <w:rFonts w:hint="eastAsia" w:ascii="宋体" w:hAnsi="宋体" w:cs="宋体"/>
          <w:b w:val="0"/>
          <w:bCs w:val="0"/>
          <w:i w:val="0"/>
          <w:iCs w:val="0"/>
          <w:color w:val="000000"/>
          <w:sz w:val="24"/>
          <w:szCs w:val="24"/>
          <w:u w:val="none"/>
          <w:lang w:eastAsia="zh-CN"/>
        </w:rPr>
        <w:t>费用，未审批通过的项目，没有项目</w:t>
      </w:r>
      <w:r>
        <w:rPr>
          <w:rFonts w:hint="eastAsia" w:ascii="宋体" w:hAnsi="宋体" w:cs="宋体"/>
          <w:b w:val="0"/>
          <w:bCs w:val="0"/>
          <w:i w:val="0"/>
          <w:iCs w:val="0"/>
          <w:color w:val="000000"/>
          <w:sz w:val="24"/>
          <w:szCs w:val="24"/>
          <w:u w:val="none"/>
          <w:lang w:val="en-US" w:eastAsia="zh-CN"/>
        </w:rPr>
        <w:t>相关</w:t>
      </w:r>
      <w:r>
        <w:rPr>
          <w:rFonts w:hint="eastAsia" w:ascii="宋体" w:hAnsi="宋体" w:cs="宋体"/>
          <w:b w:val="0"/>
          <w:bCs w:val="0"/>
          <w:i w:val="0"/>
          <w:iCs w:val="0"/>
          <w:color w:val="000000"/>
          <w:sz w:val="24"/>
          <w:szCs w:val="24"/>
          <w:u w:val="none"/>
          <w:lang w:eastAsia="zh-CN"/>
        </w:rPr>
        <w:t>费用，期间产生的费用由</w:t>
      </w:r>
      <w:r>
        <w:rPr>
          <w:rFonts w:hint="eastAsia" w:ascii="宋体" w:hAnsi="宋体" w:cs="宋体"/>
          <w:b w:val="0"/>
          <w:bCs w:val="0"/>
          <w:i w:val="0"/>
          <w:iCs w:val="0"/>
          <w:color w:val="000000"/>
          <w:sz w:val="24"/>
          <w:szCs w:val="24"/>
          <w:u w:val="none"/>
          <w:lang w:val="en-US" w:eastAsia="zh-CN"/>
        </w:rPr>
        <w:t>投标</w:t>
      </w:r>
      <w:r>
        <w:rPr>
          <w:rFonts w:hint="eastAsia" w:ascii="宋体" w:hAnsi="宋体" w:cs="宋体"/>
          <w:b w:val="0"/>
          <w:bCs w:val="0"/>
          <w:i w:val="0"/>
          <w:iCs w:val="0"/>
          <w:color w:val="000000"/>
          <w:sz w:val="24"/>
          <w:szCs w:val="24"/>
          <w:u w:val="none"/>
          <w:lang w:eastAsia="zh-CN"/>
        </w:rPr>
        <w:t>公司自行承担。</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四、服务期</w:t>
      </w:r>
    </w:p>
    <w:p>
      <w:pPr>
        <w:snapToGrid w:val="0"/>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服务期：</w:t>
      </w:r>
      <w:r>
        <w:rPr>
          <w:rFonts w:hint="eastAsia" w:ascii="宋体" w:hAnsi="宋体" w:cs="宋体"/>
          <w:color w:val="000000" w:themeColor="text1"/>
          <w:sz w:val="24"/>
          <w:szCs w:val="24"/>
          <w:lang w:eastAsia="zh-CN"/>
          <w14:textFill>
            <w14:solidFill>
              <w14:schemeClr w14:val="tx1"/>
            </w14:solidFill>
          </w14:textFill>
        </w:rPr>
        <w:t>根据</w:t>
      </w:r>
      <w:r>
        <w:rPr>
          <w:rFonts w:hint="eastAsia" w:ascii="宋体" w:hAnsi="宋体" w:cs="宋体"/>
          <w:color w:val="000000" w:themeColor="text1"/>
          <w:sz w:val="24"/>
          <w:szCs w:val="24"/>
          <w14:textFill>
            <w14:solidFill>
              <w14:schemeClr w14:val="tx1"/>
            </w14:solidFill>
          </w14:textFill>
        </w:rPr>
        <w:t>合同签订</w:t>
      </w:r>
      <w:r>
        <w:rPr>
          <w:rFonts w:hint="eastAsia" w:ascii="宋体" w:hAnsi="宋体" w:cs="宋体"/>
          <w:color w:val="000000" w:themeColor="text1"/>
          <w:sz w:val="24"/>
          <w:szCs w:val="24"/>
          <w:lang w:eastAsia="zh-CN"/>
          <w14:textFill>
            <w14:solidFill>
              <w14:schemeClr w14:val="tx1"/>
            </w14:solidFill>
          </w14:textFill>
        </w:rPr>
        <w:t>条款具体约定</w:t>
      </w:r>
      <w:r>
        <w:rPr>
          <w:rFonts w:hint="eastAsia" w:ascii="宋体" w:hAnsi="宋体" w:cs="宋体"/>
          <w:color w:val="000000" w:themeColor="text1"/>
          <w:sz w:val="24"/>
          <w:szCs w:val="24"/>
          <w:lang w:val="en-US" w:eastAsia="zh-CN"/>
          <w14:textFill>
            <w14:solidFill>
              <w14:schemeClr w14:val="tx1"/>
            </w14:solidFill>
          </w14:textFill>
        </w:rPr>
        <w:t>为准</w:t>
      </w:r>
      <w:r>
        <w:rPr>
          <w:rFonts w:hint="eastAsia" w:ascii="宋体" w:hAnsi="宋体" w:cs="宋体"/>
          <w:color w:val="000000" w:themeColor="text1"/>
          <w:sz w:val="24"/>
          <w:szCs w:val="24"/>
          <w14:textFill>
            <w14:solidFill>
              <w14:schemeClr w14:val="tx1"/>
            </w14:solidFill>
          </w14:textFill>
        </w:rPr>
        <w:t>。</w:t>
      </w:r>
    </w:p>
    <w:p>
      <w:pPr>
        <w:numPr>
          <w:ilvl w:val="0"/>
          <w:numId w:val="1"/>
        </w:numPr>
        <w:snapToGrid w:val="0"/>
        <w:spacing w:line="360"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付款方式</w:t>
      </w:r>
    </w:p>
    <w:p>
      <w:pPr>
        <w:snapToGrid w:val="0"/>
        <w:spacing w:line="360" w:lineRule="auto"/>
        <w:ind w:firstLine="42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根据</w:t>
      </w:r>
      <w:r>
        <w:rPr>
          <w:rFonts w:hint="eastAsia" w:ascii="宋体" w:hAnsi="宋体" w:cs="宋体"/>
          <w:color w:val="000000" w:themeColor="text1"/>
          <w:sz w:val="24"/>
          <w:szCs w:val="24"/>
          <w14:textFill>
            <w14:solidFill>
              <w14:schemeClr w14:val="tx1"/>
            </w14:solidFill>
          </w14:textFill>
        </w:rPr>
        <w:t>合同签订</w:t>
      </w:r>
      <w:r>
        <w:rPr>
          <w:rFonts w:hint="eastAsia" w:ascii="宋体" w:hAnsi="宋体" w:cs="宋体"/>
          <w:color w:val="000000" w:themeColor="text1"/>
          <w:sz w:val="24"/>
          <w:szCs w:val="24"/>
          <w:lang w:eastAsia="zh-CN"/>
          <w14:textFill>
            <w14:solidFill>
              <w14:schemeClr w14:val="tx1"/>
            </w14:solidFill>
          </w14:textFill>
        </w:rPr>
        <w:t>条款具体约定</w:t>
      </w:r>
      <w:r>
        <w:rPr>
          <w:rFonts w:hint="eastAsia" w:ascii="宋体" w:hAnsi="宋体" w:cs="宋体"/>
          <w:color w:val="000000" w:themeColor="text1"/>
          <w:sz w:val="24"/>
          <w:szCs w:val="24"/>
          <w:lang w:val="en-US" w:eastAsia="zh-CN"/>
          <w14:textFill>
            <w14:solidFill>
              <w14:schemeClr w14:val="tx1"/>
            </w14:solidFill>
          </w14:textFill>
        </w:rPr>
        <w:t>为准</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pStyle w:val="2"/>
        <w:spacing w:before="0" w:after="0" w:line="360" w:lineRule="auto"/>
        <w:rPr>
          <w:rFonts w:ascii="宋体" w:hAnsi="宋体" w:cs="宋体"/>
          <w:color w:val="000000" w:themeColor="text1"/>
          <w:sz w:val="24"/>
          <w:szCs w:val="24"/>
          <w14:textFill>
            <w14:solidFill>
              <w14:schemeClr w14:val="tx1"/>
            </w14:solidFill>
          </w14:textFill>
        </w:rPr>
      </w:pPr>
      <w:bookmarkStart w:id="19" w:name="_Toc3475"/>
      <w:bookmarkStart w:id="20" w:name="_Toc20778"/>
      <w:bookmarkStart w:id="21" w:name="_Toc11828"/>
      <w:bookmarkStart w:id="22" w:name="_Toc9654"/>
      <w:bookmarkStart w:id="23" w:name="_Toc27955"/>
      <w:bookmarkStart w:id="24" w:name="_Toc5085"/>
      <w:bookmarkStart w:id="25" w:name="_Toc25886"/>
      <w:bookmarkStart w:id="26" w:name="_Toc9027"/>
      <w:bookmarkStart w:id="27" w:name="_Toc14778"/>
      <w:bookmarkStart w:id="28" w:name="_Toc13969"/>
      <w:bookmarkStart w:id="29" w:name="_Toc15478"/>
      <w:bookmarkStart w:id="30" w:name="_Toc25516"/>
      <w:bookmarkStart w:id="31" w:name="_Toc31315"/>
      <w:bookmarkStart w:id="32" w:name="_Toc19730"/>
      <w:r>
        <w:rPr>
          <w:rFonts w:hint="eastAsia" w:ascii="宋体" w:hAnsi="宋体" w:cs="宋体"/>
          <w:color w:val="000000" w:themeColor="text1"/>
          <w:sz w:val="24"/>
          <w:szCs w:val="24"/>
          <w14:textFill>
            <w14:solidFill>
              <w14:schemeClr w14:val="tx1"/>
            </w14:solidFill>
          </w14:textFill>
        </w:rPr>
        <w:t>六、联系方式</w:t>
      </w:r>
      <w:bookmarkEnd w:id="19"/>
      <w:bookmarkEnd w:id="20"/>
      <w:bookmarkEnd w:id="21"/>
      <w:bookmarkEnd w:id="22"/>
      <w:bookmarkEnd w:id="23"/>
      <w:bookmarkEnd w:id="24"/>
      <w:bookmarkEnd w:id="25"/>
    </w:p>
    <w:p>
      <w:pPr>
        <w:snapToGrid w:val="0"/>
        <w:spacing w:line="360" w:lineRule="auto"/>
        <w:ind w:firstLine="480" w:firstLineChars="2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eastAsia="zh-CN"/>
          <w14:textFill>
            <w14:solidFill>
              <w14:schemeClr w14:val="tx1"/>
            </w14:solidFill>
          </w14:textFill>
        </w:rPr>
        <w:t>昌都市卡若区住房和城乡建设局</w:t>
      </w:r>
    </w:p>
    <w:p>
      <w:pPr>
        <w:snapToGrid w:val="0"/>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lang w:val="en-US" w:eastAsia="zh-CN"/>
          <w14:textFill>
            <w14:solidFill>
              <w14:schemeClr w14:val="tx1"/>
            </w14:solidFill>
          </w14:textFill>
        </w:rPr>
        <w:t>李</w:t>
      </w:r>
      <w:r>
        <w:rPr>
          <w:rFonts w:hint="eastAsia" w:ascii="宋体" w:hAnsi="宋体" w:cs="宋体"/>
          <w:color w:val="000000" w:themeColor="text1"/>
          <w:sz w:val="24"/>
          <w:szCs w:val="24"/>
          <w:lang w:eastAsia="zh-CN"/>
          <w14:textFill>
            <w14:solidFill>
              <w14:schemeClr w14:val="tx1"/>
            </w14:solidFill>
          </w14:textFill>
        </w:rPr>
        <w:t>先生</w:t>
      </w:r>
    </w:p>
    <w:p>
      <w:pPr>
        <w:snapToGrid w:val="0"/>
        <w:spacing w:line="360" w:lineRule="auto"/>
        <w:ind w:firstLine="480" w:firstLineChars="200"/>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w:t>
      </w:r>
      <w:r>
        <w:rPr>
          <w:rFonts w:hint="eastAsia" w:ascii="宋体" w:hAnsi="宋体" w:cs="宋体"/>
          <w:color w:val="000000" w:themeColor="text1"/>
          <w:sz w:val="24"/>
          <w:szCs w:val="24"/>
          <w:lang w:val="en-US" w:eastAsia="zh-CN"/>
          <w14:textFill>
            <w14:solidFill>
              <w14:schemeClr w14:val="tx1"/>
            </w14:solidFill>
          </w14:textFill>
        </w:rPr>
        <w:t>15889058950</w:t>
      </w:r>
    </w:p>
    <w:p>
      <w:pPr>
        <w:snapToGrid w:val="0"/>
        <w:spacing w:line="360" w:lineRule="auto"/>
        <w:ind w:firstLine="480" w:firstLineChars="2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w:t>
      </w:r>
      <w:r>
        <w:rPr>
          <w:rFonts w:hint="eastAsia" w:ascii="宋体" w:hAnsi="宋体" w:cs="宋体"/>
          <w:color w:val="000000" w:themeColor="text1"/>
          <w:sz w:val="24"/>
          <w:szCs w:val="24"/>
          <w:lang w:eastAsia="zh-CN"/>
          <w14:textFill>
            <w14:solidFill>
              <w14:schemeClr w14:val="tx1"/>
            </w14:solidFill>
          </w14:textFill>
        </w:rPr>
        <w:t>昌都市卡若区住房和城乡建设局</w:t>
      </w:r>
    </w:p>
    <w:p>
      <w:pPr>
        <w:pStyle w:val="2"/>
        <w:keepNext w:val="0"/>
        <w:spacing w:before="0"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w:t>
      </w:r>
      <w:bookmarkEnd w:id="26"/>
      <w:bookmarkEnd w:id="27"/>
      <w:bookmarkEnd w:id="28"/>
      <w:bookmarkEnd w:id="29"/>
      <w:bookmarkEnd w:id="30"/>
      <w:bookmarkEnd w:id="31"/>
      <w:bookmarkEnd w:id="32"/>
      <w:r>
        <w:rPr>
          <w:rFonts w:hint="eastAsia" w:ascii="宋体" w:hAnsi="宋体" w:cs="宋体"/>
          <w:color w:val="000000" w:themeColor="text1"/>
          <w:sz w:val="24"/>
          <w:szCs w:val="24"/>
          <w14:textFill>
            <w14:solidFill>
              <w14:schemeClr w14:val="tx1"/>
            </w14:solidFill>
          </w14:textFill>
        </w:rPr>
        <w:t>其它有关规定</w:t>
      </w:r>
    </w:p>
    <w:p>
      <w:pPr>
        <w:keepLine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1、凡有意参加询比的供应商，请于公告发布之日起至报名截止时间之前，在</w:t>
      </w:r>
      <w:r>
        <w:rPr>
          <w:rFonts w:hint="eastAsia" w:ascii="宋体" w:hAnsi="宋体" w:cs="宋体"/>
          <w:color w:val="000000" w:themeColor="text1"/>
          <w:sz w:val="24"/>
          <w:szCs w:val="24"/>
          <w:lang w:eastAsia="zh-CN"/>
          <w14:textFill>
            <w14:solidFill>
              <w14:schemeClr w14:val="tx1"/>
            </w14:solidFill>
          </w14:textFill>
        </w:rPr>
        <w:t>西藏自治区昌都市电子卖场·服务超市</w:t>
      </w:r>
      <w:r>
        <w:rPr>
          <w:rFonts w:hint="eastAsia" w:ascii="宋体" w:hAnsi="宋体" w:cs="宋体"/>
          <w:color w:val="000000" w:themeColor="text1"/>
          <w:sz w:val="24"/>
          <w:szCs w:val="24"/>
          <w14:textFill>
            <w14:solidFill>
              <w14:schemeClr w14:val="tx1"/>
            </w14:solidFill>
          </w14:textFill>
        </w:rPr>
        <w:t>网上下载查看本项目需求文件以及变更公告等询比前公布的所有项目资料，无论供应商下载查看与否，均视为已知晓所有询比实质性要求内容。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2、供应商须在平台上报名并按要求上传响应文件，未按要求提供的为无效供应商。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3、无论询比结果如何，供应商参与本项目的所有费用均由自行承担。</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八、评选方法</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1、本项目不组织现场开标，由采购人采取网上开标评标的方式采购。在规定的截止时间前，供应商应按要求上传响应文件。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如供应商得分相同，按照以下方式确定中选供应商：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九、无效响应</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投标供应商出现以下情形，进行废标处理：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1、供应商不具备采购文件规定的基本资格条件或特定资格条件；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2、响应文件不按规定的格式、内容填写或未按规定上传的；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3、供应商超出营业范围响应的；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4、响应文件出现多个响应方案或响应报价的；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5、供应商的响应文件内容与采购项目要求有严重背离；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6、出现影响采购公正的违法、违规行为的；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7、响应报价超出采购最高限价的；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8、出现不符合必须强制执行的国家标准的；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9、响应文件含有违反国家法律、法规的内容，或附有采购人不能接受条件的；</w:t>
      </w:r>
    </w:p>
    <w:p>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10、资质文件内容复印不清楚，评审小组无法确认其内容。</w:t>
      </w:r>
    </w:p>
    <w:p>
      <w:pPr>
        <w:pStyle w:val="3"/>
        <w:spacing w:line="360" w:lineRule="auto"/>
        <w:ind w:firstLine="480"/>
        <w:rPr>
          <w:rFonts w:hint="eastAsia"/>
          <w:lang w:val="en-US" w:eastAsia="zh-CN"/>
        </w:rPr>
      </w:pPr>
      <w:r>
        <w:rPr>
          <w:rFonts w:hint="eastAsia"/>
          <w:lang w:val="en-US" w:eastAsia="zh-CN"/>
        </w:rPr>
        <w:t>11、为方便评审，服务部分需合理有效，页码不超过100页，超出页码服务部分按0分处理。</w:t>
      </w:r>
    </w:p>
    <w:p>
      <w:pPr>
        <w:pStyle w:val="3"/>
        <w:spacing w:line="360" w:lineRule="auto"/>
        <w:ind w:firstLine="480"/>
        <w:rPr>
          <w:rFonts w:hint="default"/>
          <w:lang w:val="en-US" w:eastAsia="zh-CN"/>
        </w:rPr>
      </w:pPr>
      <w:r>
        <w:rPr>
          <w:rFonts w:hint="eastAsia"/>
          <w:lang w:val="en-US" w:eastAsia="zh-CN"/>
        </w:rPr>
        <w:t>12、未对采购服务内容做出实质性响应。</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十、其他</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1、供应商必须对以上条款和服务承诺明确列出，承诺内容必须达到要求。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2、其他未尽事宜由供需双方在采购合同中详细约定。</w:t>
      </w:r>
    </w:p>
    <w:p>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十一、供应商提交响应文件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bookmarkStart w:id="33" w:name="_Hlk27399823"/>
      <w:r>
        <w:rPr>
          <w:rFonts w:hint="eastAsia" w:ascii="宋体" w:hAnsi="宋体" w:cs="宋体"/>
          <w:sz w:val="24"/>
          <w:szCs w:val="24"/>
        </w:rPr>
        <w:t>1、供应商线上报名、报价时需上传盖章后的电子文档一份。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2、</w:t>
      </w:r>
      <w:r>
        <w:rPr>
          <w:rFonts w:hint="eastAsia" w:ascii="宋体" w:hAnsi="宋体" w:cs="宋体"/>
          <w:sz w:val="24"/>
        </w:rPr>
        <w:t>参选文件递交</w:t>
      </w:r>
      <w:r>
        <w:rPr>
          <w:rFonts w:hint="eastAsia" w:ascii="宋体" w:hAnsi="宋体" w:cs="宋体"/>
          <w:sz w:val="24"/>
          <w:lang w:val="en-US" w:eastAsia="zh-CN"/>
        </w:rPr>
        <w:t>一正两副</w:t>
      </w:r>
      <w:r>
        <w:rPr>
          <w:rFonts w:hint="eastAsia" w:ascii="宋体" w:hAnsi="宋体" w:cs="宋体"/>
          <w:sz w:val="24"/>
        </w:rPr>
        <w:t>的截止时间</w:t>
      </w:r>
      <w:r>
        <w:rPr>
          <w:rFonts w:hint="eastAsia" w:ascii="宋体" w:hAnsi="宋体" w:cs="宋体"/>
          <w:snapToGrid w:val="0"/>
          <w:kern w:val="0"/>
          <w:sz w:val="24"/>
        </w:rPr>
        <w:t>为</w:t>
      </w:r>
      <w:r>
        <w:rPr>
          <w:rFonts w:hint="eastAsia" w:ascii="宋体" w:hAnsi="宋体" w:cs="宋体"/>
          <w:snapToGrid w:val="0"/>
          <w:kern w:val="0"/>
          <w:sz w:val="24"/>
          <w:u w:val="single"/>
        </w:rPr>
        <w:t>报名截止时间前</w:t>
      </w:r>
      <w:r>
        <w:rPr>
          <w:rFonts w:hint="eastAsia" w:ascii="宋体" w:hAnsi="宋体" w:cs="宋体"/>
          <w:snapToGrid w:val="0"/>
          <w:kern w:val="0"/>
          <w:sz w:val="24"/>
        </w:rPr>
        <w:t>，送达地点为</w:t>
      </w:r>
      <w:r>
        <w:rPr>
          <w:rFonts w:hint="eastAsia" w:ascii="宋体" w:hAnsi="宋体" w:cs="宋体"/>
          <w:color w:val="000000" w:themeColor="text1"/>
          <w:sz w:val="24"/>
          <w:szCs w:val="24"/>
          <w:u w:val="single"/>
          <w:lang w:eastAsia="zh-CN"/>
          <w14:textFill>
            <w14:solidFill>
              <w14:schemeClr w14:val="tx1"/>
            </w14:solidFill>
          </w14:textFill>
        </w:rPr>
        <w:t>昌都市卡若区住房和城乡建设局</w:t>
      </w:r>
      <w:r>
        <w:rPr>
          <w:rFonts w:hint="eastAsia" w:ascii="宋体" w:hAnsi="宋体" w:cs="宋体"/>
          <w:snapToGrid w:val="0"/>
          <w:kern w:val="0"/>
          <w:sz w:val="24"/>
          <w:u w:val="none"/>
          <w:lang w:val="en-US" w:eastAsia="zh-CN"/>
        </w:rPr>
        <w:t>；</w:t>
      </w:r>
      <w:r>
        <w:rPr>
          <w:rFonts w:hint="eastAsia" w:ascii="宋体" w:hAnsi="宋体" w:cs="宋体"/>
          <w:sz w:val="24"/>
        </w:rPr>
        <w:t>逾期送达或者未送达指定地点的参选文件，比选人不予受理。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3、供应商制作的响应文件电子文档</w:t>
      </w:r>
      <w:r>
        <w:rPr>
          <w:rFonts w:hint="eastAsia" w:ascii="宋体" w:hAnsi="宋体" w:cs="宋体"/>
          <w:sz w:val="24"/>
          <w:szCs w:val="24"/>
          <w:lang w:val="en-US" w:eastAsia="zh-CN"/>
        </w:rPr>
        <w:t>及纸质文档</w:t>
      </w:r>
      <w:r>
        <w:rPr>
          <w:rFonts w:hint="eastAsia" w:ascii="宋体" w:hAnsi="宋体" w:cs="宋体"/>
          <w:sz w:val="24"/>
          <w:szCs w:val="24"/>
        </w:rPr>
        <w:t>，须按照要求制作，规定签字、盖章的地方必须按其规定签字、盖章，未按要求制作响应文件的进行废标处理。</w:t>
      </w:r>
    </w:p>
    <w:p>
      <w:pPr>
        <w:spacing w:line="312" w:lineRule="auto"/>
        <w:jc w:val="center"/>
        <w:rPr>
          <w:rFonts w:hint="eastAsia" w:ascii="宋体" w:hAnsi="宋体" w:cs="宋体"/>
          <w:b/>
          <w:bCs/>
          <w:color w:val="000000" w:themeColor="text1"/>
          <w:szCs w:val="28"/>
          <w14:textFill>
            <w14:solidFill>
              <w14:schemeClr w14:val="tx1"/>
            </w14:solidFill>
          </w14:textFill>
        </w:rPr>
      </w:pPr>
    </w:p>
    <w:p>
      <w:pPr>
        <w:spacing w:line="312" w:lineRule="auto"/>
        <w:jc w:val="center"/>
        <w:rPr>
          <w:rFonts w:hint="eastAsia" w:ascii="宋体" w:hAnsi="宋体" w:cs="宋体"/>
          <w:b/>
          <w:bCs/>
          <w:color w:val="000000" w:themeColor="text1"/>
          <w:szCs w:val="28"/>
          <w14:textFill>
            <w14:solidFill>
              <w14:schemeClr w14:val="tx1"/>
            </w14:solidFill>
          </w14:textFill>
        </w:rPr>
      </w:pPr>
    </w:p>
    <w:p>
      <w:pPr>
        <w:rPr>
          <w:rFonts w:hint="eastAsia"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br w:type="page"/>
      </w:r>
    </w:p>
    <w:p>
      <w:pPr>
        <w:pStyle w:val="3"/>
        <w:rPr>
          <w:rFonts w:hint="eastAsia"/>
        </w:rPr>
      </w:pPr>
    </w:p>
    <w:p>
      <w:pPr>
        <w:spacing w:line="312" w:lineRule="auto"/>
        <w:jc w:val="both"/>
        <w:rPr>
          <w:rFonts w:hint="eastAsia" w:ascii="宋体" w:hAnsi="宋体" w:cs="宋体"/>
          <w:b/>
          <w:bCs/>
          <w:color w:val="000000" w:themeColor="text1"/>
          <w:szCs w:val="28"/>
          <w14:textFill>
            <w14:solidFill>
              <w14:schemeClr w14:val="tx1"/>
            </w14:solidFill>
          </w14:textFill>
        </w:rPr>
      </w:pPr>
    </w:p>
    <w:p>
      <w:pPr>
        <w:jc w:val="center"/>
        <w:rPr>
          <w:rFonts w:hint="eastAsia" w:eastAsia="微软雅黑"/>
          <w:color w:val="000000" w:themeColor="text1"/>
          <w:sz w:val="36"/>
          <w:szCs w:val="36"/>
          <w:lang w:val="en-US" w:eastAsia="zh-CN"/>
          <w14:textFill>
            <w14:solidFill>
              <w14:schemeClr w14:val="tx1"/>
            </w14:solidFill>
          </w14:textFill>
        </w:rPr>
      </w:pPr>
      <w:r>
        <w:rPr>
          <w:rFonts w:hint="eastAsia" w:ascii="微软雅黑" w:hAnsi="微软雅黑" w:eastAsia="微软雅黑" w:cs="微软雅黑"/>
          <w:color w:val="000000" w:themeColor="text1"/>
          <w:sz w:val="36"/>
          <w:szCs w:val="36"/>
          <w14:textFill>
            <w14:solidFill>
              <w14:schemeClr w14:val="tx1"/>
            </w14:solidFill>
          </w14:textFill>
        </w:rPr>
        <w:t>资格审查</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表</w:t>
      </w:r>
    </w:p>
    <w:p>
      <w:pPr>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tbl>
      <w:tblPr>
        <w:tblStyle w:val="9"/>
        <w:tblW w:w="5068" w:type="pct"/>
        <w:tblInd w:w="0" w:type="dxa"/>
        <w:tblLayout w:type="autofit"/>
        <w:tblCellMar>
          <w:top w:w="0" w:type="dxa"/>
          <w:left w:w="108" w:type="dxa"/>
          <w:bottom w:w="0" w:type="dxa"/>
          <w:right w:w="108" w:type="dxa"/>
        </w:tblCellMar>
      </w:tblPr>
      <w:tblGrid>
        <w:gridCol w:w="861"/>
        <w:gridCol w:w="2693"/>
        <w:gridCol w:w="6205"/>
      </w:tblGrid>
      <w:tr>
        <w:tblPrEx>
          <w:tblCellMar>
            <w:top w:w="0" w:type="dxa"/>
            <w:left w:w="108" w:type="dxa"/>
            <w:bottom w:w="0" w:type="dxa"/>
            <w:right w:w="108" w:type="dxa"/>
          </w:tblCellMar>
        </w:tblPrEx>
        <w:trPr>
          <w:trHeight w:val="741" w:hRule="atLeast"/>
        </w:trPr>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序号</w:t>
            </w:r>
          </w:p>
        </w:tc>
        <w:tc>
          <w:tcPr>
            <w:tcW w:w="1380"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评审内容</w:t>
            </w:r>
          </w:p>
        </w:tc>
        <w:tc>
          <w:tcPr>
            <w:tcW w:w="3178"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评审标准</w:t>
            </w:r>
          </w:p>
        </w:tc>
      </w:tr>
      <w:tr>
        <w:tblPrEx>
          <w:tblCellMar>
            <w:top w:w="0" w:type="dxa"/>
            <w:left w:w="108" w:type="dxa"/>
            <w:bottom w:w="0" w:type="dxa"/>
            <w:right w:w="108" w:type="dxa"/>
          </w:tblCellMar>
        </w:tblPrEx>
        <w:trPr>
          <w:trHeight w:val="741" w:hRule="atLeast"/>
        </w:trPr>
        <w:tc>
          <w:tcPr>
            <w:tcW w:w="441" w:type="pct"/>
            <w:tcBorders>
              <w:top w:val="single" w:color="auto" w:sz="4" w:space="0"/>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1</w:t>
            </w:r>
          </w:p>
        </w:tc>
        <w:tc>
          <w:tcPr>
            <w:tcW w:w="1380" w:type="pct"/>
            <w:tcBorders>
              <w:top w:val="single" w:color="auto" w:sz="4" w:space="0"/>
              <w:left w:val="single" w:color="auto" w:sz="4" w:space="0"/>
              <w:bottom w:val="single" w:color="auto" w:sz="8" w:space="0"/>
              <w:right w:val="single" w:color="auto" w:sz="4" w:space="0"/>
            </w:tcBorders>
            <w:noWrap w:val="0"/>
            <w:vAlign w:val="center"/>
          </w:tcPr>
          <w:p>
            <w:pPr>
              <w:widowControl/>
              <w:spacing w:line="276" w:lineRule="auto"/>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具有独立承担民事责任的能力</w:t>
            </w:r>
          </w:p>
        </w:tc>
        <w:tc>
          <w:tcPr>
            <w:tcW w:w="3178" w:type="pct"/>
            <w:tcBorders>
              <w:top w:val="single" w:color="auto" w:sz="4" w:space="0"/>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有效的营业执照；</w:t>
            </w:r>
          </w:p>
        </w:tc>
      </w:tr>
      <w:tr>
        <w:tblPrEx>
          <w:tblCellMar>
            <w:top w:w="0" w:type="dxa"/>
            <w:left w:w="108" w:type="dxa"/>
            <w:bottom w:w="0" w:type="dxa"/>
            <w:right w:w="108" w:type="dxa"/>
          </w:tblCellMar>
        </w:tblPrEx>
        <w:trPr>
          <w:trHeight w:val="979"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2</w:t>
            </w:r>
          </w:p>
        </w:tc>
        <w:tc>
          <w:tcPr>
            <w:tcW w:w="1380" w:type="pct"/>
            <w:tcBorders>
              <w:top w:val="nil"/>
              <w:left w:val="single" w:color="auto" w:sz="4" w:space="0"/>
              <w:bottom w:val="single" w:color="auto" w:sz="8" w:space="0"/>
              <w:right w:val="single" w:color="auto" w:sz="4" w:space="0"/>
            </w:tcBorders>
            <w:noWrap w:val="0"/>
            <w:vAlign w:val="center"/>
          </w:tcPr>
          <w:p>
            <w:pPr>
              <w:widowControl/>
              <w:spacing w:line="276" w:lineRule="auto"/>
              <w:ind w:left="-1" w:leftChars="-3" w:hanging="7" w:hangingChars="3"/>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具有良好的商业信誉和健全的财务会计制度</w:t>
            </w:r>
          </w:p>
        </w:tc>
        <w:tc>
          <w:tcPr>
            <w:tcW w:w="3178" w:type="pct"/>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hint="eastAsia" w:ascii="宋体" w:hAnsi="宋体" w:eastAsia="宋体" w:cs="宋体"/>
                <w:color w:val="000000" w:themeColor="text1"/>
                <w:kern w:val="0"/>
                <w:sz w:val="24"/>
                <w:szCs w:val="24"/>
                <w:lang w:val="ru-RU"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提供承诺，格式自拟</w:t>
            </w:r>
          </w:p>
        </w:tc>
      </w:tr>
      <w:tr>
        <w:tblPrEx>
          <w:tblCellMar>
            <w:top w:w="0" w:type="dxa"/>
            <w:left w:w="108" w:type="dxa"/>
            <w:bottom w:w="0" w:type="dxa"/>
            <w:right w:w="108" w:type="dxa"/>
          </w:tblCellMar>
        </w:tblPrEx>
        <w:trPr>
          <w:trHeight w:val="979"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1380" w:type="pct"/>
            <w:tcBorders>
              <w:top w:val="nil"/>
              <w:left w:val="single" w:color="auto" w:sz="4" w:space="0"/>
              <w:bottom w:val="single" w:color="auto" w:sz="8" w:space="0"/>
              <w:right w:val="single" w:color="auto" w:sz="4" w:space="0"/>
            </w:tcBorders>
            <w:noWrap w:val="0"/>
            <w:vAlign w:val="center"/>
          </w:tcPr>
          <w:p>
            <w:pPr>
              <w:spacing w:line="312" w:lineRule="auto"/>
              <w:jc w:val="left"/>
              <w:rPr>
                <w:rFonts w:hint="eastAsia"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具有履行合同所必需的设备和专业技术能力</w:t>
            </w:r>
          </w:p>
        </w:tc>
        <w:tc>
          <w:tcPr>
            <w:tcW w:w="3178" w:type="pct"/>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提供承诺，格式自拟</w:t>
            </w:r>
          </w:p>
        </w:tc>
      </w:tr>
      <w:tr>
        <w:tblPrEx>
          <w:tblCellMar>
            <w:top w:w="0" w:type="dxa"/>
            <w:left w:w="108" w:type="dxa"/>
            <w:bottom w:w="0" w:type="dxa"/>
            <w:right w:w="108" w:type="dxa"/>
          </w:tblCellMar>
        </w:tblPrEx>
        <w:trPr>
          <w:trHeight w:val="578" w:hRule="atLeast"/>
        </w:trPr>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themeColor="text1"/>
                <w:kern w:val="0"/>
                <w:sz w:val="24"/>
                <w:szCs w:val="24"/>
                <w:lang w:val="ru-RU"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p>
        </w:tc>
        <w:tc>
          <w:tcPr>
            <w:tcW w:w="1380"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eastAsia="宋体" w:cs="宋体"/>
                <w:kern w:val="0"/>
                <w:sz w:val="24"/>
                <w:szCs w:val="24"/>
                <w:lang w:val="ru-RU" w:eastAsia="zh-CN" w:bidi="ar-SA"/>
              </w:rPr>
              <w:t>具有依法缴纳税收和社会保障资金的良好记录</w:t>
            </w:r>
          </w:p>
        </w:tc>
        <w:tc>
          <w:tcPr>
            <w:tcW w:w="3178"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textAlignment w:val="center"/>
              <w:rPr>
                <w:rFonts w:hint="eastAsia" w:ascii="宋体" w:hAnsi="宋体" w:eastAsia="宋体" w:cs="宋体"/>
                <w:color w:val="000000" w:themeColor="text1"/>
                <w:kern w:val="0"/>
                <w:sz w:val="24"/>
                <w:szCs w:val="24"/>
                <w:lang w:val="ru-RU"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提供承诺，格式自拟</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themeColor="text1"/>
                <w:kern w:val="0"/>
                <w:sz w:val="24"/>
                <w:szCs w:val="24"/>
                <w:lang w:val="ru-RU"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p>
        </w:tc>
        <w:tc>
          <w:tcPr>
            <w:tcW w:w="1380" w:type="pct"/>
            <w:tcBorders>
              <w:top w:val="nil"/>
              <w:left w:val="single" w:color="auto" w:sz="4" w:space="0"/>
              <w:bottom w:val="single" w:color="auto" w:sz="8" w:space="0"/>
              <w:right w:val="single" w:color="auto" w:sz="4" w:space="0"/>
            </w:tcBorders>
            <w:noWrap w:val="0"/>
            <w:vAlign w:val="center"/>
          </w:tcPr>
          <w:p>
            <w:pPr>
              <w:widowControl/>
              <w:spacing w:line="276" w:lineRule="auto"/>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参加政府采购活动前三年内，在经营活动中没有重大违法记录</w:t>
            </w:r>
          </w:p>
        </w:tc>
        <w:tc>
          <w:tcPr>
            <w:tcW w:w="3178" w:type="pct"/>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提供承诺，格式自拟</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p>
        </w:tc>
        <w:tc>
          <w:tcPr>
            <w:tcW w:w="1380" w:type="pct"/>
            <w:tcBorders>
              <w:top w:val="nil"/>
              <w:left w:val="single" w:color="auto" w:sz="4" w:space="0"/>
              <w:bottom w:val="single" w:color="auto" w:sz="8" w:space="0"/>
              <w:right w:val="single" w:color="auto" w:sz="4" w:space="0"/>
            </w:tcBorders>
            <w:noWrap w:val="0"/>
            <w:vAlign w:val="center"/>
          </w:tcPr>
          <w:p>
            <w:pPr>
              <w:widowControl/>
              <w:spacing w:line="276" w:lineRule="auto"/>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法律、行政法规规定的其他条件</w:t>
            </w:r>
          </w:p>
        </w:tc>
        <w:tc>
          <w:tcPr>
            <w:tcW w:w="3178" w:type="pct"/>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hint="eastAsia"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提供承诺，格式自拟</w:t>
            </w:r>
          </w:p>
        </w:tc>
      </w:tr>
      <w:tr>
        <w:tblPrEx>
          <w:tblCellMar>
            <w:top w:w="0" w:type="dxa"/>
            <w:left w:w="108" w:type="dxa"/>
            <w:bottom w:w="0" w:type="dxa"/>
            <w:right w:w="108" w:type="dxa"/>
          </w:tblCellMar>
        </w:tblPrEx>
        <w:trPr>
          <w:trHeight w:val="987"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w:t>
            </w:r>
          </w:p>
        </w:tc>
        <w:tc>
          <w:tcPr>
            <w:tcW w:w="1380" w:type="pct"/>
            <w:tcBorders>
              <w:top w:val="nil"/>
              <w:left w:val="single" w:color="auto" w:sz="4" w:space="0"/>
              <w:bottom w:val="single" w:color="auto" w:sz="8" w:space="0"/>
              <w:right w:val="single" w:color="auto" w:sz="4" w:space="0"/>
            </w:tcBorders>
            <w:noWrap w:val="0"/>
            <w:vAlign w:val="center"/>
          </w:tcPr>
          <w:p>
            <w:pPr>
              <w:widowControl/>
              <w:spacing w:line="276" w:lineRule="auto"/>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资质要求</w:t>
            </w:r>
          </w:p>
        </w:tc>
        <w:tc>
          <w:tcPr>
            <w:tcW w:w="3178" w:type="pct"/>
            <w:tcBorders>
              <w:top w:val="nil"/>
              <w:left w:val="single" w:color="auto" w:sz="4" w:space="0"/>
              <w:bottom w:val="single" w:color="auto" w:sz="8" w:space="0"/>
              <w:right w:val="single" w:color="auto" w:sz="8" w:space="0"/>
            </w:tcBorders>
            <w:noWrap w:val="0"/>
            <w:vAlign w:val="center"/>
          </w:tcPr>
          <w:p>
            <w:pPr>
              <w:snapToGrid w:val="0"/>
              <w:spacing w:line="360" w:lineRule="auto"/>
              <w:rPr>
                <w:rFonts w:hint="eastAsia" w:ascii="宋体" w:hAnsi="宋体" w:eastAsia="宋体" w:cs="宋体"/>
                <w:color w:val="000000" w:themeColor="text1"/>
                <w:kern w:val="0"/>
                <w:sz w:val="24"/>
                <w:szCs w:val="24"/>
                <w:lang w:val="ru-RU" w:eastAsia="zh-CN"/>
                <w14:textFill>
                  <w14:solidFill>
                    <w14:schemeClr w14:val="tx1"/>
                  </w14:solidFill>
                </w14:textFill>
              </w:rPr>
            </w:pPr>
            <w:r>
              <w:rPr>
                <w:rFonts w:hint="eastAsia" w:asciiTheme="minorEastAsia" w:hAnsiTheme="minorEastAsia" w:eastAsiaTheme="minorEastAsia" w:cstheme="minorEastAsia"/>
                <w:i w:val="0"/>
                <w:caps w:val="0"/>
                <w:color w:val="000000"/>
                <w:spacing w:val="0"/>
                <w:sz w:val="24"/>
                <w:szCs w:val="24"/>
                <w:lang w:val="en-US" w:eastAsia="zh-CN"/>
              </w:rPr>
              <w:t>无</w:t>
            </w:r>
          </w:p>
        </w:tc>
      </w:tr>
      <w:tr>
        <w:tblPrEx>
          <w:tblCellMar>
            <w:top w:w="0" w:type="dxa"/>
            <w:left w:w="108" w:type="dxa"/>
            <w:bottom w:w="0" w:type="dxa"/>
            <w:right w:w="108" w:type="dxa"/>
          </w:tblCellMar>
        </w:tblPrEx>
        <w:trPr>
          <w:trHeight w:val="548" w:hRule="atLeast"/>
        </w:trPr>
        <w:tc>
          <w:tcPr>
            <w:tcW w:w="5000" w:type="pct"/>
            <w:gridSpan w:val="3"/>
            <w:tcBorders>
              <w:top w:val="single" w:color="auto" w:sz="8" w:space="0"/>
              <w:left w:val="single" w:color="auto" w:sz="8" w:space="0"/>
              <w:bottom w:val="nil"/>
              <w:right w:val="single" w:color="auto" w:sz="4" w:space="0"/>
            </w:tcBorders>
            <w:noWrap/>
            <w:vAlign w:val="center"/>
          </w:tcPr>
          <w:p>
            <w:pPr>
              <w:widowControl/>
              <w:spacing w:line="276" w:lineRule="auto"/>
              <w:ind w:firstLine="420"/>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说明：1.合格打“√”, 不合格打“×”。</w:t>
            </w:r>
          </w:p>
        </w:tc>
      </w:tr>
      <w:tr>
        <w:tblPrEx>
          <w:tblCellMar>
            <w:top w:w="0" w:type="dxa"/>
            <w:left w:w="108" w:type="dxa"/>
            <w:bottom w:w="0" w:type="dxa"/>
            <w:right w:w="108" w:type="dxa"/>
          </w:tblCellMar>
        </w:tblPrEx>
        <w:trPr>
          <w:trHeight w:val="578" w:hRule="atLeast"/>
        </w:trPr>
        <w:tc>
          <w:tcPr>
            <w:tcW w:w="5000" w:type="pct"/>
            <w:gridSpan w:val="3"/>
            <w:tcBorders>
              <w:top w:val="nil"/>
              <w:left w:val="single" w:color="auto" w:sz="8" w:space="0"/>
              <w:bottom w:val="single" w:color="auto" w:sz="8" w:space="0"/>
              <w:right w:val="single" w:color="auto" w:sz="4" w:space="0"/>
            </w:tcBorders>
            <w:noWrap/>
            <w:vAlign w:val="center"/>
          </w:tcPr>
          <w:p>
            <w:pPr>
              <w:widowControl/>
              <w:spacing w:line="276" w:lineRule="auto"/>
              <w:ind w:firstLine="420"/>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2.有一项内容不合格，综合评定为不合格。</w:t>
            </w:r>
          </w:p>
        </w:tc>
      </w:tr>
    </w:tbl>
    <w:p>
      <w:pPr>
        <w:spacing w:line="312" w:lineRule="auto"/>
        <w:jc w:val="center"/>
        <w:rPr>
          <w:rFonts w:hint="eastAsia" w:ascii="宋体" w:hAnsi="宋体" w:cs="宋体"/>
          <w:b/>
          <w:bCs/>
          <w:color w:val="000000" w:themeColor="text1"/>
          <w:szCs w:val="28"/>
          <w14:textFill>
            <w14:solidFill>
              <w14:schemeClr w14:val="tx1"/>
            </w14:solidFill>
          </w14:textFill>
        </w:rPr>
      </w:pPr>
    </w:p>
    <w:p>
      <w:pPr>
        <w:spacing w:line="312" w:lineRule="auto"/>
        <w:jc w:val="both"/>
        <w:rPr>
          <w:rFonts w:hint="eastAsia" w:ascii="宋体" w:hAnsi="宋体" w:cs="宋体"/>
          <w:b/>
          <w:bCs/>
          <w:color w:val="000000" w:themeColor="text1"/>
          <w:szCs w:val="28"/>
          <w14:textFill>
            <w14:solidFill>
              <w14:schemeClr w14:val="tx1"/>
            </w14:solidFill>
          </w14:textFill>
        </w:rPr>
      </w:pPr>
    </w:p>
    <w:p>
      <w:pPr>
        <w:spacing w:line="312" w:lineRule="auto"/>
        <w:jc w:val="both"/>
        <w:rPr>
          <w:rFonts w:hint="eastAsia" w:ascii="宋体" w:hAnsi="宋体" w:cs="宋体"/>
          <w:b/>
          <w:bCs/>
          <w:color w:val="000000" w:themeColor="text1"/>
          <w:szCs w:val="28"/>
          <w14:textFill>
            <w14:solidFill>
              <w14:schemeClr w14:val="tx1"/>
            </w14:solidFill>
          </w14:textFill>
        </w:rPr>
      </w:pPr>
    </w:p>
    <w:p>
      <w:pPr>
        <w:rPr>
          <w:rFonts w:hint="eastAsia"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br w:type="page"/>
      </w:r>
    </w:p>
    <w:tbl>
      <w:tblPr>
        <w:tblStyle w:val="9"/>
        <w:tblpPr w:leftFromText="180" w:rightFromText="180" w:vertAnchor="text" w:horzAnchor="page" w:tblpX="1343" w:tblpY="612"/>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4"/>
        <w:gridCol w:w="986"/>
        <w:gridCol w:w="1127"/>
        <w:gridCol w:w="854"/>
        <w:gridCol w:w="1505"/>
        <w:gridCol w:w="1150"/>
        <w:gridCol w:w="968"/>
        <w:gridCol w:w="1084"/>
        <w:gridCol w:w="643"/>
        <w:gridCol w:w="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672"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符合性审查表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2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Hans" w:bidi="ar"/>
              </w:rPr>
            </w:pPr>
            <w:r>
              <w:rPr>
                <w:rFonts w:hint="eastAsia" w:ascii="宋体" w:hAnsi="宋体" w:eastAsia="宋体" w:cs="宋体"/>
                <w:b w:val="0"/>
                <w:bCs w:val="0"/>
                <w:i w:val="0"/>
                <w:iCs w:val="0"/>
                <w:color w:val="000000"/>
                <w:kern w:val="0"/>
                <w:sz w:val="24"/>
                <w:szCs w:val="24"/>
                <w:u w:val="none"/>
                <w:lang w:val="en-US" w:eastAsia="zh-Hans" w:bidi="ar"/>
              </w:rPr>
              <w:t>序号</w:t>
            </w:r>
          </w:p>
        </w:tc>
        <w:tc>
          <w:tcPr>
            <w:tcW w:w="23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项目名称：</w:t>
            </w:r>
          </w:p>
        </w:tc>
        <w:tc>
          <w:tcPr>
            <w:tcW w:w="232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供应商名称</w:t>
            </w:r>
          </w:p>
        </w:tc>
        <w:tc>
          <w:tcPr>
            <w:tcW w:w="18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有效性审查</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完整性审查</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投标有效期</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需求文件的响应程度审查</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是否合格</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（是/否）</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2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响应文件签署</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服务方案</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报价唯一</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响应文件份数</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响应文件内容</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响应文件内容</w:t>
            </w: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6" w:hRule="atLeast"/>
        </w:trPr>
        <w:tc>
          <w:tcPr>
            <w:tcW w:w="327"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投标文件上法定代表人或其授权代表人的签字齐全。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每个分包只能有一个方案投标。</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只能在预算金额和最高限价内报价，只能有一个有效报价，不得提交选择性报价。</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响应文件正、副本数量符合招标文件要求。</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投标有效期为投标截止日期后九十天内。</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对需求文件规定的内容作出全部响应</w:t>
            </w: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1</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2</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3</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4"/>
                <w:szCs w:val="24"/>
                <w:u w:val="none"/>
              </w:rPr>
            </w:pPr>
            <w:r>
              <w:rPr>
                <w:rFonts w:hint="eastAsia" w:ascii="宋体" w:hAnsi="宋体" w:eastAsia="宋体" w:cs="宋体"/>
                <w:b w:val="0"/>
                <w:bCs w:val="0"/>
                <w:sz w:val="24"/>
                <w:szCs w:val="24"/>
                <w:lang w:val="en-US" w:eastAsia="zh-CN"/>
              </w:rPr>
              <w:t>评审结论:投标人有任何</w:t>
            </w:r>
            <w:r>
              <w:rPr>
                <w:rFonts w:hint="eastAsia" w:ascii="宋体" w:hAnsi="宋体" w:eastAsia="宋体" w:cs="宋体"/>
                <w:b w:val="0"/>
                <w:bCs w:val="0"/>
                <w:sz w:val="24"/>
                <w:szCs w:val="24"/>
              </w:rPr>
              <w:t>一项不符合招标文件规定,结论为“未通过打×”（注明未通过原因），否则结论为“通过打√”。</w:t>
            </w:r>
          </w:p>
        </w:tc>
      </w:tr>
    </w:tbl>
    <w:p>
      <w:pPr>
        <w:pStyle w:val="3"/>
        <w:rPr>
          <w:rFonts w:hint="eastAsia"/>
        </w:rPr>
      </w:pPr>
    </w:p>
    <w:p>
      <w:pPr>
        <w:spacing w:line="312" w:lineRule="auto"/>
        <w:jc w:val="both"/>
        <w:rPr>
          <w:rFonts w:hint="eastAsia" w:ascii="宋体" w:hAnsi="宋体" w:cs="宋体"/>
          <w:b/>
          <w:bCs/>
          <w:color w:val="000000" w:themeColor="text1"/>
          <w:szCs w:val="28"/>
          <w14:textFill>
            <w14:solidFill>
              <w14:schemeClr w14:val="tx1"/>
            </w14:solidFill>
          </w14:textFill>
        </w:rPr>
      </w:pPr>
    </w:p>
    <w:p>
      <w:pPr>
        <w:spacing w:line="312" w:lineRule="auto"/>
        <w:jc w:val="both"/>
        <w:rPr>
          <w:rFonts w:hint="eastAsia" w:ascii="宋体" w:hAnsi="宋体" w:cs="宋体"/>
          <w:b/>
          <w:bCs/>
          <w:color w:val="000000" w:themeColor="text1"/>
          <w:szCs w:val="28"/>
          <w14:textFill>
            <w14:solidFill>
              <w14:schemeClr w14:val="tx1"/>
            </w14:solidFill>
          </w14:textFill>
        </w:rPr>
      </w:pPr>
    </w:p>
    <w:p>
      <w:pPr>
        <w:spacing w:line="312" w:lineRule="auto"/>
        <w:jc w:val="both"/>
        <w:rPr>
          <w:rFonts w:hint="eastAsia" w:ascii="宋体" w:hAnsi="宋体" w:cs="宋体"/>
          <w:b/>
          <w:bCs/>
          <w:color w:val="000000" w:themeColor="text1"/>
          <w:szCs w:val="28"/>
          <w14:textFill>
            <w14:solidFill>
              <w14:schemeClr w14:val="tx1"/>
            </w14:solidFill>
          </w14:textFill>
        </w:rPr>
      </w:pPr>
    </w:p>
    <w:p>
      <w:pPr>
        <w:rPr>
          <w:rFonts w:hint="eastAsia"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br w:type="page"/>
      </w:r>
    </w:p>
    <w:p>
      <w:pPr>
        <w:pStyle w:val="3"/>
        <w:rPr>
          <w:rFonts w:hint="eastAsia"/>
        </w:rPr>
      </w:pPr>
    </w:p>
    <w:p>
      <w:pPr>
        <w:spacing w:line="312" w:lineRule="auto"/>
        <w:jc w:val="center"/>
        <w:rPr>
          <w:rFonts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评审标准</w:t>
      </w:r>
    </w:p>
    <w:p>
      <w:pPr>
        <w:spacing w:line="312" w:lineRule="auto"/>
        <w:ind w:firstLine="480" w:firstLineChars="200"/>
        <w:jc w:val="center"/>
        <w:rPr>
          <w:rFonts w:ascii="宋体" w:hAnsi="宋体" w:cs="宋体"/>
          <w:color w:val="000000" w:themeColor="text1"/>
          <w:sz w:val="24"/>
          <w:szCs w:val="24"/>
          <w14:textFill>
            <w14:solidFill>
              <w14:schemeClr w14:val="tx1"/>
            </w14:solidFill>
          </w14:textFill>
        </w:rPr>
      </w:pPr>
    </w:p>
    <w:tbl>
      <w:tblPr>
        <w:tblStyle w:val="9"/>
        <w:tblpPr w:leftFromText="180" w:rightFromText="180" w:vertAnchor="text" w:tblpXSpec="center" w:tblpY="1"/>
        <w:tblOverlap w:val="never"/>
        <w:tblW w:w="103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noWrap w:val="0"/>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1269" w:type="dxa"/>
            <w:noWrap w:val="0"/>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评分因素</w:t>
            </w:r>
          </w:p>
        </w:tc>
        <w:tc>
          <w:tcPr>
            <w:tcW w:w="955" w:type="dxa"/>
            <w:noWrap w:val="0"/>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分值</w:t>
            </w:r>
          </w:p>
        </w:tc>
        <w:tc>
          <w:tcPr>
            <w:tcW w:w="5997" w:type="dxa"/>
            <w:noWrap w:val="0"/>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评分标准（以下评分标准为举例）</w:t>
            </w:r>
          </w:p>
        </w:tc>
        <w:tc>
          <w:tcPr>
            <w:tcW w:w="1404" w:type="dxa"/>
            <w:noWrap w:val="0"/>
            <w:vAlign w:val="center"/>
          </w:tcPr>
          <w:p>
            <w:pPr>
              <w:pStyle w:val="13"/>
              <w:spacing w:before="0" w:after="0" w:line="44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1</w:t>
            </w:r>
          </w:p>
        </w:tc>
        <w:tc>
          <w:tcPr>
            <w:tcW w:w="1269" w:type="dxa"/>
            <w:noWrap w:val="0"/>
            <w:vAlign w:val="center"/>
          </w:tcPr>
          <w:p>
            <w:pPr>
              <w:spacing w:line="360" w:lineRule="exact"/>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投标报价</w:t>
            </w:r>
          </w:p>
        </w:tc>
        <w:tc>
          <w:tcPr>
            <w:tcW w:w="955" w:type="dxa"/>
            <w:noWrap w:val="0"/>
            <w:vAlign w:val="center"/>
          </w:tcPr>
          <w:p>
            <w:pPr>
              <w:spacing w:line="360" w:lineRule="exact"/>
              <w:jc w:val="center"/>
              <w:rPr>
                <w:rFonts w:hint="default" w:ascii="宋体" w:hAnsi="宋体" w:eastAsia="宋体" w:cs="方正仿宋_GBK"/>
                <w:color w:val="000000" w:themeColor="text1"/>
                <w:sz w:val="24"/>
                <w:szCs w:val="24"/>
                <w:lang w:val="en-US" w:eastAsia="zh-CN"/>
                <w14:textFill>
                  <w14:solidFill>
                    <w14:schemeClr w14:val="tx1"/>
                  </w14:solidFill>
                </w14:textFill>
              </w:rPr>
            </w:pPr>
            <w:r>
              <w:rPr>
                <w:rFonts w:hint="eastAsia" w:ascii="宋体" w:hAnsi="宋体" w:cs="方正仿宋_GBK"/>
                <w:color w:val="000000" w:themeColor="text1"/>
                <w:sz w:val="24"/>
                <w:szCs w:val="24"/>
                <w:lang w:val="en-US" w:eastAsia="zh-CN"/>
                <w14:textFill>
                  <w14:solidFill>
                    <w14:schemeClr w14:val="tx1"/>
                  </w14:solidFill>
                </w14:textFill>
              </w:rPr>
              <w:t>30</w:t>
            </w:r>
          </w:p>
        </w:tc>
        <w:tc>
          <w:tcPr>
            <w:tcW w:w="5997" w:type="dxa"/>
            <w:noWrap w:val="0"/>
            <w:vAlign w:val="center"/>
          </w:tcPr>
          <w:p>
            <w:pPr>
              <w:widowControl/>
              <w:spacing w:line="300" w:lineRule="exact"/>
              <w:outlineLvl w:val="2"/>
              <w:rPr>
                <w:rFonts w:ascii="宋体" w:hAnsi="宋体" w:cs="方正仿宋_GBK"/>
                <w:color w:val="000000" w:themeColor="text1"/>
                <w:sz w:val="24"/>
                <w:szCs w:val="24"/>
                <w14:textFill>
                  <w14:solidFill>
                    <w14:schemeClr w14:val="tx1"/>
                  </w14:solidFill>
                </w14:textFill>
              </w:rPr>
            </w:pPr>
            <w:r>
              <w:rPr>
                <w:rFonts w:hint="eastAsia" w:asciiTheme="minorEastAsia" w:hAnsiTheme="minorEastAsia" w:eastAsiaTheme="minorEastAsia" w:cstheme="minorEastAsia"/>
                <w:i w:val="0"/>
                <w:caps w:val="0"/>
                <w:color w:val="000000"/>
                <w:spacing w:val="0"/>
                <w:sz w:val="24"/>
                <w:szCs w:val="24"/>
              </w:rPr>
              <w:t>本项目不做分项报价。本项目投标报价设定值为</w:t>
            </w:r>
            <w:r>
              <w:rPr>
                <w:rFonts w:hint="eastAsia" w:asciiTheme="minorEastAsia" w:hAnsiTheme="minorEastAsia" w:eastAsiaTheme="minorEastAsia" w:cstheme="minorEastAsia"/>
                <w:i w:val="0"/>
                <w:caps w:val="0"/>
                <w:color w:val="000000"/>
                <w:spacing w:val="0"/>
                <w:sz w:val="24"/>
                <w:szCs w:val="24"/>
                <w:lang w:val="en-US" w:eastAsia="zh-CN"/>
              </w:rPr>
              <w:t>10000</w:t>
            </w:r>
            <w:r>
              <w:rPr>
                <w:rFonts w:hint="eastAsia" w:asciiTheme="minorEastAsia" w:hAnsiTheme="minorEastAsia" w:eastAsiaTheme="minorEastAsia" w:cstheme="minorEastAsia"/>
                <w:i w:val="0"/>
                <w:caps w:val="0"/>
                <w:color w:val="000000"/>
                <w:spacing w:val="0"/>
                <w:sz w:val="24"/>
                <w:szCs w:val="24"/>
              </w:rPr>
              <w:t>元（大写：</w:t>
            </w:r>
            <w:r>
              <w:rPr>
                <w:rFonts w:hint="eastAsia" w:asciiTheme="minorEastAsia" w:hAnsiTheme="minorEastAsia" w:eastAsiaTheme="minorEastAsia" w:cstheme="minorEastAsia"/>
                <w:i w:val="0"/>
                <w:caps w:val="0"/>
                <w:color w:val="000000"/>
                <w:spacing w:val="0"/>
                <w:sz w:val="24"/>
                <w:szCs w:val="24"/>
                <w:lang w:val="en-US" w:eastAsia="zh-CN"/>
              </w:rPr>
              <w:t>壹万元整</w:t>
            </w:r>
            <w:r>
              <w:rPr>
                <w:rFonts w:hint="eastAsia" w:asciiTheme="minorEastAsia" w:hAnsiTheme="minorEastAsia" w:eastAsiaTheme="minorEastAsia" w:cstheme="minorEastAsia"/>
                <w:i w:val="0"/>
                <w:caps w:val="0"/>
                <w:color w:val="000000"/>
                <w:spacing w:val="0"/>
                <w:sz w:val="24"/>
                <w:szCs w:val="24"/>
              </w:rPr>
              <w:t>）。同时报价需注明：</w:t>
            </w:r>
            <w:r>
              <w:rPr>
                <w:rFonts w:hint="eastAsia" w:ascii="宋体" w:hAnsi="宋体" w:cs="宋体"/>
                <w:b/>
                <w:bCs/>
                <w:color w:val="000000" w:themeColor="text1"/>
                <w:kern w:val="0"/>
                <w:sz w:val="24"/>
                <w:szCs w:val="24"/>
                <w:u w:val="single"/>
                <w:lang w:val="en-US" w:eastAsia="zh-CN"/>
                <w14:textFill>
                  <w14:solidFill>
                    <w14:schemeClr w14:val="tx1"/>
                  </w14:solidFill>
                </w14:textFill>
              </w:rPr>
              <w:t>以概算批复为准</w:t>
            </w:r>
            <w:r>
              <w:rPr>
                <w:rFonts w:hint="eastAsia" w:asciiTheme="minorEastAsia" w:hAnsiTheme="minorEastAsia" w:eastAsiaTheme="minorEastAsia" w:cstheme="minorEastAsia"/>
                <w:i w:val="0"/>
                <w:caps w:val="0"/>
                <w:color w:val="000000"/>
                <w:spacing w:val="0"/>
                <w:sz w:val="24"/>
                <w:szCs w:val="24"/>
              </w:rPr>
              <w:t>。所有投标人请按此价格报价</w:t>
            </w:r>
            <w:r>
              <w:rPr>
                <w:rFonts w:hint="eastAsia" w:cs="宋体" w:asciiTheme="minorEastAsia" w:hAnsiTheme="minorEastAsia"/>
                <w:color w:val="000000" w:themeColor="text1"/>
                <w:sz w:val="24"/>
                <w14:textFill>
                  <w14:solidFill>
                    <w14:schemeClr w14:val="tx1"/>
                  </w14:solidFill>
                </w14:textFill>
              </w:rPr>
              <w:t>均得满分</w:t>
            </w:r>
            <w:r>
              <w:rPr>
                <w:rFonts w:hint="eastAsia" w:asciiTheme="minorEastAsia" w:hAnsiTheme="minorEastAsia" w:eastAsiaTheme="minorEastAsia" w:cstheme="minorEastAsia"/>
                <w:i w:val="0"/>
                <w:caps w:val="0"/>
                <w:color w:val="000000"/>
                <w:spacing w:val="0"/>
                <w:sz w:val="24"/>
                <w:szCs w:val="24"/>
              </w:rPr>
              <w:t>；若未按照此价格报价，报价得分为0</w:t>
            </w:r>
            <w:r>
              <w:rPr>
                <w:rFonts w:hint="eastAsia" w:asciiTheme="minorEastAsia" w:hAnsiTheme="minorEastAsia" w:eastAsiaTheme="minorEastAsia" w:cstheme="minorEastAsia"/>
                <w:i w:val="0"/>
                <w:caps w:val="0"/>
                <w:color w:val="000000"/>
                <w:spacing w:val="0"/>
                <w:sz w:val="24"/>
                <w:szCs w:val="24"/>
                <w:lang w:val="en-US" w:eastAsia="zh-CN"/>
              </w:rPr>
              <w:t>分</w:t>
            </w:r>
          </w:p>
        </w:tc>
        <w:tc>
          <w:tcPr>
            <w:tcW w:w="1404" w:type="dxa"/>
            <w:noWrap w:val="0"/>
            <w:vAlign w:val="center"/>
          </w:tcPr>
          <w:p>
            <w:pPr>
              <w:spacing w:line="360" w:lineRule="exact"/>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705" w:type="dxa"/>
            <w:noWrap w:val="0"/>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2</w:t>
            </w:r>
          </w:p>
        </w:tc>
        <w:tc>
          <w:tcPr>
            <w:tcW w:w="1269" w:type="dxa"/>
            <w:noWrap w:val="0"/>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服务部分</w:t>
            </w:r>
          </w:p>
        </w:tc>
        <w:tc>
          <w:tcPr>
            <w:tcW w:w="955" w:type="dxa"/>
            <w:noWrap w:val="0"/>
            <w:vAlign w:val="center"/>
          </w:tcPr>
          <w:p>
            <w:pPr>
              <w:spacing w:line="240" w:lineRule="exact"/>
              <w:jc w:val="center"/>
              <w:rPr>
                <w:rFonts w:hint="default" w:ascii="宋体" w:hAnsi="宋体" w:eastAsia="微软雅黑" w:cs="方正仿宋_GBK"/>
                <w:color w:val="000000" w:themeColor="text1"/>
                <w:sz w:val="24"/>
                <w:szCs w:val="24"/>
                <w:lang w:val="en-US" w:eastAsia="zh-CN"/>
                <w14:textFill>
                  <w14:solidFill>
                    <w14:schemeClr w14:val="tx1"/>
                  </w14:solidFill>
                </w14:textFill>
              </w:rPr>
            </w:pPr>
            <w:r>
              <w:rPr>
                <w:rFonts w:hint="eastAsia" w:ascii="宋体" w:hAnsi="宋体" w:eastAsia="微软雅黑" w:cs="方正仿宋_GBK"/>
                <w:color w:val="000000" w:themeColor="text1"/>
                <w:sz w:val="24"/>
                <w:szCs w:val="24"/>
                <w:lang w:val="en-US" w:eastAsia="zh-CN"/>
                <w14:textFill>
                  <w14:solidFill>
                    <w14:schemeClr w14:val="tx1"/>
                  </w14:solidFill>
                </w14:textFill>
              </w:rPr>
              <w:t>50</w:t>
            </w:r>
          </w:p>
        </w:tc>
        <w:tc>
          <w:tcPr>
            <w:tcW w:w="5997" w:type="dxa"/>
            <w:noWrap w:val="0"/>
            <w:vAlign w:val="center"/>
          </w:tcPr>
          <w:p>
            <w:pPr>
              <w:spacing w:line="360" w:lineRule="auto"/>
              <w:jc w:val="left"/>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1、工作的理念及针对性，共</w:t>
            </w:r>
            <w:r>
              <w:rPr>
                <w:rFonts w:hint="eastAsia" w:cs="宋体" w:asciiTheme="minorEastAsia" w:hAnsiTheme="minorEastAsia"/>
                <w:color w:val="000000" w:themeColor="text1"/>
                <w:sz w:val="24"/>
                <w:lang w:val="en-US" w:eastAsia="zh-CN"/>
                <w14:textFill>
                  <w14:solidFill>
                    <w14:schemeClr w14:val="tx1"/>
                  </w14:solidFill>
                </w14:textFill>
              </w:rPr>
              <w:t>1</w:t>
            </w:r>
            <w:r>
              <w:rPr>
                <w:rFonts w:hint="eastAsia" w:cs="宋体" w:asciiTheme="minorEastAsia" w:hAnsiTheme="minorEastAsia"/>
                <w:color w:val="000000" w:themeColor="text1"/>
                <w:sz w:val="24"/>
                <w14:textFill>
                  <w14:solidFill>
                    <w14:schemeClr w14:val="tx1"/>
                  </w14:solidFill>
                </w14:textFill>
              </w:rPr>
              <w:t>0分，其中项目的指导思想及目标 1-</w:t>
            </w:r>
            <w:r>
              <w:rPr>
                <w:rFonts w:hint="eastAsia" w:cs="宋体" w:asciiTheme="minorEastAsia" w:hAnsiTheme="minorEastAsia"/>
                <w:color w:val="000000" w:themeColor="text1"/>
                <w:sz w:val="24"/>
                <w:lang w:val="en-US" w:eastAsia="zh-CN"/>
                <w14:textFill>
                  <w14:solidFill>
                    <w14:schemeClr w14:val="tx1"/>
                  </w14:solidFill>
                </w14:textFill>
              </w:rPr>
              <w:t>5</w:t>
            </w:r>
            <w:r>
              <w:rPr>
                <w:rFonts w:hint="eastAsia" w:cs="宋体" w:asciiTheme="minorEastAsia" w:hAnsiTheme="minorEastAsia"/>
                <w:color w:val="000000" w:themeColor="text1"/>
                <w:sz w:val="24"/>
                <w14:textFill>
                  <w14:solidFill>
                    <w14:schemeClr w14:val="tx1"/>
                  </w14:solidFill>
                </w14:textFill>
              </w:rPr>
              <w:t>分；安全管理体系及措施 1-</w:t>
            </w:r>
            <w:r>
              <w:rPr>
                <w:rFonts w:hint="eastAsia" w:cs="宋体" w:asciiTheme="minorEastAsia" w:hAnsiTheme="minorEastAsia"/>
                <w:color w:val="000000" w:themeColor="text1"/>
                <w:sz w:val="24"/>
                <w:lang w:val="en-US" w:eastAsia="zh-CN"/>
                <w14:textFill>
                  <w14:solidFill>
                    <w14:schemeClr w14:val="tx1"/>
                  </w14:solidFill>
                </w14:textFill>
              </w:rPr>
              <w:t>5</w:t>
            </w:r>
            <w:r>
              <w:rPr>
                <w:rFonts w:hint="eastAsia" w:cs="宋体" w:asciiTheme="minorEastAsia" w:hAnsiTheme="minorEastAsia"/>
                <w:color w:val="000000" w:themeColor="text1"/>
                <w:sz w:val="24"/>
                <w14:textFill>
                  <w14:solidFill>
                    <w14:schemeClr w14:val="tx1"/>
                  </w14:solidFill>
                </w14:textFill>
              </w:rPr>
              <w:t>分；缺项不得分。</w:t>
            </w:r>
          </w:p>
          <w:p>
            <w:pPr>
              <w:spacing w:line="360" w:lineRule="auto"/>
              <w:jc w:val="left"/>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2、理念与技术措施，共10分，其中</w:t>
            </w:r>
            <w:r>
              <w:rPr>
                <w:rFonts w:hint="eastAsia" w:cs="宋体" w:asciiTheme="minorEastAsia" w:hAnsiTheme="minorEastAsia"/>
                <w:color w:val="000000" w:themeColor="text1"/>
                <w:sz w:val="24"/>
                <w:lang w:val="en-US" w:eastAsia="zh-CN"/>
                <w14:textFill>
                  <w14:solidFill>
                    <w14:schemeClr w14:val="tx1"/>
                  </w14:solidFill>
                </w14:textFill>
              </w:rPr>
              <w:t>编制质量控制</w:t>
            </w:r>
            <w:r>
              <w:rPr>
                <w:rFonts w:hint="eastAsia" w:cs="宋体" w:asciiTheme="minorEastAsia" w:hAnsiTheme="minorEastAsia"/>
                <w:color w:val="000000" w:themeColor="text1"/>
                <w:sz w:val="24"/>
                <w14:textFill>
                  <w14:solidFill>
                    <w14:schemeClr w14:val="tx1"/>
                  </w14:solidFill>
                </w14:textFill>
              </w:rPr>
              <w:t>措施1-3分；项目评价实施阶段的质量要求和重要性水平的风险控制措施1-3分；项目争议和解关系因素措施 1-2分；信息档案管理措施1-</w:t>
            </w:r>
            <w:r>
              <w:rPr>
                <w:rFonts w:hint="eastAsia" w:cs="宋体" w:asciiTheme="minorEastAsia" w:hAnsiTheme="minorEastAsia"/>
                <w:color w:val="000000" w:themeColor="text1"/>
                <w:sz w:val="24"/>
                <w:lang w:val="en-US" w:eastAsia="zh-CN"/>
                <w14:textFill>
                  <w14:solidFill>
                    <w14:schemeClr w14:val="tx1"/>
                  </w14:solidFill>
                </w14:textFill>
              </w:rPr>
              <w:t>10</w:t>
            </w:r>
            <w:r>
              <w:rPr>
                <w:rFonts w:hint="eastAsia" w:cs="宋体" w:asciiTheme="minorEastAsia" w:hAnsiTheme="minorEastAsia"/>
                <w:color w:val="000000" w:themeColor="text1"/>
                <w:sz w:val="24"/>
                <w14:textFill>
                  <w14:solidFill>
                    <w14:schemeClr w14:val="tx1"/>
                  </w14:solidFill>
                </w14:textFill>
              </w:rPr>
              <w:t>分；缺项不得分。</w:t>
            </w:r>
          </w:p>
          <w:p>
            <w:pPr>
              <w:spacing w:line="360" w:lineRule="auto"/>
              <w:jc w:val="left"/>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w:t>
            </w:r>
            <w:r>
              <w:rPr>
                <w:rFonts w:hint="eastAsia" w:cs="宋体" w:asciiTheme="minorEastAsia" w:hAnsiTheme="minorEastAsia"/>
                <w:color w:val="000000" w:themeColor="text1"/>
                <w:sz w:val="24"/>
                <w:lang w:val="en-US" w:eastAsia="zh-CN"/>
                <w14:textFill>
                  <w14:solidFill>
                    <w14:schemeClr w14:val="tx1"/>
                  </w14:solidFill>
                </w14:textFill>
              </w:rPr>
              <w:t>服务</w:t>
            </w:r>
            <w:r>
              <w:rPr>
                <w:rFonts w:hint="eastAsia" w:cs="宋体" w:asciiTheme="minorEastAsia" w:hAnsiTheme="minorEastAsia"/>
                <w:color w:val="000000" w:themeColor="text1"/>
                <w:sz w:val="24"/>
                <w14:textFill>
                  <w14:solidFill>
                    <w14:schemeClr w14:val="tx1"/>
                  </w14:solidFill>
                </w14:textFill>
              </w:rPr>
              <w:t>周期安排控制 1-</w:t>
            </w:r>
            <w:r>
              <w:rPr>
                <w:rFonts w:hint="eastAsia" w:cs="宋体" w:asciiTheme="minorEastAsia" w:hAnsiTheme="minorEastAsia"/>
                <w:color w:val="000000" w:themeColor="text1"/>
                <w:sz w:val="24"/>
                <w:lang w:val="en-US" w:eastAsia="zh-CN"/>
                <w14:textFill>
                  <w14:solidFill>
                    <w14:schemeClr w14:val="tx1"/>
                  </w14:solidFill>
                </w14:textFill>
              </w:rPr>
              <w:t>10</w:t>
            </w:r>
            <w:r>
              <w:rPr>
                <w:rFonts w:hint="eastAsia" w:cs="宋体" w:asciiTheme="minorEastAsia" w:hAnsiTheme="minorEastAsia"/>
                <w:color w:val="000000" w:themeColor="text1"/>
                <w:sz w:val="24"/>
                <w14:textFill>
                  <w14:solidFill>
                    <w14:schemeClr w14:val="tx1"/>
                  </w14:solidFill>
                </w14:textFill>
              </w:rPr>
              <w:t>分，缺项不得分。</w:t>
            </w:r>
          </w:p>
          <w:p>
            <w:pPr>
              <w:spacing w:line="360" w:lineRule="auto"/>
              <w:jc w:val="left"/>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4、参选单位与相关单位协调及配合体系与措施 1-</w:t>
            </w:r>
            <w:r>
              <w:rPr>
                <w:rFonts w:hint="eastAsia" w:cs="宋体" w:asciiTheme="minorEastAsia" w:hAnsiTheme="minorEastAsia"/>
                <w:color w:val="000000" w:themeColor="text1"/>
                <w:sz w:val="24"/>
                <w:lang w:val="en-US" w:eastAsia="zh-CN"/>
                <w14:textFill>
                  <w14:solidFill>
                    <w14:schemeClr w14:val="tx1"/>
                  </w14:solidFill>
                </w14:textFill>
              </w:rPr>
              <w:t>10</w:t>
            </w:r>
            <w:r>
              <w:rPr>
                <w:rFonts w:hint="eastAsia" w:cs="宋体" w:asciiTheme="minorEastAsia" w:hAnsiTheme="minorEastAsia"/>
                <w:color w:val="000000" w:themeColor="text1"/>
                <w:sz w:val="24"/>
                <w14:textFill>
                  <w14:solidFill>
                    <w14:schemeClr w14:val="tx1"/>
                  </w14:solidFill>
                </w14:textFill>
              </w:rPr>
              <w:t>分，缺项不得分。</w:t>
            </w:r>
          </w:p>
          <w:p>
            <w:pPr>
              <w:rPr>
                <w:rFonts w:ascii="宋体" w:hAnsi="宋体" w:cs="宋体"/>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5、项目管理机构人员职责和行为准则1-</w:t>
            </w:r>
            <w:r>
              <w:rPr>
                <w:rFonts w:hint="eastAsia" w:cs="宋体" w:asciiTheme="minorEastAsia" w:hAnsiTheme="minorEastAsia"/>
                <w:color w:val="000000" w:themeColor="text1"/>
                <w:sz w:val="24"/>
                <w:lang w:val="en-US" w:eastAsia="zh-CN"/>
                <w14:textFill>
                  <w14:solidFill>
                    <w14:schemeClr w14:val="tx1"/>
                  </w14:solidFill>
                </w14:textFill>
              </w:rPr>
              <w:t>10</w:t>
            </w:r>
            <w:r>
              <w:rPr>
                <w:rFonts w:hint="eastAsia" w:cs="宋体" w:asciiTheme="minorEastAsia" w:hAnsiTheme="minorEastAsia"/>
                <w:color w:val="000000" w:themeColor="text1"/>
                <w:sz w:val="24"/>
                <w14:textFill>
                  <w14:solidFill>
                    <w14:schemeClr w14:val="tx1"/>
                  </w14:solidFill>
                </w14:textFill>
              </w:rPr>
              <w:t>分，缺项不得分。</w:t>
            </w:r>
          </w:p>
        </w:tc>
        <w:tc>
          <w:tcPr>
            <w:tcW w:w="1404" w:type="dxa"/>
            <w:noWrap w:val="0"/>
            <w:vAlign w:val="center"/>
          </w:tcPr>
          <w:p>
            <w:pPr>
              <w:spacing w:line="360" w:lineRule="exact"/>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restart"/>
            <w:noWrap w:val="0"/>
            <w:vAlign w:val="center"/>
          </w:tcPr>
          <w:p>
            <w:pPr>
              <w:spacing w:line="32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3</w:t>
            </w:r>
          </w:p>
        </w:tc>
        <w:tc>
          <w:tcPr>
            <w:tcW w:w="1269" w:type="dxa"/>
            <w:vMerge w:val="restart"/>
            <w:noWrap w:val="0"/>
            <w:vAlign w:val="center"/>
          </w:tcPr>
          <w:p>
            <w:pPr>
              <w:spacing w:line="32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商务部分</w:t>
            </w:r>
          </w:p>
        </w:tc>
        <w:tc>
          <w:tcPr>
            <w:tcW w:w="955" w:type="dxa"/>
            <w:noWrap w:val="0"/>
            <w:vAlign w:val="center"/>
          </w:tcPr>
          <w:p>
            <w:pPr>
              <w:widowControl/>
              <w:spacing w:line="300" w:lineRule="exact"/>
              <w:jc w:val="center"/>
              <w:outlineLvl w:val="2"/>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p>
        </w:tc>
        <w:tc>
          <w:tcPr>
            <w:tcW w:w="5997" w:type="dxa"/>
            <w:noWrap w:val="0"/>
            <w:vAlign w:val="center"/>
          </w:tcPr>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企业人员：项目人员满足中级及以上职称要求的1个人员得</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分。本项目最多得</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分。</w:t>
            </w:r>
          </w:p>
        </w:tc>
        <w:tc>
          <w:tcPr>
            <w:tcW w:w="1404" w:type="dxa"/>
            <w:noWrap w:val="0"/>
            <w:vAlign w:val="center"/>
          </w:tcPr>
          <w:p>
            <w:pPr>
              <w:spacing w:line="320" w:lineRule="exact"/>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continue"/>
            <w:noWrap w:val="0"/>
            <w:vAlign w:val="center"/>
          </w:tcPr>
          <w:p>
            <w:pPr>
              <w:spacing w:line="320" w:lineRule="exact"/>
              <w:jc w:val="center"/>
              <w:rPr>
                <w:rFonts w:hint="eastAsia" w:ascii="宋体" w:hAnsi="宋体" w:cs="方正仿宋_GBK"/>
                <w:color w:val="000000" w:themeColor="text1"/>
                <w:sz w:val="24"/>
                <w:szCs w:val="24"/>
                <w14:textFill>
                  <w14:solidFill>
                    <w14:schemeClr w14:val="tx1"/>
                  </w14:solidFill>
                </w14:textFill>
              </w:rPr>
            </w:pPr>
          </w:p>
        </w:tc>
        <w:tc>
          <w:tcPr>
            <w:tcW w:w="1269" w:type="dxa"/>
            <w:vMerge w:val="continue"/>
            <w:noWrap w:val="0"/>
            <w:vAlign w:val="center"/>
          </w:tcPr>
          <w:p>
            <w:pPr>
              <w:spacing w:line="320" w:lineRule="exact"/>
              <w:jc w:val="center"/>
              <w:rPr>
                <w:rFonts w:hint="eastAsia" w:ascii="宋体" w:hAnsi="宋体" w:cs="方正仿宋_GBK"/>
                <w:color w:val="000000" w:themeColor="text1"/>
                <w:sz w:val="24"/>
                <w:szCs w:val="24"/>
                <w14:textFill>
                  <w14:solidFill>
                    <w14:schemeClr w14:val="tx1"/>
                  </w14:solidFill>
                </w14:textFill>
              </w:rPr>
            </w:pPr>
          </w:p>
        </w:tc>
        <w:tc>
          <w:tcPr>
            <w:tcW w:w="955" w:type="dxa"/>
            <w:noWrap w:val="0"/>
            <w:vAlign w:val="center"/>
          </w:tcPr>
          <w:p>
            <w:pPr>
              <w:widowControl/>
              <w:spacing w:line="300" w:lineRule="exact"/>
              <w:jc w:val="center"/>
              <w:outlineLvl w:val="2"/>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p>
        </w:tc>
        <w:tc>
          <w:tcPr>
            <w:tcW w:w="5997" w:type="dxa"/>
            <w:noWrap w:val="0"/>
            <w:vAlign w:val="center"/>
          </w:tcPr>
          <w:p>
            <w:pPr>
              <w:widowControl/>
              <w:spacing w:line="300" w:lineRule="exact"/>
              <w:outlineLvl w:val="2"/>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提供一个业绩得4分。本项最多8分</w:t>
            </w:r>
          </w:p>
        </w:tc>
        <w:tc>
          <w:tcPr>
            <w:tcW w:w="1404" w:type="dxa"/>
            <w:noWrap w:val="0"/>
            <w:vAlign w:val="center"/>
          </w:tcPr>
          <w:p>
            <w:pPr>
              <w:spacing w:line="320" w:lineRule="exact"/>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continue"/>
            <w:noWrap w:val="0"/>
            <w:vAlign w:val="center"/>
          </w:tcPr>
          <w:p>
            <w:pPr>
              <w:spacing w:line="320" w:lineRule="exact"/>
              <w:jc w:val="center"/>
              <w:rPr>
                <w:rFonts w:hint="eastAsia" w:ascii="宋体" w:hAnsi="宋体" w:cs="方正仿宋_GBK"/>
                <w:color w:val="000000" w:themeColor="text1"/>
                <w:sz w:val="24"/>
                <w:szCs w:val="24"/>
                <w14:textFill>
                  <w14:solidFill>
                    <w14:schemeClr w14:val="tx1"/>
                  </w14:solidFill>
                </w14:textFill>
              </w:rPr>
            </w:pPr>
          </w:p>
        </w:tc>
        <w:tc>
          <w:tcPr>
            <w:tcW w:w="1269" w:type="dxa"/>
            <w:vMerge w:val="continue"/>
            <w:noWrap w:val="0"/>
            <w:vAlign w:val="center"/>
          </w:tcPr>
          <w:p>
            <w:pPr>
              <w:spacing w:line="320" w:lineRule="exact"/>
              <w:jc w:val="center"/>
              <w:rPr>
                <w:rFonts w:hint="eastAsia" w:ascii="宋体" w:hAnsi="宋体" w:cs="方正仿宋_GBK"/>
                <w:color w:val="000000" w:themeColor="text1"/>
                <w:sz w:val="24"/>
                <w:szCs w:val="24"/>
                <w14:textFill>
                  <w14:solidFill>
                    <w14:schemeClr w14:val="tx1"/>
                  </w14:solidFill>
                </w14:textFill>
              </w:rPr>
            </w:pPr>
          </w:p>
        </w:tc>
        <w:tc>
          <w:tcPr>
            <w:tcW w:w="955" w:type="dxa"/>
            <w:noWrap w:val="0"/>
            <w:vAlign w:val="center"/>
          </w:tcPr>
          <w:p>
            <w:pPr>
              <w:widowControl/>
              <w:spacing w:line="300" w:lineRule="exact"/>
              <w:jc w:val="center"/>
              <w:outlineLvl w:val="2"/>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p>
        </w:tc>
        <w:tc>
          <w:tcPr>
            <w:tcW w:w="5997" w:type="dxa"/>
            <w:noWrap w:val="0"/>
            <w:vAlign w:val="center"/>
          </w:tcPr>
          <w:p>
            <w:pPr>
              <w:widowControl/>
              <w:spacing w:line="300" w:lineRule="exact"/>
              <w:outlineLvl w:val="2"/>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投标文件合理有效，符合评审习惯和要求</w:t>
            </w:r>
          </w:p>
          <w:p>
            <w:pPr>
              <w:pStyle w:val="12"/>
              <w:rPr>
                <w:rFonts w:hint="default"/>
                <w:sz w:val="24"/>
                <w:szCs w:val="24"/>
                <w:lang w:val="en-US" w:eastAsia="zh-CN"/>
              </w:rPr>
            </w:pPr>
            <w:r>
              <w:rPr>
                <w:rFonts w:hint="eastAsia" w:hAnsi="宋体" w:cs="宋体"/>
                <w:color w:val="000000" w:themeColor="text1"/>
                <w:sz w:val="24"/>
                <w:szCs w:val="24"/>
                <w:lang w:val="en-US" w:eastAsia="zh-CN"/>
                <w14:textFill>
                  <w14:solidFill>
                    <w14:schemeClr w14:val="tx1"/>
                  </w14:solidFill>
                </w14:textFill>
              </w:rPr>
              <w:t>良好得4分；一般得2分；差得1分。</w:t>
            </w:r>
          </w:p>
        </w:tc>
        <w:tc>
          <w:tcPr>
            <w:tcW w:w="1404" w:type="dxa"/>
            <w:noWrap w:val="0"/>
            <w:vAlign w:val="center"/>
          </w:tcPr>
          <w:p>
            <w:pPr>
              <w:spacing w:line="320" w:lineRule="exact"/>
              <w:rPr>
                <w:rFonts w:ascii="宋体" w:hAnsi="宋体" w:cs="方正仿宋_GBK"/>
                <w:color w:val="000000" w:themeColor="text1"/>
                <w:sz w:val="24"/>
                <w:szCs w:val="24"/>
                <w14:textFill>
                  <w14:solidFill>
                    <w14:schemeClr w14:val="tx1"/>
                  </w14:solidFill>
                </w14:textFill>
              </w:rPr>
            </w:pPr>
          </w:p>
        </w:tc>
      </w:tr>
      <w:bookmarkEnd w:id="33"/>
    </w:tbl>
    <w:p>
      <w:pP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pPr>
        <w:pStyle w:val="3"/>
      </w:pPr>
    </w:p>
    <w:p>
      <w:pPr>
        <w:spacing w:line="312" w:lineRule="auto"/>
        <w:jc w:val="center"/>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供应商编制响应文件要求</w:t>
      </w:r>
    </w:p>
    <w:p>
      <w:pPr>
        <w:numPr>
          <w:ilvl w:val="0"/>
          <w:numId w:val="0"/>
        </w:numPr>
        <w:spacing w:line="312" w:lineRule="auto"/>
        <w:rPr>
          <w:rFonts w:ascii="宋体" w:hAnsi="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一、</w:t>
      </w:r>
      <w:r>
        <w:rPr>
          <w:rFonts w:hint="eastAsia" w:ascii="宋体" w:hAnsi="宋体" w:cs="宋体"/>
          <w:b/>
          <w:color w:val="000000" w:themeColor="text1"/>
          <w:sz w:val="24"/>
          <w:szCs w:val="24"/>
          <w14:textFill>
            <w14:solidFill>
              <w14:schemeClr w14:val="tx1"/>
            </w14:solidFill>
          </w14:textFill>
        </w:rPr>
        <w:t>报价</w:t>
      </w:r>
    </w:p>
    <w:p>
      <w:pPr>
        <w:tabs>
          <w:tab w:val="left" w:pos="6300"/>
        </w:tabs>
        <w:snapToGrid w:val="0"/>
        <w:spacing w:line="312"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（一）报价函</w:t>
      </w:r>
    </w:p>
    <w:p>
      <w:pPr>
        <w:tabs>
          <w:tab w:val="left" w:pos="6300"/>
        </w:tabs>
        <w:snapToGrid w:val="0"/>
        <w:spacing w:line="360" w:lineRule="auto"/>
        <w:jc w:val="center"/>
        <w:outlineLvl w:val="0"/>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报价函</w:t>
      </w:r>
    </w:p>
    <w:p>
      <w:pPr>
        <w:tabs>
          <w:tab w:val="left" w:pos="6300"/>
        </w:tabs>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（采购人名称）</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我方收到____________________________（项目名称）的询比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1、愿意按照询比采购文件中的一切要求，提供本项目的技术服务，报价为人民币</w:t>
      </w:r>
      <w:r>
        <w:rPr>
          <w:rFonts w:hint="eastAsia" w:ascii="宋体" w:hAnsi="宋体" w:cs="宋体"/>
          <w:color w:val="000000" w:themeColor="text1"/>
          <w:sz w:val="24"/>
          <w:szCs w:val="24"/>
          <w:u w:val="single"/>
          <w14:textFill>
            <w14:solidFill>
              <w14:schemeClr w14:val="tx1"/>
            </w14:solidFill>
          </w14:textFill>
        </w:rPr>
        <w:t>大写：     元整</w:t>
      </w:r>
      <w:r>
        <w:rPr>
          <w:rFonts w:hint="eastAsia" w:ascii="宋体" w:hAnsi="宋体" w:cs="宋体"/>
          <w:color w:val="000000" w:themeColor="text1"/>
          <w:sz w:val="24"/>
          <w:szCs w:val="24"/>
          <w14:textFill>
            <w14:solidFill>
              <w14:schemeClr w14:val="tx1"/>
            </w14:solidFill>
          </w14:textFill>
        </w:rPr>
        <w:t>；人民币</w:t>
      </w:r>
      <w:r>
        <w:rPr>
          <w:rFonts w:hint="eastAsia" w:ascii="宋体" w:hAnsi="宋体" w:cs="宋体"/>
          <w:color w:val="000000" w:themeColor="text1"/>
          <w:sz w:val="24"/>
          <w:szCs w:val="24"/>
          <w:u w:val="single"/>
          <w14:textFill>
            <w14:solidFill>
              <w14:schemeClr w14:val="tx1"/>
            </w14:solidFill>
          </w14:textFill>
        </w:rPr>
        <w:t>小写：    元</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2、我方现提交的响应文件为：响应文件电子文档壹份。</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3、我方承诺：本次询比的有效期为90天。</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4、我方完全理解和接受贵方询比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文件的一切规定和要求及评审办法。</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5、在整个询比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过程中，我方若有违规行为，接受按照平台相关规定给予惩罚。</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8"/>
          <w14:textFill>
            <w14:solidFill>
              <w14:schemeClr w14:val="tx1"/>
            </w14:solidFill>
          </w14:textFill>
        </w:rPr>
        <w:t>我方理解，最低报价不是成交的唯一条件。</w:t>
      </w: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000000" w:themeColor="text1"/>
          <w:sz w:val="24"/>
          <w:szCs w:val="24"/>
          <w14:textFill>
            <w14:solidFill>
              <w14:schemeClr w14:val="tx1"/>
            </w14:solidFill>
          </w14:textFill>
        </w:rPr>
        <w:t xml:space="preserve">                                                  年   月   日</w:t>
      </w:r>
    </w:p>
    <w:p>
      <w:pPr>
        <w:tabs>
          <w:tab w:val="left" w:pos="6300"/>
        </w:tabs>
        <w:snapToGrid w:val="0"/>
        <w:spacing w:line="312"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二</w:t>
      </w:r>
      <w:r>
        <w:rPr>
          <w:rFonts w:hint="eastAsia" w:ascii="宋体" w:hAnsi="宋体" w:cs="宋体"/>
          <w:b/>
          <w:bCs/>
          <w:color w:val="000000" w:themeColor="text1"/>
          <w:sz w:val="24"/>
          <w:szCs w:val="24"/>
          <w14:textFill>
            <w14:solidFill>
              <w14:schemeClr w14:val="tx1"/>
            </w14:solidFill>
          </w14:textFill>
        </w:rPr>
        <w:t>、法定代表人授权委托书（格式）/法定代表人（格式）（二选一）</w:t>
      </w:r>
    </w:p>
    <w:p>
      <w:pPr>
        <w:tabs>
          <w:tab w:val="left" w:pos="6300"/>
        </w:tabs>
        <w:snapToGrid w:val="0"/>
        <w:spacing w:line="312" w:lineRule="auto"/>
        <w:jc w:val="center"/>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法定代表人授权委托书</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（采购人名称）：</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（法定代表人名称）是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（供应商名称）的法定代表人，特授权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（被授权人姓名及身份证代码）电话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我单位对被授权人的签字负全部责任。</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被授权人：                                 法定代表人：</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（签字或盖章）                             （签字或盖章）</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（附：被授权人身份证正反面复印件）</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供应商名称（公章）</w:t>
      </w:r>
    </w:p>
    <w:p>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法定代表人证明</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（采购人名称）：</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（法定代表人名称及身份证代码）是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法定代表人（签字或盖章）：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供应商名称（公章）</w:t>
      </w:r>
    </w:p>
    <w:p>
      <w:pPr>
        <w:tabs>
          <w:tab w:val="left" w:pos="6300"/>
        </w:tabs>
        <w:snapToGrid w:val="0"/>
        <w:spacing w:line="312" w:lineRule="auto"/>
        <w:ind w:right="36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（附：法定代表人身份证正反面复印件）</w:t>
      </w:r>
    </w:p>
    <w:p>
      <w:pPr>
        <w:rPr>
          <w:rFonts w:ascii="宋体" w:hAnsi="宋体" w:cs="宋体"/>
          <w:b/>
          <w:color w:val="000000" w:themeColor="text1"/>
          <w:szCs w:val="28"/>
          <w14:textFill>
            <w14:solidFill>
              <w14:schemeClr w14:val="tx1"/>
            </w14:solidFill>
          </w14:textFill>
        </w:rPr>
      </w:pPr>
      <w:r>
        <w:rPr>
          <w:rFonts w:ascii="宋体" w:hAnsi="宋体" w:cs="宋体"/>
          <w:b/>
          <w:color w:val="000000" w:themeColor="text1"/>
          <w:szCs w:val="28"/>
          <w14:textFill>
            <w14:solidFill>
              <w14:schemeClr w14:val="tx1"/>
            </w14:solidFill>
          </w14:textFill>
        </w:rPr>
        <w:br w:type="page"/>
      </w:r>
    </w:p>
    <w:p>
      <w:pPr>
        <w:pStyle w:val="2"/>
        <w:spacing w:before="0" w:after="0" w:line="360" w:lineRule="auto"/>
        <w:jc w:val="left"/>
        <w:rPr>
          <w:rFonts w:ascii="宋体" w:hAnsi="宋体" w:cs="宋体"/>
          <w:color w:val="000000" w:themeColor="text1"/>
          <w:sz w:val="24"/>
          <w:szCs w:val="24"/>
          <w14:textFill>
            <w14:solidFill>
              <w14:schemeClr w14:val="tx1"/>
            </w14:solidFill>
          </w14:textFill>
        </w:rPr>
      </w:pPr>
    </w:p>
    <w:p>
      <w:pPr>
        <w:pStyle w:val="2"/>
        <w:numPr>
          <w:ilvl w:val="0"/>
          <w:numId w:val="0"/>
        </w:numPr>
        <w:spacing w:before="0" w:after="0"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kern w:val="2"/>
          <w:sz w:val="24"/>
          <w:szCs w:val="24"/>
          <w:lang w:val="en-US" w:eastAsia="zh-CN" w:bidi="ar-SA"/>
          <w14:textFill>
            <w14:solidFill>
              <w14:schemeClr w14:val="tx1"/>
            </w14:solidFill>
          </w14:textFill>
        </w:rPr>
        <w:t>三</w:t>
      </w:r>
      <w:r>
        <w:rPr>
          <w:rFonts w:hint="eastAsia" w:ascii="宋体" w:hAnsi="宋体" w:eastAsia="宋体" w:cs="宋体"/>
          <w:b/>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资格条件</w:t>
      </w:r>
    </w:p>
    <w:p>
      <w:pPr>
        <w:spacing w:line="312" w:lineRule="auto"/>
        <w:jc w:val="center"/>
        <w:rPr>
          <w:rFonts w:ascii="宋体" w:hAnsi="宋体" w:cs="宋体"/>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按照采购文件要求提供扫描件</w:t>
      </w:r>
    </w:p>
    <w:p>
      <w:pPr>
        <w:rPr>
          <w:color w:val="000000" w:themeColor="text1"/>
          <w14:textFill>
            <w14:solidFill>
              <w14:schemeClr w14:val="tx1"/>
            </w14:solidFill>
          </w14:textFill>
        </w:rPr>
      </w:pPr>
    </w:p>
    <w:p>
      <w:pPr>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供应商总体情况介绍、</w:t>
      </w:r>
      <w:r>
        <w:rPr>
          <w:rFonts w:hint="eastAsia" w:ascii="宋体" w:hAnsi="宋体" w:cs="宋体"/>
          <w:color w:val="000000" w:themeColor="text1"/>
          <w:sz w:val="24"/>
          <w:szCs w:val="24"/>
          <w:lang w:eastAsia="zh-CN"/>
          <w14:textFill>
            <w14:solidFill>
              <w14:schemeClr w14:val="tx1"/>
            </w14:solidFill>
          </w14:textFill>
        </w:rPr>
        <w:t>有效的营业执照、资质证书、业绩资料、</w:t>
      </w:r>
      <w:r>
        <w:rPr>
          <w:rFonts w:hint="eastAsia" w:ascii="宋体" w:hAnsi="宋体"/>
          <w:color w:val="000000" w:themeColor="text1"/>
          <w:sz w:val="24"/>
          <w:lang w:eastAsia="zh-CN"/>
          <w14:textFill>
            <w14:solidFill>
              <w14:schemeClr w14:val="tx1"/>
            </w14:solidFill>
          </w14:textFill>
        </w:rPr>
        <w:t>财务审计报告</w:t>
      </w:r>
      <w:r>
        <w:rPr>
          <w:rFonts w:hint="eastAsia" w:ascii="宋体" w:hAnsi="宋体" w:eastAsia="宋体" w:cs="宋体"/>
          <w:color w:val="000000" w:themeColor="text1"/>
          <w:kern w:val="0"/>
          <w:sz w:val="24"/>
          <w:szCs w:val="24"/>
          <w:lang w:val="ru-RU" w:eastAsia="zh-CN" w:bidi="ar-SA"/>
          <w14:textFill>
            <w14:solidFill>
              <w14:schemeClr w14:val="tx1"/>
            </w14:solidFill>
          </w14:textFill>
        </w:rPr>
        <w:t>（成立不足一年的公司提供成立以来本公司的财务报表）</w:t>
      </w:r>
      <w:r>
        <w:rPr>
          <w:rFonts w:hint="eastAsia" w:ascii="宋体" w:hAnsi="宋体"/>
          <w:color w:val="000000" w:themeColor="text1"/>
          <w:sz w:val="24"/>
          <w:lang w:eastAsia="zh-CN"/>
          <w14:textFill>
            <w14:solidFill>
              <w14:schemeClr w14:val="tx1"/>
            </w14:solidFill>
          </w14:textFill>
        </w:rPr>
        <w:t>、信誉证明等</w:t>
      </w:r>
      <w:r>
        <w:rPr>
          <w:rFonts w:hint="eastAsia" w:ascii="宋体" w:hAnsi="宋体" w:cs="宋体"/>
          <w:color w:val="000000" w:themeColor="text1"/>
          <w:sz w:val="24"/>
          <w:szCs w:val="24"/>
          <w14:textFill>
            <w14:solidFill>
              <w14:schemeClr w14:val="tx1"/>
            </w14:solidFill>
          </w14:textFill>
        </w:rPr>
        <w:t>其他与本项目有关的资料等</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按照资格审查顺序</w:t>
      </w:r>
      <w:r>
        <w:rPr>
          <w:rFonts w:hint="eastAsia" w:ascii="宋体" w:hAnsi="宋体" w:cs="宋体"/>
          <w:color w:val="000000" w:themeColor="text1"/>
          <w:sz w:val="24"/>
          <w:szCs w:val="24"/>
          <w:lang w:eastAsia="zh-CN"/>
          <w14:textFill>
            <w14:solidFill>
              <w14:schemeClr w14:val="tx1"/>
            </w14:solidFill>
          </w14:textFill>
        </w:rPr>
        <w:t>）</w:t>
      </w:r>
    </w:p>
    <w:p>
      <w:pPr>
        <w:snapToGrid w:val="0"/>
        <w:spacing w:line="312" w:lineRule="auto"/>
        <w:jc w:val="center"/>
        <w:rPr>
          <w:rFonts w:ascii="宋体" w:hAnsi="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snapToGrid w:val="0"/>
        <w:spacing w:line="312" w:lineRule="auto"/>
        <w:jc w:val="center"/>
        <w:rPr>
          <w:rFonts w:ascii="宋体" w:hAnsi="宋体"/>
          <w:b/>
          <w:bCs/>
          <w:color w:val="000000" w:themeColor="text1"/>
          <w:sz w:val="24"/>
          <w:szCs w:val="24"/>
          <w14:textFill>
            <w14:solidFill>
              <w14:schemeClr w14:val="tx1"/>
            </w14:solidFill>
          </w14:textFill>
        </w:rPr>
      </w:pPr>
      <w:bookmarkStart w:id="34" w:name="_Hlk45893074"/>
      <w:r>
        <w:rPr>
          <w:rFonts w:hint="eastAsia" w:ascii="宋体" w:hAnsi="宋体"/>
          <w:b/>
          <w:bCs/>
          <w:color w:val="000000" w:themeColor="text1"/>
          <w:sz w:val="24"/>
          <w:szCs w:val="24"/>
          <w14:textFill>
            <w14:solidFill>
              <w14:schemeClr w14:val="tx1"/>
            </w14:solidFill>
          </w14:textFill>
        </w:rPr>
        <w:t>诚信声明（格式）</w:t>
      </w:r>
    </w:p>
    <w:bookmarkEnd w:id="34"/>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r>
        <w:rPr>
          <w:rFonts w:hint="eastAsia" w:ascii="宋体" w:hAnsi="宋体"/>
          <w:color w:val="000000" w:themeColor="text1"/>
          <w:sz w:val="24"/>
          <w:szCs w:val="24"/>
          <w:u w:val="single"/>
          <w14:textFill>
            <w14:solidFill>
              <w14:schemeClr w14:val="tx1"/>
            </w14:solidFill>
          </w14:textFill>
        </w:rPr>
        <w:t xml:space="preserve">                                                </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（采购人名称）：</w:t>
      </w:r>
    </w:p>
    <w:p>
      <w:pPr>
        <w:snapToGrid w:val="0"/>
        <w:spacing w:line="312"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特此声明。</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right="424"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（供应商公章）</w:t>
      </w:r>
    </w:p>
    <w:p>
      <w:pPr>
        <w:snapToGrid w:val="0"/>
        <w:spacing w:line="312" w:lineRule="auto"/>
        <w:ind w:right="480"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年   月   日</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rPr>
          <w:color w:val="000000" w:themeColor="text1"/>
          <w14:textFill>
            <w14:solidFill>
              <w14:schemeClr w14:val="tx1"/>
            </w14:solidFill>
          </w14:textFill>
        </w:rPr>
      </w:pPr>
    </w:p>
    <w:p>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br w:type="page"/>
      </w:r>
    </w:p>
    <w:p>
      <w:pPr>
        <w:pStyle w:val="2"/>
        <w:numPr>
          <w:ilvl w:val="0"/>
          <w:numId w:val="2"/>
        </w:numPr>
        <w:spacing w:before="0" w:after="0"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商务部分</w:t>
      </w:r>
      <w:r>
        <w:rPr>
          <w:rFonts w:hint="eastAsia" w:ascii="宋体" w:hAnsi="宋体" w:cs="宋体"/>
          <w:color w:val="000000" w:themeColor="text1"/>
          <w:sz w:val="24"/>
          <w:szCs w:val="24"/>
          <w14:textFill>
            <w14:solidFill>
              <w14:schemeClr w14:val="tx1"/>
            </w14:solidFill>
          </w14:textFill>
        </w:rPr>
        <w:t>的资料</w:t>
      </w:r>
    </w:p>
    <w:p>
      <w:pPr>
        <w:rPr>
          <w:rFonts w:hint="eastAsia"/>
        </w:rPr>
      </w:pPr>
    </w:p>
    <w:p>
      <w:pPr>
        <w:spacing w:line="312" w:lineRule="auto"/>
        <w:jc w:val="center"/>
        <w:rPr>
          <w:rFonts w:hint="eastAsia" w:ascii="宋体" w:hAnsi="宋体" w:cs="宋体"/>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按照采购文件要求提供扫描件</w:t>
      </w:r>
    </w:p>
    <w:p>
      <w:pPr>
        <w:rPr>
          <w:rFonts w:ascii="宋体" w:hAnsi="宋体" w:cs="宋体"/>
          <w:b/>
          <w:bCs/>
          <w:color w:val="000000" w:themeColor="text1"/>
          <w:sz w:val="24"/>
          <w:szCs w:val="24"/>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br w:type="page"/>
      </w:r>
    </w:p>
    <w:p>
      <w:pPr>
        <w:pStyle w:val="3"/>
      </w:pPr>
      <w:bookmarkStart w:id="35" w:name="_Hlk27399531"/>
    </w:p>
    <w:p>
      <w:pPr>
        <w:numPr>
          <w:ilvl w:val="0"/>
          <w:numId w:val="0"/>
        </w:numPr>
        <w:spacing w:line="312"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kern w:val="2"/>
          <w:sz w:val="24"/>
          <w:szCs w:val="24"/>
          <w:lang w:val="en-US" w:eastAsia="zh-CN" w:bidi="ar-SA"/>
          <w14:textFill>
            <w14:solidFill>
              <w14:schemeClr w14:val="tx1"/>
            </w14:solidFill>
          </w14:textFill>
        </w:rPr>
        <w:t>五</w:t>
      </w:r>
      <w:r>
        <w:rPr>
          <w:rFonts w:hint="eastAsia" w:ascii="宋体" w:hAnsi="宋体" w:eastAsia="宋体" w:cs="宋体"/>
          <w:b/>
          <w:color w:val="000000" w:themeColor="text1"/>
          <w:kern w:val="2"/>
          <w:sz w:val="24"/>
          <w:szCs w:val="24"/>
          <w:lang w:val="en-US" w:eastAsia="zh-CN" w:bidi="ar-SA"/>
          <w14:textFill>
            <w14:solidFill>
              <w14:schemeClr w14:val="tx1"/>
            </w14:solidFill>
          </w14:textFill>
        </w:rPr>
        <w:t>、</w:t>
      </w:r>
      <w:r>
        <w:rPr>
          <w:rFonts w:hint="eastAsia" w:ascii="宋体" w:hAnsi="宋体" w:cs="宋体"/>
          <w:b/>
          <w:color w:val="000000" w:themeColor="text1"/>
          <w:sz w:val="24"/>
          <w:szCs w:val="24"/>
          <w14:textFill>
            <w14:solidFill>
              <w14:schemeClr w14:val="tx1"/>
            </w14:solidFill>
          </w14:textFill>
        </w:rPr>
        <w:t>服务方案</w:t>
      </w:r>
    </w:p>
    <w:p>
      <w:pPr>
        <w:spacing w:line="312" w:lineRule="auto"/>
        <w:jc w:val="center"/>
        <w:rPr>
          <w:rFonts w:hint="eastAsia" w:ascii="宋体" w:hAnsi="宋体" w:eastAsia="宋体" w:cs="宋体"/>
          <w:color w:val="000000" w:themeColor="text1"/>
          <w:sz w:val="24"/>
          <w:szCs w:val="24"/>
          <w:lang w:eastAsia="zh-CN"/>
          <w14:textFill>
            <w14:solidFill>
              <w14:schemeClr w14:val="tx1"/>
            </w14:solidFill>
          </w14:textFill>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r>
        <w:rPr>
          <w:rFonts w:hint="eastAsia" w:ascii="宋体" w:hAnsi="宋体" w:cs="宋体"/>
          <w:i/>
          <w:iCs/>
          <w:color w:val="000000" w:themeColor="text1"/>
          <w:sz w:val="24"/>
          <w:szCs w:val="24"/>
          <w:u w:val="single"/>
          <w14:textFill>
            <w14:solidFill>
              <w14:schemeClr w14:val="tx1"/>
            </w14:solidFill>
          </w14:textFill>
        </w:rPr>
        <w:t>服务方案（格式自定</w:t>
      </w:r>
      <w:bookmarkEnd w:id="35"/>
      <w:r>
        <w:rPr>
          <w:rFonts w:hint="eastAsia" w:ascii="宋体" w:hAnsi="宋体" w:cs="宋体"/>
          <w:i/>
          <w:iCs/>
          <w:color w:val="000000" w:themeColor="text1"/>
          <w:sz w:val="24"/>
          <w:szCs w:val="24"/>
          <w:u w:val="single"/>
          <w:lang w:eastAsia="zh-CN"/>
          <w14:textFill>
            <w14:solidFill>
              <w14:schemeClr w14:val="tx1"/>
            </w14:solidFill>
          </w14:textFill>
        </w:rPr>
        <w:t>）</w:t>
      </w:r>
    </w:p>
    <w:p>
      <w:pPr>
        <w:numPr>
          <w:ilvl w:val="0"/>
          <w:numId w:val="0"/>
        </w:numPr>
        <w:spacing w:line="312" w:lineRule="auto"/>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kern w:val="2"/>
          <w:sz w:val="24"/>
          <w:szCs w:val="24"/>
          <w:lang w:val="en-US" w:eastAsia="zh-CN" w:bidi="ar-SA"/>
          <w14:textFill>
            <w14:solidFill>
              <w14:schemeClr w14:val="tx1"/>
            </w14:solidFill>
          </w14:textFill>
        </w:rPr>
        <w:t>六</w:t>
      </w:r>
      <w:r>
        <w:rPr>
          <w:rFonts w:hint="eastAsia" w:ascii="宋体" w:hAnsi="宋体" w:eastAsia="宋体" w:cs="宋体"/>
          <w:b/>
          <w:color w:val="000000" w:themeColor="text1"/>
          <w:kern w:val="2"/>
          <w:sz w:val="24"/>
          <w:szCs w:val="24"/>
          <w:lang w:val="en-US" w:eastAsia="zh-CN" w:bidi="ar-SA"/>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其他资料</w:t>
      </w:r>
    </w:p>
    <w:p>
      <w:pPr>
        <w:spacing w:line="312" w:lineRule="auto"/>
        <w:jc w:val="center"/>
        <w:rPr>
          <w:rFonts w:hint="eastAsia" w:ascii="宋体" w:hAnsi="宋体" w:eastAsia="宋体" w:cs="宋体"/>
          <w:color w:val="000000" w:themeColor="text1"/>
          <w:sz w:val="24"/>
          <w:szCs w:val="24"/>
          <w:lang w:eastAsia="zh-CN"/>
          <w14:textFill>
            <w14:solidFill>
              <w14:schemeClr w14:val="tx1"/>
            </w14:solidFill>
          </w14:textFill>
        </w:rPr>
        <w:sectPr>
          <w:headerReference r:id="rId10" w:type="default"/>
          <w:footerReference r:id="rId11" w:type="default"/>
          <w:pgSz w:w="11907" w:h="16840"/>
          <w:pgMar w:top="1134" w:right="1418" w:bottom="1134" w:left="1418" w:header="964" w:footer="992" w:gutter="0"/>
          <w:pgNumType w:fmt="numberInDash"/>
          <w:cols w:space="720" w:num="1"/>
          <w:docGrid w:linePitch="312" w:charSpace="0"/>
        </w:sectPr>
      </w:pPr>
      <w:r>
        <w:rPr>
          <w:rFonts w:hint="eastAsia" w:ascii="宋体" w:hAnsi="宋体" w:cs="宋体"/>
          <w:i/>
          <w:iCs/>
          <w:color w:val="000000" w:themeColor="text1"/>
          <w:sz w:val="24"/>
          <w:szCs w:val="24"/>
          <w:u w:val="single"/>
          <w14:textFill>
            <w14:solidFill>
              <w14:schemeClr w14:val="tx1"/>
            </w14:solidFill>
          </w14:textFill>
        </w:rPr>
        <w:t>（</w:t>
      </w:r>
      <w:r>
        <w:rPr>
          <w:rFonts w:hint="eastAsia" w:ascii="宋体" w:hAnsi="宋体" w:cs="宋体"/>
          <w:i/>
          <w:iCs/>
          <w:color w:val="000000" w:themeColor="text1"/>
          <w:sz w:val="24"/>
          <w:szCs w:val="24"/>
          <w:u w:val="single"/>
          <w:lang w:val="en-US" w:eastAsia="zh-CN"/>
          <w14:textFill>
            <w14:solidFill>
              <w14:schemeClr w14:val="tx1"/>
            </w14:solidFill>
          </w14:textFill>
        </w:rPr>
        <w:t>供应商认为应当提供的其他资料</w:t>
      </w:r>
      <w:r>
        <w:rPr>
          <w:rFonts w:hint="eastAsia" w:ascii="宋体" w:hAnsi="宋体" w:cs="宋体"/>
          <w:i/>
          <w:iCs/>
          <w:color w:val="000000" w:themeColor="text1"/>
          <w:sz w:val="24"/>
          <w:szCs w:val="24"/>
          <w:u w:val="single"/>
          <w:lang w:eastAsia="zh-CN"/>
          <w14:textFill>
            <w14:solidFill>
              <w14:schemeClr w14:val="tx1"/>
            </w14:solidFill>
          </w14:textFill>
        </w:rPr>
        <w:t>）</w:t>
      </w:r>
    </w:p>
    <w:p/>
    <w:sectPr>
      <w:headerReference r:id="rId12" w:type="default"/>
      <w:footerReference r:id="rId13"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p>
  <w:p>
    <w:pPr>
      <w:pStyle w:val="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tQnSbg8CAAAQBAAADgAAAAAAAAABACAA&#10;AAAhAQAAZHJzL2Uyb0RvYy54bWxQSwUGAAAAAAYABgBZAQAAogUAAAAA&#10;">
              <v:fill on="f" focussize="0,0"/>
              <v:stroke on="f"/>
              <v:imagedata o:title=""/>
              <o:lock v:ext="edit" aspectratio="f"/>
              <v:textbox inset="0mm,0mm,0mm,0mm" style="mso-fit-shape-to-text:t;">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Fjx2YgQAgAAEAQAAA4AAAAAAAAAAQAg&#10;AAAAIQEAAGRycy9lMm9Eb2MueG1sUEsFBgAAAAAGAAYAWQEAAKMFAAAAAA==&#10;">
              <v:fill on="f" focussize="0,0"/>
              <v:stroke on="f"/>
              <v:imagedata o:title=""/>
              <o:lock v:ext="edit" aspectratio="f"/>
              <v:textbox inset="0mm,0mm,0mm,0mm" style="mso-fit-shape-to-text:t;">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EC30C"/>
    <w:multiLevelType w:val="singleLevel"/>
    <w:tmpl w:val="BB6EC30C"/>
    <w:lvl w:ilvl="0" w:tentative="0">
      <w:start w:val="4"/>
      <w:numFmt w:val="chineseCounting"/>
      <w:suff w:val="nothing"/>
      <w:lvlText w:val="%1、"/>
      <w:lvlJc w:val="left"/>
      <w:rPr>
        <w:rFonts w:hint="eastAsia"/>
      </w:rPr>
    </w:lvl>
  </w:abstractNum>
  <w:abstractNum w:abstractNumId="1">
    <w:nsid w:val="51433366"/>
    <w:multiLevelType w:val="singleLevel"/>
    <w:tmpl w:val="51433366"/>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lZTQxNWExZjY4NThlODY1MTgxM2M1MTYyYjJlNzUifQ=="/>
  </w:docVars>
  <w:rsids>
    <w:rsidRoot w:val="693D54F0"/>
    <w:rsid w:val="03741350"/>
    <w:rsid w:val="06F37485"/>
    <w:rsid w:val="098862B1"/>
    <w:rsid w:val="09915BD4"/>
    <w:rsid w:val="0DFA7935"/>
    <w:rsid w:val="0EB14B69"/>
    <w:rsid w:val="1543710E"/>
    <w:rsid w:val="18CE3E98"/>
    <w:rsid w:val="1B310655"/>
    <w:rsid w:val="1BD8360A"/>
    <w:rsid w:val="1D8E2134"/>
    <w:rsid w:val="1DE12B11"/>
    <w:rsid w:val="1FD71905"/>
    <w:rsid w:val="203D53A0"/>
    <w:rsid w:val="2150726F"/>
    <w:rsid w:val="22754C54"/>
    <w:rsid w:val="229B21C0"/>
    <w:rsid w:val="28251FED"/>
    <w:rsid w:val="283F446A"/>
    <w:rsid w:val="29920D88"/>
    <w:rsid w:val="2D466A4A"/>
    <w:rsid w:val="2F4405B8"/>
    <w:rsid w:val="31104B0F"/>
    <w:rsid w:val="32747406"/>
    <w:rsid w:val="36B966AC"/>
    <w:rsid w:val="372C6EBC"/>
    <w:rsid w:val="37FF7E3F"/>
    <w:rsid w:val="3958538C"/>
    <w:rsid w:val="3B5608F5"/>
    <w:rsid w:val="3EDC6A61"/>
    <w:rsid w:val="45221AF6"/>
    <w:rsid w:val="47C27B0E"/>
    <w:rsid w:val="48C278CB"/>
    <w:rsid w:val="4AF9077E"/>
    <w:rsid w:val="4DDB6AAF"/>
    <w:rsid w:val="558A0EE7"/>
    <w:rsid w:val="5FE84C69"/>
    <w:rsid w:val="60B74CC8"/>
    <w:rsid w:val="640067BC"/>
    <w:rsid w:val="651677A0"/>
    <w:rsid w:val="6548712B"/>
    <w:rsid w:val="68FE2FAA"/>
    <w:rsid w:val="693D54F0"/>
    <w:rsid w:val="6A3573B9"/>
    <w:rsid w:val="6D3335F9"/>
    <w:rsid w:val="722A2B54"/>
    <w:rsid w:val="72617692"/>
    <w:rsid w:val="740E4F96"/>
    <w:rsid w:val="75932CCC"/>
    <w:rsid w:val="77855320"/>
    <w:rsid w:val="7919798C"/>
    <w:rsid w:val="7A886B78"/>
    <w:rsid w:val="7AB846F9"/>
    <w:rsid w:val="7E2E6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autoRedefine/>
    <w:qFormat/>
    <w:uiPriority w:val="0"/>
    <w:pPr>
      <w:keepNext/>
      <w:keepLines/>
      <w:spacing w:before="260" w:after="260" w:line="413" w:lineRule="auto"/>
      <w:outlineLvl w:val="2"/>
    </w:pPr>
    <w:rPr>
      <w:b/>
      <w:sz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cs="宋体"/>
      <w:sz w:val="24"/>
      <w:szCs w:val="24"/>
      <w:lang w:val="zh-CN" w:bidi="zh-CN"/>
    </w:rPr>
  </w:style>
  <w:style w:type="paragraph" w:styleId="4">
    <w:name w:val="Body Text Indent"/>
    <w:basedOn w:val="1"/>
    <w:autoRedefine/>
    <w:qFormat/>
    <w:uiPriority w:val="0"/>
    <w:pPr>
      <w:spacing w:line="700" w:lineRule="exact"/>
      <w:ind w:left="960"/>
    </w:pPr>
    <w:rPr>
      <w:sz w:val="4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7">
    <w:name w:val="toc 1"/>
    <w:basedOn w:val="1"/>
    <w:next w:val="1"/>
    <w:autoRedefine/>
    <w:qFormat/>
    <w:uiPriority w:val="0"/>
    <w:pPr>
      <w:spacing w:line="180" w:lineRule="auto"/>
      <w:jc w:val="center"/>
    </w:pPr>
    <w:rPr>
      <w:sz w:val="30"/>
    </w:rPr>
  </w:style>
  <w:style w:type="paragraph" w:styleId="8">
    <w:name w:val="Normal (Web)"/>
    <w:basedOn w:val="1"/>
    <w:uiPriority w:val="0"/>
    <w:rPr>
      <w:sz w:val="24"/>
    </w:rPr>
  </w:style>
  <w:style w:type="character" w:styleId="11">
    <w:name w:val="page number"/>
    <w:basedOn w:val="10"/>
    <w:autoRedefine/>
    <w:qFormat/>
    <w:uiPriority w:val="0"/>
  </w:style>
  <w:style w:type="paragraph" w:customStyle="1" w:styleId="12">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图例"/>
    <w:basedOn w:val="1"/>
    <w:autoRedefine/>
    <w:qFormat/>
    <w:uiPriority w:val="0"/>
    <w:pPr>
      <w:spacing w:before="120" w:after="120" w:line="360" w:lineRule="auto"/>
      <w:jc w:val="center"/>
    </w:pPr>
    <w:rPr>
      <w:rFonts w:eastAsia="仿宋_GB2312"/>
      <w:b/>
      <w:sz w:val="24"/>
    </w:rPr>
  </w:style>
  <w:style w:type="paragraph" w:customStyle="1" w:styleId="14">
    <w:name w:val="首行缩进"/>
    <w:basedOn w:val="1"/>
    <w:autoRedefine/>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3407</Words>
  <Characters>3753</Characters>
  <Lines>0</Lines>
  <Paragraphs>0</Paragraphs>
  <TotalTime>0</TotalTime>
  <ScaleCrop>false</ScaleCrop>
  <LinksUpToDate>false</LinksUpToDate>
  <CharactersWithSpaces>4256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2021-12-17T06:17:00Z</dcterms:created>
  <dc:creator>Administrator</dc:creator>
  <cp:lastModifiedBy>Andy</cp:lastModifiedBy>
  <dcterms:modified xsi:type="dcterms:W3CDTF">2024-01-15T03:46:16Z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094B4261FDC34ED2A184AAC1F17305C5_13</vt:lpwstr>
  </property>
</Properties>
</file>