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9" w:lineRule="exact"/>
        <w:ind w:firstLine="723" w:firstLineChars="200"/>
        <w:jc w:val="center"/>
        <w:rPr>
          <w:rFonts w:hAnsi="宋体" w:cs="宋体"/>
          <w:color w:val="FF0000"/>
          <w:sz w:val="24"/>
          <w:szCs w:val="24"/>
        </w:rPr>
      </w:pPr>
      <w:r>
        <w:rPr>
          <w:rFonts w:hint="eastAsia" w:hAnsi="宋体"/>
          <w:b/>
          <w:bCs/>
          <w:sz w:val="36"/>
          <w:szCs w:val="36"/>
        </w:rPr>
        <w:t>评审标准（综合评分法）</w:t>
      </w: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000000"/>
                <w:sz w:val="24"/>
                <w:szCs w:val="24"/>
              </w:rPr>
            </w:pPr>
            <w:r>
              <w:rPr>
                <w:rFonts w:hint="eastAsia" w:ascii="宋体" w:hAnsi="宋体" w:cs="宋体"/>
                <w:b/>
                <w:color w:val="000000"/>
                <w:sz w:val="24"/>
                <w:szCs w:val="24"/>
              </w:rPr>
              <w:t>序号</w:t>
            </w:r>
          </w:p>
        </w:tc>
        <w:tc>
          <w:tcPr>
            <w:tcW w:w="1269" w:type="dxa"/>
            <w:noWrap w:val="0"/>
            <w:vAlign w:val="center"/>
          </w:tcPr>
          <w:p>
            <w:pPr>
              <w:spacing w:line="440" w:lineRule="exact"/>
              <w:jc w:val="center"/>
              <w:rPr>
                <w:rFonts w:ascii="宋体" w:hAnsi="宋体" w:cs="宋体"/>
                <w:b/>
                <w:color w:val="000000"/>
                <w:sz w:val="24"/>
                <w:szCs w:val="24"/>
              </w:rPr>
            </w:pPr>
            <w:r>
              <w:rPr>
                <w:rFonts w:hint="eastAsia" w:ascii="宋体" w:hAnsi="宋体" w:cs="宋体"/>
                <w:b/>
                <w:color w:val="000000"/>
                <w:sz w:val="24"/>
                <w:szCs w:val="24"/>
              </w:rPr>
              <w:t>评分因素</w:t>
            </w:r>
          </w:p>
        </w:tc>
        <w:tc>
          <w:tcPr>
            <w:tcW w:w="955" w:type="dxa"/>
            <w:noWrap w:val="0"/>
            <w:vAlign w:val="center"/>
          </w:tcPr>
          <w:p>
            <w:pPr>
              <w:spacing w:line="440" w:lineRule="exact"/>
              <w:jc w:val="center"/>
              <w:rPr>
                <w:rFonts w:ascii="宋体" w:hAnsi="宋体" w:cs="宋体"/>
                <w:b/>
                <w:color w:val="000000"/>
                <w:sz w:val="24"/>
                <w:szCs w:val="24"/>
              </w:rPr>
            </w:pPr>
            <w:r>
              <w:rPr>
                <w:rFonts w:hint="eastAsia" w:ascii="宋体" w:hAnsi="宋体" w:cs="宋体"/>
                <w:b/>
                <w:color w:val="000000"/>
                <w:sz w:val="24"/>
                <w:szCs w:val="24"/>
              </w:rPr>
              <w:t>分值</w:t>
            </w:r>
          </w:p>
        </w:tc>
        <w:tc>
          <w:tcPr>
            <w:tcW w:w="5997" w:type="dxa"/>
            <w:noWrap w:val="0"/>
            <w:vAlign w:val="center"/>
          </w:tcPr>
          <w:p>
            <w:pPr>
              <w:spacing w:line="440" w:lineRule="exact"/>
              <w:jc w:val="center"/>
              <w:rPr>
                <w:rFonts w:ascii="宋体" w:hAnsi="宋体" w:cs="宋体"/>
                <w:b/>
                <w:color w:val="000000"/>
                <w:sz w:val="24"/>
                <w:szCs w:val="24"/>
              </w:rPr>
            </w:pPr>
            <w:r>
              <w:rPr>
                <w:rFonts w:hint="eastAsia" w:ascii="宋体" w:hAnsi="宋体" w:cs="宋体"/>
                <w:b/>
                <w:color w:val="000000"/>
                <w:sz w:val="24"/>
                <w:szCs w:val="24"/>
              </w:rPr>
              <w:t>评分标准（以下评分标准为举例）</w:t>
            </w:r>
          </w:p>
        </w:tc>
        <w:tc>
          <w:tcPr>
            <w:tcW w:w="1404" w:type="dxa"/>
            <w:noWrap w:val="0"/>
            <w:vAlign w:val="center"/>
          </w:tcPr>
          <w:p>
            <w:pPr>
              <w:pStyle w:val="7"/>
              <w:spacing w:before="0" w:after="0" w:line="440" w:lineRule="exact"/>
              <w:rPr>
                <w:rFonts w:ascii="宋体" w:hAnsi="宋体" w:eastAsia="宋体" w:cs="宋体"/>
                <w:color w:val="000000"/>
                <w:szCs w:val="24"/>
              </w:rPr>
            </w:pPr>
            <w:r>
              <w:rPr>
                <w:rFonts w:hint="eastAsia" w:ascii="宋体" w:hAnsi="宋体" w:eastAsia="宋体" w:cs="宋体"/>
                <w:color w:val="00000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000000"/>
                <w:sz w:val="24"/>
                <w:szCs w:val="24"/>
              </w:rPr>
            </w:pPr>
            <w:r>
              <w:rPr>
                <w:rFonts w:hint="eastAsia" w:ascii="宋体" w:hAnsi="宋体" w:cs="方正仿宋_GBK"/>
                <w:color w:val="000000"/>
                <w:sz w:val="24"/>
                <w:szCs w:val="24"/>
              </w:rPr>
              <w:t>1</w:t>
            </w:r>
          </w:p>
        </w:tc>
        <w:tc>
          <w:tcPr>
            <w:tcW w:w="1269" w:type="dxa"/>
            <w:noWrap w:val="0"/>
            <w:vAlign w:val="center"/>
          </w:tcPr>
          <w:p>
            <w:pPr>
              <w:spacing w:line="360" w:lineRule="exact"/>
              <w:rPr>
                <w:rFonts w:ascii="宋体" w:hAnsi="宋体" w:cs="方正仿宋_GBK"/>
                <w:color w:val="000000"/>
                <w:sz w:val="24"/>
                <w:szCs w:val="24"/>
              </w:rPr>
            </w:pPr>
            <w:r>
              <w:rPr>
                <w:rFonts w:hint="eastAsia" w:ascii="宋体" w:hAnsi="宋体" w:cs="方正仿宋_GBK"/>
                <w:color w:val="000000"/>
                <w:sz w:val="24"/>
                <w:szCs w:val="24"/>
              </w:rPr>
              <w:t>投标报价</w:t>
            </w:r>
          </w:p>
        </w:tc>
        <w:tc>
          <w:tcPr>
            <w:tcW w:w="955" w:type="dxa"/>
            <w:noWrap w:val="0"/>
            <w:vAlign w:val="center"/>
          </w:tcPr>
          <w:p>
            <w:pPr>
              <w:spacing w:line="360" w:lineRule="exact"/>
              <w:jc w:val="center"/>
              <w:rPr>
                <w:rFonts w:ascii="宋体" w:hAnsi="宋体" w:cs="方正仿宋_GBK"/>
                <w:color w:val="000000"/>
                <w:sz w:val="24"/>
                <w:szCs w:val="24"/>
              </w:rPr>
            </w:pPr>
            <w:r>
              <w:rPr>
                <w:rFonts w:hint="eastAsia" w:ascii="宋体" w:hAnsi="宋体" w:cs="方正仿宋_GBK"/>
                <w:color w:val="000000"/>
                <w:sz w:val="24"/>
                <w:szCs w:val="24"/>
              </w:rPr>
              <w:t>30</w:t>
            </w:r>
          </w:p>
        </w:tc>
        <w:tc>
          <w:tcPr>
            <w:tcW w:w="5997" w:type="dxa"/>
            <w:noWrap w:val="0"/>
            <w:vAlign w:val="center"/>
          </w:tcPr>
          <w:p>
            <w:pPr>
              <w:widowControl/>
              <w:spacing w:line="300" w:lineRule="exact"/>
              <w:outlineLvl w:val="2"/>
              <w:rPr>
                <w:rFonts w:ascii="宋体" w:hAnsi="宋体" w:cs="宋体"/>
                <w:color w:val="000000"/>
                <w:sz w:val="24"/>
                <w:szCs w:val="24"/>
              </w:rPr>
            </w:pPr>
            <w:r>
              <w:rPr>
                <w:rFonts w:hint="eastAsia" w:ascii="宋体" w:hAnsi="宋体" w:cs="宋体"/>
                <w:color w:val="000000"/>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color w:val="000000"/>
                <w:sz w:val="24"/>
                <w:szCs w:val="24"/>
              </w:rPr>
            </w:pPr>
            <w:r>
              <w:rPr>
                <w:rFonts w:hint="eastAsia" w:ascii="宋体" w:hAnsi="宋体" w:cs="宋体"/>
                <w:color w:val="000000"/>
                <w:sz w:val="24"/>
                <w:szCs w:val="24"/>
              </w:rPr>
              <w:t>投标报价得分＝（评标基准价/投标报价）×价格权重×100。</w:t>
            </w:r>
          </w:p>
        </w:tc>
        <w:tc>
          <w:tcPr>
            <w:tcW w:w="1404" w:type="dxa"/>
            <w:noWrap w:val="0"/>
            <w:vAlign w:val="center"/>
          </w:tcPr>
          <w:p>
            <w:pPr>
              <w:spacing w:line="360" w:lineRule="exact"/>
              <w:rPr>
                <w:rFonts w:ascii="宋体" w:hAnsi="宋体" w:cs="方正仿宋_GBK"/>
                <w:color w:val="000000"/>
                <w:sz w:val="24"/>
                <w:szCs w:val="24"/>
              </w:rPr>
            </w:pPr>
            <w:r>
              <w:rPr>
                <w:rFonts w:hint="eastAsia" w:ascii="宋体" w:hAnsi="宋体" w:cs="宋体"/>
                <w:color w:val="000000"/>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trPr>
        <w:tc>
          <w:tcPr>
            <w:tcW w:w="705" w:type="dxa"/>
            <w:noWrap w:val="0"/>
            <w:vAlign w:val="center"/>
          </w:tcPr>
          <w:p>
            <w:pPr>
              <w:spacing w:line="320" w:lineRule="exact"/>
              <w:jc w:val="center"/>
              <w:rPr>
                <w:rFonts w:hint="eastAsia" w:ascii="宋体" w:hAnsi="宋体" w:eastAsia="宋体" w:cs="方正仿宋_GBK"/>
                <w:sz w:val="24"/>
                <w:szCs w:val="24"/>
                <w:lang w:eastAsia="zh-CN"/>
              </w:rPr>
            </w:pPr>
            <w:r>
              <w:rPr>
                <w:rFonts w:hint="eastAsia" w:ascii="宋体" w:hAnsi="宋体" w:cs="方正仿宋_GBK"/>
                <w:sz w:val="24"/>
                <w:szCs w:val="24"/>
                <w:lang w:val="en-US" w:eastAsia="zh-CN"/>
              </w:rPr>
              <w:t>2</w:t>
            </w:r>
          </w:p>
        </w:tc>
        <w:tc>
          <w:tcPr>
            <w:tcW w:w="1269" w:type="dxa"/>
            <w:noWrap w:val="0"/>
            <w:vAlign w:val="center"/>
          </w:tcPr>
          <w:p>
            <w:pPr>
              <w:spacing w:line="360" w:lineRule="exact"/>
              <w:jc w:val="center"/>
              <w:rPr>
                <w:rFonts w:ascii="宋体" w:hAnsi="宋体" w:cs="方正仿宋_GBK"/>
                <w:sz w:val="24"/>
                <w:szCs w:val="24"/>
              </w:rPr>
            </w:pPr>
            <w:r>
              <w:rPr>
                <w:rFonts w:hint="eastAsia" w:ascii="宋体" w:hAnsi="宋体" w:cs="方正仿宋_GBK"/>
                <w:color w:val="000000"/>
                <w:sz w:val="24"/>
                <w:szCs w:val="24"/>
              </w:rPr>
              <w:t>服务部分</w:t>
            </w:r>
          </w:p>
        </w:tc>
        <w:tc>
          <w:tcPr>
            <w:tcW w:w="955" w:type="dxa"/>
            <w:noWrap w:val="0"/>
            <w:vAlign w:val="center"/>
          </w:tcPr>
          <w:p>
            <w:pPr>
              <w:spacing w:line="240" w:lineRule="exact"/>
              <w:jc w:val="center"/>
              <w:rPr>
                <w:rFonts w:ascii="宋体" w:hAnsi="宋体" w:cs="宋体"/>
                <w:sz w:val="24"/>
                <w:szCs w:val="24"/>
              </w:rPr>
            </w:pPr>
            <w:r>
              <w:rPr>
                <w:rFonts w:hint="eastAsia" w:ascii="宋体" w:hAnsi="宋体" w:cs="方正仿宋_GBK"/>
                <w:color w:val="000000"/>
                <w:sz w:val="24"/>
                <w:szCs w:val="24"/>
                <w:lang w:val="en-US" w:eastAsia="zh-CN"/>
              </w:rPr>
              <w:t>5</w:t>
            </w:r>
            <w:r>
              <w:rPr>
                <w:rFonts w:hint="eastAsia" w:ascii="宋体" w:hAnsi="宋体" w:cs="方正仿宋_GBK"/>
                <w:color w:val="000000"/>
                <w:sz w:val="24"/>
                <w:szCs w:val="24"/>
              </w:rPr>
              <w:t>0</w:t>
            </w:r>
          </w:p>
        </w:tc>
        <w:tc>
          <w:tcPr>
            <w:tcW w:w="5997" w:type="dxa"/>
            <w:noWrap w:val="0"/>
            <w:vAlign w:val="center"/>
          </w:tcPr>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服务需求内容提供书面方案。</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1、服务进度</w:t>
            </w:r>
            <w:r>
              <w:rPr>
                <w:rFonts w:hint="eastAsia" w:ascii="宋体" w:hAnsi="宋体" w:cs="宋体"/>
                <w:color w:val="000000"/>
                <w:sz w:val="24"/>
                <w:szCs w:val="24"/>
                <w:lang w:eastAsia="zh-CN"/>
              </w:rPr>
              <w:t>应急</w:t>
            </w:r>
            <w:r>
              <w:rPr>
                <w:rFonts w:hint="eastAsia" w:ascii="宋体" w:hAnsi="宋体" w:cs="宋体"/>
                <w:color w:val="000000"/>
                <w:sz w:val="24"/>
                <w:szCs w:val="24"/>
              </w:rPr>
              <w:t>保障方案。（15分）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①方案描述清晰，完整可行，得15分。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②方案描述较清晰，较可行，得8-14分。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③方案描述不够清晰，可行性一般，得1-7分。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④无方案，得0分。</w:t>
            </w:r>
          </w:p>
          <w:p>
            <w:pPr>
              <w:widowControl/>
              <w:spacing w:line="300" w:lineRule="exact"/>
              <w:outlineLvl w:val="2"/>
              <w:rPr>
                <w:rFonts w:hint="eastAsia" w:ascii="宋体" w:hAnsi="宋体" w:cs="宋体"/>
                <w:color w:val="000000"/>
                <w:sz w:val="24"/>
                <w:szCs w:val="24"/>
              </w:rPr>
            </w:pP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服务</w:t>
            </w:r>
            <w:r>
              <w:rPr>
                <w:rFonts w:hint="eastAsia" w:ascii="宋体" w:hAnsi="宋体" w:cs="宋体"/>
                <w:color w:val="000000"/>
                <w:sz w:val="24"/>
                <w:szCs w:val="24"/>
              </w:rPr>
              <w:t>方案。（</w:t>
            </w:r>
            <w:r>
              <w:rPr>
                <w:rFonts w:hint="eastAsia" w:ascii="宋体" w:hAnsi="宋体" w:cs="宋体"/>
                <w:color w:val="000000"/>
                <w:sz w:val="24"/>
                <w:szCs w:val="24"/>
                <w:lang w:val="en-US" w:eastAsia="zh-CN"/>
              </w:rPr>
              <w:t>20</w:t>
            </w:r>
            <w:r>
              <w:rPr>
                <w:rFonts w:hint="eastAsia" w:ascii="宋体" w:hAnsi="宋体" w:cs="宋体"/>
                <w:color w:val="000000"/>
                <w:sz w:val="24"/>
                <w:szCs w:val="24"/>
              </w:rPr>
              <w:t>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①方案完整、详细、与本项目相适应，得</w:t>
            </w:r>
            <w:r>
              <w:rPr>
                <w:rFonts w:hint="eastAsia" w:ascii="宋体" w:hAnsi="宋体" w:cs="宋体"/>
                <w:color w:val="000000"/>
                <w:sz w:val="24"/>
                <w:szCs w:val="24"/>
                <w:lang w:val="en-US" w:eastAsia="zh-CN"/>
              </w:rPr>
              <w:t>20</w:t>
            </w:r>
            <w:r>
              <w:rPr>
                <w:rFonts w:hint="eastAsia" w:ascii="宋体" w:hAnsi="宋体" w:cs="宋体"/>
                <w:color w:val="000000"/>
                <w:sz w:val="24"/>
                <w:szCs w:val="24"/>
              </w:rPr>
              <w:t>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②方案较完整、详细、与本项目较相适，得</w:t>
            </w:r>
            <w:r>
              <w:rPr>
                <w:rFonts w:hint="eastAsia" w:ascii="宋体" w:hAnsi="宋体" w:cs="宋体"/>
                <w:color w:val="000000"/>
                <w:sz w:val="24"/>
                <w:szCs w:val="24"/>
                <w:lang w:val="en-US" w:eastAsia="zh-CN"/>
              </w:rPr>
              <w:t>10</w:t>
            </w:r>
            <w:r>
              <w:rPr>
                <w:rFonts w:hint="eastAsia" w:ascii="宋体" w:hAnsi="宋体" w:cs="宋体"/>
                <w:color w:val="000000"/>
                <w:sz w:val="24"/>
                <w:szCs w:val="24"/>
              </w:rPr>
              <w:t>-1</w:t>
            </w:r>
            <w:r>
              <w:rPr>
                <w:rFonts w:hint="eastAsia" w:ascii="宋体" w:hAnsi="宋体" w:cs="宋体"/>
                <w:color w:val="000000"/>
                <w:sz w:val="24"/>
                <w:szCs w:val="24"/>
                <w:lang w:val="en-US" w:eastAsia="zh-CN"/>
              </w:rPr>
              <w:t>9</w:t>
            </w:r>
            <w:r>
              <w:rPr>
                <w:rFonts w:hint="eastAsia" w:ascii="宋体" w:hAnsi="宋体" w:cs="宋体"/>
                <w:color w:val="000000"/>
                <w:sz w:val="24"/>
                <w:szCs w:val="24"/>
              </w:rPr>
              <w:t>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③方案不够完整、详细，与本项目不太相适，得1-</w:t>
            </w:r>
            <w:r>
              <w:rPr>
                <w:rFonts w:hint="eastAsia" w:ascii="宋体" w:hAnsi="宋体" w:cs="宋体"/>
                <w:color w:val="000000"/>
                <w:sz w:val="24"/>
                <w:szCs w:val="24"/>
                <w:lang w:val="en-US" w:eastAsia="zh-CN"/>
              </w:rPr>
              <w:t>9</w:t>
            </w:r>
            <w:r>
              <w:rPr>
                <w:rFonts w:hint="eastAsia" w:ascii="宋体" w:hAnsi="宋体" w:cs="宋体"/>
                <w:color w:val="000000"/>
                <w:sz w:val="24"/>
                <w:szCs w:val="24"/>
              </w:rPr>
              <w:t>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④无方案，得0分。</w:t>
            </w:r>
          </w:p>
          <w:p>
            <w:pPr>
              <w:widowControl/>
              <w:spacing w:line="300" w:lineRule="exact"/>
              <w:outlineLvl w:val="2"/>
              <w:rPr>
                <w:rFonts w:hint="eastAsia" w:ascii="宋体" w:hAnsi="宋体" w:cs="宋体"/>
                <w:color w:val="000000"/>
                <w:sz w:val="24"/>
                <w:szCs w:val="24"/>
              </w:rPr>
            </w:pP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人员</w:t>
            </w:r>
            <w:r>
              <w:rPr>
                <w:rFonts w:hint="eastAsia" w:ascii="宋体" w:hAnsi="宋体" w:cs="宋体"/>
                <w:color w:val="000000"/>
                <w:sz w:val="24"/>
                <w:szCs w:val="24"/>
              </w:rPr>
              <w:t>方案（</w:t>
            </w:r>
            <w:r>
              <w:rPr>
                <w:rFonts w:hint="eastAsia" w:ascii="宋体" w:hAnsi="宋体" w:cs="宋体"/>
                <w:color w:val="000000"/>
                <w:sz w:val="24"/>
                <w:szCs w:val="24"/>
                <w:lang w:val="en-US" w:eastAsia="zh-CN"/>
              </w:rPr>
              <w:t>15</w:t>
            </w:r>
            <w:r>
              <w:rPr>
                <w:rFonts w:hint="eastAsia" w:ascii="宋体" w:hAnsi="宋体" w:cs="宋体"/>
                <w:color w:val="000000"/>
                <w:sz w:val="24"/>
                <w:szCs w:val="24"/>
              </w:rPr>
              <w:t>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①方案描述清晰，完整可行，</w:t>
            </w:r>
            <w:r>
              <w:rPr>
                <w:rFonts w:hint="eastAsia" w:ascii="宋体" w:hAnsi="宋体" w:cs="宋体"/>
                <w:color w:val="000000"/>
                <w:sz w:val="24"/>
                <w:szCs w:val="24"/>
                <w:lang w:eastAsia="zh-CN"/>
              </w:rPr>
              <w:t>且人员证件齐全</w:t>
            </w:r>
            <w:r>
              <w:rPr>
                <w:rFonts w:hint="eastAsia" w:ascii="宋体" w:hAnsi="宋体" w:cs="宋体"/>
                <w:color w:val="000000"/>
                <w:sz w:val="24"/>
                <w:szCs w:val="24"/>
              </w:rPr>
              <w:t>得15分。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②方案描述较清晰，较可行，得8-14分。</w:t>
            </w:r>
          </w:p>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③方案描述不够清晰，可行性一般，得1-7分。</w:t>
            </w:r>
          </w:p>
          <w:p>
            <w:pPr>
              <w:widowControl/>
              <w:spacing w:line="300" w:lineRule="exact"/>
              <w:outlineLvl w:val="2"/>
            </w:pPr>
            <w:r>
              <w:rPr>
                <w:rFonts w:hint="eastAsia" w:ascii="宋体" w:hAnsi="宋体" w:cs="宋体"/>
                <w:color w:val="000000"/>
                <w:sz w:val="24"/>
                <w:szCs w:val="24"/>
              </w:rPr>
              <w:t>④无方案，得0分。</w:t>
            </w:r>
          </w:p>
        </w:tc>
        <w:tc>
          <w:tcPr>
            <w:tcW w:w="1404" w:type="dxa"/>
            <w:noWrap w:val="0"/>
            <w:vAlign w:val="center"/>
          </w:tcPr>
          <w:p>
            <w:pPr>
              <w:spacing w:line="360" w:lineRule="exact"/>
              <w:rPr>
                <w:rFonts w:ascii="宋体" w:hAnsi="宋体" w:cs="方正仿宋_GBK"/>
                <w:sz w:val="24"/>
                <w:szCs w:val="24"/>
              </w:rPr>
            </w:pPr>
            <w:r>
              <w:rPr>
                <w:rFonts w:hint="eastAsia" w:ascii="宋体" w:hAnsi="宋体" w:cs="宋体"/>
                <w:color w:val="000000"/>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705" w:type="dxa"/>
            <w:noWrap w:val="0"/>
            <w:vAlign w:val="center"/>
          </w:tcPr>
          <w:p>
            <w:pPr>
              <w:spacing w:line="320" w:lineRule="exact"/>
              <w:jc w:val="center"/>
              <w:rPr>
                <w:rFonts w:hint="eastAsia" w:ascii="宋体" w:hAnsi="宋体" w:eastAsia="宋体" w:cs="方正仿宋_GBK"/>
                <w:sz w:val="24"/>
                <w:szCs w:val="24"/>
                <w:lang w:val="en-US" w:eastAsia="zh-CN"/>
              </w:rPr>
            </w:pPr>
            <w:r>
              <w:rPr>
                <w:rFonts w:hint="eastAsia" w:ascii="宋体" w:hAnsi="宋体" w:cs="方正仿宋_GBK"/>
                <w:sz w:val="24"/>
                <w:szCs w:val="24"/>
                <w:lang w:val="en-US" w:eastAsia="zh-CN"/>
              </w:rPr>
              <w:t>3</w:t>
            </w:r>
          </w:p>
        </w:tc>
        <w:tc>
          <w:tcPr>
            <w:tcW w:w="1269" w:type="dxa"/>
            <w:noWrap w:val="0"/>
            <w:vAlign w:val="center"/>
          </w:tcPr>
          <w:p>
            <w:pPr>
              <w:spacing w:line="320" w:lineRule="exact"/>
              <w:jc w:val="center"/>
              <w:rPr>
                <w:rFonts w:hint="eastAsia" w:ascii="宋体" w:hAnsi="宋体" w:cs="方正仿宋_GBK"/>
                <w:sz w:val="24"/>
                <w:szCs w:val="24"/>
              </w:rPr>
            </w:pPr>
            <w:r>
              <w:rPr>
                <w:rFonts w:hint="eastAsia" w:ascii="宋体" w:hAnsi="宋体" w:cs="方正仿宋_GBK"/>
                <w:sz w:val="24"/>
                <w:szCs w:val="24"/>
              </w:rPr>
              <w:t>商务部分</w:t>
            </w:r>
          </w:p>
        </w:tc>
        <w:tc>
          <w:tcPr>
            <w:tcW w:w="955" w:type="dxa"/>
            <w:noWrap w:val="0"/>
            <w:vAlign w:val="center"/>
          </w:tcPr>
          <w:p>
            <w:pPr>
              <w:widowControl/>
              <w:spacing w:line="300" w:lineRule="exact"/>
              <w:jc w:val="center"/>
              <w:outlineLvl w:val="2"/>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0</w:t>
            </w:r>
          </w:p>
        </w:tc>
        <w:tc>
          <w:tcPr>
            <w:tcW w:w="5997" w:type="dxa"/>
            <w:noWrap w:val="0"/>
            <w:vAlign w:val="center"/>
          </w:tcPr>
          <w:p>
            <w:pPr>
              <w:widowControl/>
              <w:spacing w:line="300" w:lineRule="exact"/>
              <w:outlineLvl w:val="2"/>
              <w:rPr>
                <w:rFonts w:hint="eastAsia" w:ascii="宋体" w:hAnsi="宋体" w:cs="宋体"/>
                <w:color w:val="000000"/>
                <w:sz w:val="24"/>
                <w:szCs w:val="24"/>
              </w:rPr>
            </w:pPr>
            <w:r>
              <w:rPr>
                <w:rFonts w:hint="eastAsia" w:ascii="宋体" w:hAnsi="宋体" w:cs="宋体"/>
                <w:color w:val="000000"/>
                <w:sz w:val="24"/>
                <w:szCs w:val="24"/>
              </w:rPr>
              <w:t>1、类似业绩。（20分）</w:t>
            </w:r>
          </w:p>
          <w:p>
            <w:pPr>
              <w:pStyle w:val="4"/>
              <w:ind w:left="0" w:leftChars="0"/>
              <w:rPr>
                <w:rFonts w:hint="eastAsia" w:ascii="宋体" w:hAnsi="宋体" w:cs="宋体"/>
                <w:color w:val="000000"/>
                <w:sz w:val="24"/>
                <w:szCs w:val="24"/>
              </w:rPr>
            </w:pPr>
            <w:r>
              <w:rPr>
                <w:rFonts w:hint="eastAsia" w:ascii="宋体" w:hAnsi="宋体" w:cs="宋体"/>
                <w:sz w:val="24"/>
                <w:szCs w:val="24"/>
              </w:rPr>
              <w:t>供应商自20</w:t>
            </w:r>
            <w:r>
              <w:rPr>
                <w:rFonts w:hint="eastAsia" w:ascii="宋体" w:hAnsi="宋体" w:cs="宋体"/>
                <w:sz w:val="24"/>
                <w:szCs w:val="24"/>
                <w:lang w:val="en-US" w:eastAsia="zh-CN"/>
              </w:rPr>
              <w:t>21</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月1日起在全国范围内提供过类似服务的，</w:t>
            </w:r>
            <w:r>
              <w:rPr>
                <w:rFonts w:hint="eastAsia" w:ascii="宋体" w:hAnsi="宋体" w:cs="宋体"/>
                <w:sz w:val="24"/>
                <w:szCs w:val="24"/>
                <w:lang w:eastAsia="zh-CN"/>
              </w:rPr>
              <w:t>一个</w:t>
            </w:r>
            <w:r>
              <w:rPr>
                <w:rFonts w:hint="eastAsia" w:ascii="宋体" w:hAnsi="宋体" w:cs="宋体"/>
                <w:sz w:val="24"/>
                <w:szCs w:val="24"/>
              </w:rPr>
              <w:t>得5分，须付相关证明文件（中标/成交通知书或合同协议书或竣工验收证明），共20分。</w:t>
            </w:r>
          </w:p>
        </w:tc>
        <w:tc>
          <w:tcPr>
            <w:tcW w:w="1404" w:type="dxa"/>
            <w:noWrap w:val="0"/>
            <w:vAlign w:val="center"/>
          </w:tcPr>
          <w:p>
            <w:pPr>
              <w:spacing w:line="320" w:lineRule="exact"/>
              <w:rPr>
                <w:rFonts w:hint="eastAsia" w:ascii="宋体" w:hAnsi="宋体" w:cs="宋体"/>
                <w:color w:val="000000"/>
                <w:sz w:val="24"/>
                <w:szCs w:val="24"/>
              </w:rPr>
            </w:pPr>
            <w:r>
              <w:rPr>
                <w:rFonts w:hint="eastAsia" w:ascii="宋体" w:hAnsi="宋体" w:cs="宋体"/>
                <w:sz w:val="24"/>
                <w:szCs w:val="24"/>
              </w:rPr>
              <w:t>提供合同或其他有效证明文件复印件。</w:t>
            </w:r>
          </w:p>
        </w:tc>
      </w:tr>
    </w:tbl>
    <w:p>
      <w:pPr>
        <w:spacing w:line="312" w:lineRule="auto"/>
        <w:ind w:firstLine="480" w:firstLineChars="200"/>
        <w:rPr>
          <w:rFonts w:ascii="宋体" w:hAnsi="宋体" w:cs="宋体"/>
          <w:color w:val="FF0000"/>
          <w:sz w:val="24"/>
          <w:szCs w:val="24"/>
        </w:rPr>
      </w:pPr>
    </w:p>
    <w:p>
      <w:pPr>
        <w:spacing w:line="312" w:lineRule="auto"/>
        <w:ind w:firstLine="482" w:firstLineChars="200"/>
        <w:rPr>
          <w:rFonts w:hint="eastAsia" w:ascii="宋体" w:hAnsi="宋体" w:cs="宋体"/>
          <w:b/>
          <w:bCs/>
          <w:color w:val="auto"/>
          <w:sz w:val="24"/>
          <w:szCs w:val="24"/>
          <w:lang w:eastAsia="zh-CN"/>
        </w:rPr>
      </w:pPr>
      <w:r>
        <w:rPr>
          <w:rFonts w:hint="eastAsia" w:ascii="宋体" w:hAnsi="宋体" w:cs="宋体"/>
          <w:b/>
          <w:bCs/>
          <w:color w:val="auto"/>
          <w:sz w:val="24"/>
          <w:szCs w:val="24"/>
        </w:rPr>
        <w:t>政策性扣减</w:t>
      </w:r>
      <w:r>
        <w:rPr>
          <w:rFonts w:hint="eastAsia" w:ascii="宋体" w:hAnsi="宋体" w:cs="宋体"/>
          <w:b/>
          <w:bCs/>
          <w:color w:val="auto"/>
          <w:sz w:val="24"/>
          <w:szCs w:val="24"/>
          <w:lang w:eastAsia="zh-CN"/>
        </w:rPr>
        <w:t>：</w:t>
      </w:r>
    </w:p>
    <w:p>
      <w:pPr>
        <w:spacing w:line="312" w:lineRule="auto"/>
        <w:ind w:firstLine="480" w:firstLineChars="200"/>
        <w:rPr>
          <w:rFonts w:hint="eastAsia" w:ascii="宋体" w:hAnsi="宋体" w:cs="宋体"/>
          <w:sz w:val="24"/>
          <w:szCs w:val="24"/>
          <w:lang w:eastAsia="zh-CN"/>
        </w:rPr>
      </w:pPr>
      <w:r>
        <w:rPr>
          <w:rFonts w:hint="eastAsia" w:ascii="宋体" w:hAnsi="宋体" w:cs="宋体"/>
          <w:sz w:val="24"/>
          <w:szCs w:val="24"/>
        </w:rPr>
        <w:t>投标人为非联合体投标的</w:t>
      </w:r>
      <w:r>
        <w:rPr>
          <w:rFonts w:hint="eastAsia" w:ascii="宋体" w:hAnsi="宋体" w:cs="宋体"/>
          <w:sz w:val="24"/>
          <w:szCs w:val="24"/>
          <w:lang w:val="en-US" w:eastAsia="zh-CN"/>
        </w:rPr>
        <w:t>:</w:t>
      </w:r>
      <w:r>
        <w:rPr>
          <w:rFonts w:hint="eastAsia" w:ascii="宋体" w:hAnsi="宋体" w:cs="宋体"/>
          <w:sz w:val="24"/>
          <w:szCs w:val="24"/>
        </w:rPr>
        <w:t>小型企业或达到小型企业划分标准的监狱企业、残疾人福利性单位，-6%</w:t>
      </w:r>
      <w:r>
        <w:rPr>
          <w:rFonts w:hint="eastAsia" w:ascii="宋体" w:hAnsi="宋体" w:cs="宋体"/>
          <w:sz w:val="24"/>
          <w:szCs w:val="24"/>
          <w:lang w:val="en-US" w:eastAsia="zh-CN"/>
        </w:rPr>
        <w:t>;</w:t>
      </w:r>
      <w:r>
        <w:rPr>
          <w:rFonts w:hint="eastAsia" w:ascii="宋体" w:hAnsi="宋体" w:cs="宋体"/>
          <w:sz w:val="24"/>
          <w:szCs w:val="24"/>
        </w:rPr>
        <w:t>微型企业或达到微型企业划分标准的监狱企业、残疾人福利性单位，-8%</w:t>
      </w:r>
      <w:r>
        <w:rPr>
          <w:rFonts w:hint="eastAsia" w:ascii="宋体" w:hAnsi="宋体" w:cs="宋体"/>
          <w:sz w:val="24"/>
          <w:szCs w:val="24"/>
          <w:lang w:val="en-US" w:eastAsia="zh-CN"/>
        </w:rPr>
        <w:t>;</w:t>
      </w:r>
      <w:r>
        <w:rPr>
          <w:rFonts w:hint="eastAsia" w:ascii="宋体" w:hAnsi="宋体" w:cs="宋体"/>
          <w:sz w:val="24"/>
          <w:szCs w:val="24"/>
        </w:rPr>
        <w:t>注册资金十五万及以下的微型企业或注册资金十五万及以下的达到微型企业划分标准的监狱企业、残疾人福利性单位，-10%</w:t>
      </w:r>
      <w:r>
        <w:rPr>
          <w:rFonts w:hint="eastAsia" w:ascii="宋体" w:hAnsi="宋体" w:cs="宋体"/>
          <w:sz w:val="24"/>
          <w:szCs w:val="24"/>
          <w:lang w:eastAsia="zh-CN"/>
        </w:rPr>
        <w:t>。</w:t>
      </w:r>
    </w:p>
    <w:p>
      <w:pPr>
        <w:pStyle w:val="2"/>
        <w:ind w:firstLine="480" w:firstLineChars="200"/>
        <w:rPr>
          <w:b/>
          <w:bCs/>
        </w:rPr>
      </w:pPr>
      <w:r>
        <w:rPr>
          <w:rFonts w:hint="eastAsia" w:ascii="宋体" w:hAnsi="宋体" w:eastAsia="宋体" w:cs="宋体"/>
          <w:color w:val="auto"/>
          <w:kern w:val="2"/>
          <w:sz w:val="24"/>
          <w:szCs w:val="24"/>
          <w:lang w:val="en-US" w:eastAsia="zh-CN" w:bidi="ar-SA"/>
        </w:rPr>
        <w:t>投标人为联合体投标的，在联合协议中小型企业、微型企业的协议合同金额占到联合体协议合同总金额30％以上的：与小型企业或达到小型企业划分标准的监狱企业、残疾人福利性单位联合的，-2%；与微型企业或达到微型企业划分标准的监狱企业、残疾人福利性单位联合的，-3%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MmQzM2JkZmMzMGNlYjZjYjY1MmQ2OTA4YmFkZjEifQ=="/>
  </w:docVars>
  <w:rsids>
    <w:rsidRoot w:val="65B6678A"/>
    <w:rsid w:val="65B6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table of authorities"/>
    <w:basedOn w:val="1"/>
    <w:next w:val="1"/>
    <w:qFormat/>
    <w:uiPriority w:val="0"/>
    <w:pPr>
      <w:ind w:left="420" w:leftChars="200"/>
    </w:pPr>
  </w:style>
  <w:style w:type="paragraph" w:customStyle="1" w:styleId="7">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2024-01-04T08:42:00Z</dcterms:created>
  <dc:creator>zhang</dc:creator>
  <cp:lastModifiedBy>zhang</cp:lastModifiedBy>
  <dcterms:modified xsi:type="dcterms:W3CDTF">2024-01-04T08:42:58Z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11A1C883830C420494E5CA7D8A63AB7F_11</vt:lpwstr>
  </property>
</Properties>
</file>