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易门县十街乡枯死松木采伐作业设计编制项目作业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设计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评审标准</w:t>
      </w:r>
    </w:p>
    <w:tbl>
      <w:tblPr>
        <w:tblStyle w:val="5"/>
        <w:tblpPr w:leftFromText="180" w:rightFromText="180" w:vertAnchor="text" w:tblpXSpec="center" w:tblpY="1"/>
        <w:tblOverlap w:val="never"/>
        <w:tblW w:w="9787" w:type="dxa"/>
        <w:tblInd w:w="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40"/>
        <w:gridCol w:w="860"/>
        <w:gridCol w:w="4554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45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评分标准（以下评分标准为举例）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投标报价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55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2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有效的投标报价为评标基准价，其价格分为满分。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服务部分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微软雅黑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 w:cs="方正仿宋_GBK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55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2"/>
              <w:rPr>
                <w:rFonts w:hint="default" w:ascii="宋体" w:hAnsi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提供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作业设计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书面方案。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(5-20分)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16-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分，良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2"/>
              <w:rPr>
                <w:rFonts w:hint="default" w:ascii="宋体" w:hAnsi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2、服务优化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措施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(5-20分)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16-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分，良得1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3、服务质量保障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措施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(1-5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)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分，良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:1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4、安全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文明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保障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措施。(1-5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)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2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:5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分，良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:3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:1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根据所报的高低价，采购人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会根据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服务要求为标准，对各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业绩</w:t>
            </w: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部分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2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55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供应商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内提供过类似服务的，每提供1份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有效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合同或其他有效证明文件得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分，最高得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提供合同或其他有效证明文件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扫描件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，原件备查。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57D60"/>
    <w:rsid w:val="7FD5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customStyle="1" w:styleId="4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2024-01-07T01:56:00Z</dcterms:created>
  <dc:creator>Administrator</dc:creator>
  <cp:lastModifiedBy>Administrator</cp:lastModifiedBy>
  <dcterms:modified xsi:type="dcterms:W3CDTF">2024-01-07T01:56:23Z</dcterms:modified>
  <dc:title>易门县十街乡枯死松木采伐作业设计编制项目作业设计评审标准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