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keepLines/>
        <w:pageBreakBefore w:val="0"/>
        <w:widowControl w:val="0"/>
        <w:kinsoku/>
        <w:wordWrap/>
        <w:overflowPunct/>
        <w:topLinePunct w:val="0"/>
        <w:autoSpaceDE/>
        <w:autoSpaceDN/>
        <w:bidi w:val="0"/>
        <w:adjustRightInd/>
        <w:snapToGrid/>
        <w:spacing w:before="0" w:after="157" w:afterLines="50" w:line="600" w:lineRule="exact"/>
        <w:jc w:val="center"/>
        <w:textAlignment w:val="auto"/>
        <w:outlineLvl w:val="0"/>
        <w:rPr>
          <w:rFonts w:ascii="宋体" w:hAnsi="宋体" w:eastAsia="宋体" w:cs="宋体"/>
          <w:bCs/>
          <w:sz w:val="36"/>
          <w:szCs w:val="30"/>
        </w:rPr>
      </w:pPr>
      <w:r>
        <w:rPr>
          <w:rFonts w:hint="eastAsia" w:ascii="宋体" w:hAnsi="宋体" w:eastAsia="宋体" w:cs="宋体"/>
          <w:bCs/>
          <w:sz w:val="36"/>
          <w:szCs w:val="30"/>
        </w:rPr>
        <w:t>第</w:t>
      </w:r>
      <w:r>
        <w:rPr>
          <w:rFonts w:hint="eastAsia" w:ascii="宋体" w:hAnsi="宋体" w:eastAsia="宋体" w:cs="宋体"/>
          <w:bCs/>
          <w:sz w:val="36"/>
          <w:szCs w:val="30"/>
          <w:lang w:val="en-US" w:eastAsia="zh-CN"/>
        </w:rPr>
        <w:t>三</w:t>
      </w:r>
      <w:r>
        <w:rPr>
          <w:rFonts w:hint="eastAsia" w:ascii="宋体" w:hAnsi="宋体" w:eastAsia="宋体" w:cs="宋体"/>
          <w:bCs/>
          <w:sz w:val="36"/>
          <w:szCs w:val="30"/>
          <w:lang w:eastAsia="zh-CN"/>
        </w:rPr>
        <w:t>章</w:t>
      </w:r>
      <w:r>
        <w:rPr>
          <w:rFonts w:hint="eastAsia" w:ascii="宋体" w:hAnsi="宋体" w:eastAsia="宋体" w:cs="宋体"/>
          <w:bCs/>
          <w:sz w:val="36"/>
          <w:szCs w:val="30"/>
        </w:rPr>
        <w:t xml:space="preserve"> 谈判程序及方法、评审标准</w:t>
      </w:r>
    </w:p>
    <w:p>
      <w:pPr>
        <w:pStyle w:val="6"/>
        <w:keepNext/>
        <w:keepLines/>
        <w:pageBreakBefore w:val="0"/>
        <w:widowControl w:val="0"/>
        <w:kinsoku/>
        <w:wordWrap/>
        <w:overflowPunct/>
        <w:topLinePunct w:val="0"/>
        <w:autoSpaceDE/>
        <w:autoSpaceDN/>
        <w:bidi w:val="0"/>
        <w:adjustRightInd/>
        <w:snapToGrid/>
        <w:spacing w:before="0" w:after="0" w:line="360" w:lineRule="auto"/>
        <w:ind w:firstLine="482" w:firstLineChars="200"/>
        <w:textAlignment w:val="auto"/>
        <w:outlineLvl w:val="1"/>
        <w:rPr>
          <w:rFonts w:hint="eastAsia" w:ascii="宋体" w:hAnsi="宋体" w:cs="宋体"/>
          <w:sz w:val="24"/>
          <w:szCs w:val="24"/>
          <w:lang w:eastAsia="zh-CN"/>
        </w:rPr>
      </w:pPr>
      <w:bookmarkStart w:id="0" w:name="_Toc25411"/>
      <w:bookmarkStart w:id="1" w:name="_Toc16377"/>
      <w:bookmarkStart w:id="2" w:name="_Toc15209"/>
      <w:bookmarkStart w:id="3" w:name="_Toc10110"/>
      <w:r>
        <w:rPr>
          <w:rFonts w:hint="eastAsia" w:ascii="宋体" w:hAnsi="宋体" w:cs="宋体"/>
          <w:sz w:val="24"/>
          <w:szCs w:val="24"/>
          <w:lang w:eastAsia="zh-CN"/>
        </w:rPr>
        <w:t>一、谈判程序及方法</w:t>
      </w:r>
      <w:bookmarkEnd w:id="0"/>
      <w:bookmarkEnd w:id="1"/>
      <w:bookmarkEnd w:id="2"/>
      <w:bookmarkEnd w:id="3"/>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sz w:val="24"/>
          <w:szCs w:val="24"/>
        </w:rPr>
      </w:pPr>
      <w:r>
        <w:rPr>
          <w:rFonts w:hint="eastAsia" w:ascii="宋体" w:hAnsi="宋体" w:cs="宋体"/>
          <w:sz w:val="24"/>
          <w:szCs w:val="24"/>
        </w:rPr>
        <w:t>（一）谈判按</w:t>
      </w:r>
      <w:r>
        <w:rPr>
          <w:rFonts w:hint="eastAsia" w:ascii="宋体" w:hAnsi="宋体" w:cs="宋体"/>
          <w:sz w:val="24"/>
          <w:szCs w:val="24"/>
          <w:lang w:eastAsia="zh-CN"/>
        </w:rPr>
        <w:t>谈判采购文件</w:t>
      </w:r>
      <w:r>
        <w:rPr>
          <w:rFonts w:hint="eastAsia" w:ascii="宋体" w:hAnsi="宋体" w:cs="宋体"/>
          <w:sz w:val="24"/>
          <w:szCs w:val="24"/>
        </w:rPr>
        <w:t>规定的时间和地点进行，供应商须有法定代表人或其授权代表参加并签到。线下谈判以抽签的形式确定谈判顺序，由本项目的谈判小组分别与各供应商进行谈判。</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sz w:val="24"/>
          <w:szCs w:val="24"/>
        </w:rPr>
      </w:pPr>
      <w:r>
        <w:rPr>
          <w:rFonts w:hint="eastAsia" w:ascii="宋体" w:hAnsi="宋体" w:cs="宋体"/>
          <w:sz w:val="24"/>
          <w:szCs w:val="24"/>
        </w:rPr>
        <w:t>（二）谈判小组对各供应商的资格条件、响应文件的有效性、完整性和响应程度进行审查。各供应商只有在完全符合要求的前提下，才能参与正式谈判。</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sz w:val="24"/>
          <w:szCs w:val="24"/>
        </w:rPr>
      </w:pPr>
      <w:r>
        <w:rPr>
          <w:rFonts w:hint="eastAsia" w:ascii="宋体" w:hAnsi="宋体" w:cs="宋体"/>
          <w:sz w:val="24"/>
          <w:szCs w:val="24"/>
        </w:rPr>
        <w:t>1</w:t>
      </w:r>
      <w:r>
        <w:rPr>
          <w:rFonts w:hint="eastAsia" w:ascii="宋体" w:hAnsi="宋体" w:cs="宋体"/>
          <w:sz w:val="24"/>
          <w:szCs w:val="24"/>
          <w:lang w:val="en-US" w:eastAsia="zh-CN"/>
        </w:rPr>
        <w:t>.</w:t>
      </w:r>
      <w:r>
        <w:rPr>
          <w:rFonts w:hint="eastAsia" w:ascii="宋体" w:hAnsi="宋体" w:cs="宋体"/>
          <w:sz w:val="24"/>
          <w:szCs w:val="24"/>
        </w:rPr>
        <w:t>资格性检查。依据法律法规和谈判采购文件的规定，对响应文件中的资格证明进行审查，以确定供应商是否具备谈判资格。资格性</w:t>
      </w:r>
      <w:r>
        <w:rPr>
          <w:rFonts w:hint="eastAsia" w:ascii="宋体" w:hAnsi="宋体" w:cs="宋体"/>
          <w:sz w:val="24"/>
          <w:szCs w:val="24"/>
          <w:lang w:val="en-US" w:eastAsia="zh-CN"/>
        </w:rPr>
        <w:t>评审</w:t>
      </w:r>
      <w:r>
        <w:rPr>
          <w:rFonts w:hint="eastAsia" w:ascii="宋体" w:hAnsi="宋体" w:cs="宋体"/>
          <w:sz w:val="24"/>
          <w:szCs w:val="24"/>
        </w:rPr>
        <w:t>表如下：</w:t>
      </w:r>
    </w:p>
    <w:p>
      <w:pPr>
        <w:spacing w:line="360" w:lineRule="auto"/>
        <w:jc w:val="center"/>
        <w:rPr>
          <w:rFonts w:hint="eastAsia"/>
          <w:sz w:val="24"/>
          <w:szCs w:val="24"/>
        </w:rPr>
      </w:pPr>
      <w:r>
        <w:rPr>
          <w:rFonts w:hint="eastAsia" w:ascii="宋体" w:hAnsi="宋体" w:eastAsia="宋体" w:cs="宋体"/>
          <w:b/>
          <w:bCs w:val="0"/>
          <w:color w:val="auto"/>
          <w:sz w:val="24"/>
          <w:szCs w:val="24"/>
          <w:highlight w:val="none"/>
        </w:rPr>
        <w:t>资格性评审表</w:t>
      </w:r>
    </w:p>
    <w:tbl>
      <w:tblPr>
        <w:tblStyle w:val="8"/>
        <w:tblW w:w="90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8"/>
        <w:gridCol w:w="5973"/>
        <w:gridCol w:w="18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1248" w:type="dxa"/>
            <w:noWrap w:val="0"/>
            <w:vAlign w:val="center"/>
          </w:tcPr>
          <w:p>
            <w:pPr>
              <w:tabs>
                <w:tab w:val="left" w:pos="426"/>
              </w:tabs>
              <w:spacing w:line="312" w:lineRule="auto"/>
              <w:jc w:val="center"/>
              <w:rPr>
                <w:rFonts w:hint="eastAsia" w:ascii="宋体" w:hAnsi="宋体" w:eastAsia="宋体" w:cs="宋体"/>
                <w:b/>
                <w:bCs/>
                <w:sz w:val="24"/>
                <w:szCs w:val="24"/>
              </w:rPr>
            </w:pPr>
            <w:r>
              <w:rPr>
                <w:rFonts w:hint="eastAsia" w:ascii="宋体" w:hAnsi="宋体" w:eastAsia="宋体" w:cs="宋体"/>
                <w:b/>
                <w:bCs/>
                <w:sz w:val="24"/>
                <w:szCs w:val="24"/>
              </w:rPr>
              <w:t>评审内容</w:t>
            </w:r>
          </w:p>
        </w:tc>
        <w:tc>
          <w:tcPr>
            <w:tcW w:w="5973" w:type="dxa"/>
            <w:noWrap w:val="0"/>
            <w:vAlign w:val="center"/>
          </w:tcPr>
          <w:p>
            <w:pPr>
              <w:tabs>
                <w:tab w:val="left" w:pos="426"/>
              </w:tabs>
              <w:spacing w:line="312" w:lineRule="auto"/>
              <w:jc w:val="center"/>
              <w:rPr>
                <w:rFonts w:hint="eastAsia" w:ascii="宋体" w:hAnsi="宋体" w:eastAsia="宋体" w:cs="宋体"/>
                <w:b/>
                <w:bCs/>
                <w:sz w:val="24"/>
                <w:szCs w:val="24"/>
              </w:rPr>
            </w:pPr>
            <w:r>
              <w:rPr>
                <w:rFonts w:hint="eastAsia" w:ascii="宋体" w:hAnsi="宋体" w:eastAsia="宋体" w:cs="宋体"/>
                <w:b/>
                <w:bCs/>
                <w:sz w:val="24"/>
                <w:szCs w:val="24"/>
              </w:rPr>
              <w:t>评审标准</w:t>
            </w:r>
          </w:p>
        </w:tc>
        <w:tc>
          <w:tcPr>
            <w:tcW w:w="1858" w:type="dxa"/>
            <w:noWrap w:val="0"/>
            <w:vAlign w:val="center"/>
          </w:tcPr>
          <w:p>
            <w:pPr>
              <w:tabs>
                <w:tab w:val="left" w:pos="426"/>
              </w:tabs>
              <w:spacing w:line="312" w:lineRule="auto"/>
              <w:jc w:val="center"/>
              <w:rPr>
                <w:rFonts w:hint="eastAsia" w:ascii="宋体" w:hAnsi="宋体" w:eastAsia="宋体" w:cs="宋体"/>
                <w:b/>
                <w:bCs/>
                <w:sz w:val="24"/>
                <w:szCs w:val="24"/>
              </w:rPr>
            </w:pPr>
            <w:r>
              <w:rPr>
                <w:rFonts w:hint="eastAsia" w:ascii="宋体" w:hAnsi="宋体" w:eastAsia="宋体" w:cs="宋体"/>
                <w:b/>
                <w:bCs/>
                <w:sz w:val="24"/>
                <w:szCs w:val="24"/>
              </w:rPr>
              <w:t>评审要求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1248" w:type="dxa"/>
            <w:vMerge w:val="restart"/>
            <w:noWrap w:val="0"/>
            <w:vAlign w:val="center"/>
          </w:tcPr>
          <w:p>
            <w:pPr>
              <w:tabs>
                <w:tab w:val="left" w:pos="426"/>
              </w:tabs>
              <w:spacing w:line="312" w:lineRule="auto"/>
              <w:jc w:val="center"/>
              <w:rPr>
                <w:rFonts w:hint="eastAsia" w:ascii="宋体" w:hAnsi="宋体" w:eastAsia="宋体" w:cs="宋体"/>
                <w:sz w:val="24"/>
                <w:szCs w:val="24"/>
              </w:rPr>
            </w:pPr>
            <w:r>
              <w:rPr>
                <w:rFonts w:hint="eastAsia" w:ascii="宋体" w:hAnsi="宋体" w:eastAsia="宋体" w:cs="宋体"/>
                <w:sz w:val="24"/>
                <w:szCs w:val="24"/>
              </w:rPr>
              <w:t>投标主体</w:t>
            </w:r>
          </w:p>
        </w:tc>
        <w:tc>
          <w:tcPr>
            <w:tcW w:w="5973" w:type="dxa"/>
            <w:noWrap w:val="0"/>
            <w:vAlign w:val="center"/>
          </w:tcPr>
          <w:p>
            <w:pPr>
              <w:tabs>
                <w:tab w:val="left" w:pos="426"/>
              </w:tabs>
              <w:spacing w:line="312" w:lineRule="auto"/>
              <w:jc w:val="left"/>
              <w:rPr>
                <w:rFonts w:hint="eastAsia" w:ascii="宋体" w:hAnsi="宋体" w:eastAsia="宋体" w:cs="宋体"/>
                <w:sz w:val="24"/>
                <w:szCs w:val="24"/>
                <w:lang w:val="en-US" w:eastAsia="zh-CN"/>
              </w:rPr>
            </w:pPr>
            <w:r>
              <w:rPr>
                <w:rFonts w:hint="eastAsia" w:ascii="宋体" w:hAnsi="宋体" w:eastAsia="宋体" w:cs="宋体"/>
                <w:sz w:val="24"/>
                <w:szCs w:val="24"/>
              </w:rPr>
              <w:t>在中国境内注册，能在国内合法提供采购内容及其相应的服务能力，具备有效的营业执照或其他证明材料</w:t>
            </w:r>
            <w:r>
              <w:rPr>
                <w:rFonts w:hint="eastAsia" w:ascii="宋体" w:hAnsi="宋体" w:eastAsia="宋体" w:cs="宋体"/>
                <w:sz w:val="24"/>
                <w:szCs w:val="24"/>
                <w:lang w:eastAsia="zh-CN"/>
              </w:rPr>
              <w:t>。</w:t>
            </w:r>
          </w:p>
        </w:tc>
        <w:tc>
          <w:tcPr>
            <w:tcW w:w="1858" w:type="dxa"/>
            <w:noWrap w:val="0"/>
            <w:vAlign w:val="center"/>
          </w:tcPr>
          <w:p>
            <w:pPr>
              <w:tabs>
                <w:tab w:val="left" w:pos="426"/>
              </w:tabs>
              <w:spacing w:line="312" w:lineRule="auto"/>
              <w:jc w:val="left"/>
              <w:rPr>
                <w:rFonts w:hint="eastAsia" w:ascii="宋体" w:hAnsi="宋体" w:eastAsia="宋体" w:cs="宋体"/>
                <w:sz w:val="21"/>
                <w:szCs w:val="21"/>
                <w:lang w:val="en-US" w:eastAsia="zh-CN"/>
              </w:rPr>
            </w:pPr>
            <w:r>
              <w:rPr>
                <w:rFonts w:hint="eastAsia" w:ascii="宋体" w:hAnsi="宋体" w:eastAsia="宋体" w:cs="宋体"/>
                <w:sz w:val="21"/>
                <w:szCs w:val="21"/>
              </w:rPr>
              <w:t>响应文件中附清晰的营业执照或其他证明文件复印件或扫描件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4" w:hRule="atLeast"/>
          <w:jc w:val="center"/>
        </w:trPr>
        <w:tc>
          <w:tcPr>
            <w:tcW w:w="1248" w:type="dxa"/>
            <w:vMerge w:val="continue"/>
            <w:noWrap w:val="0"/>
            <w:vAlign w:val="center"/>
          </w:tcPr>
          <w:p>
            <w:pPr>
              <w:tabs>
                <w:tab w:val="left" w:pos="426"/>
              </w:tabs>
              <w:spacing w:line="312" w:lineRule="auto"/>
              <w:jc w:val="center"/>
              <w:rPr>
                <w:rFonts w:hint="eastAsia" w:ascii="宋体" w:hAnsi="宋体" w:eastAsia="宋体" w:cs="宋体"/>
                <w:sz w:val="24"/>
                <w:szCs w:val="24"/>
              </w:rPr>
            </w:pPr>
          </w:p>
        </w:tc>
        <w:tc>
          <w:tcPr>
            <w:tcW w:w="5973" w:type="dxa"/>
            <w:noWrap w:val="0"/>
            <w:vAlign w:val="center"/>
          </w:tcPr>
          <w:p>
            <w:pPr>
              <w:tabs>
                <w:tab w:val="left" w:pos="426"/>
              </w:tabs>
              <w:spacing w:line="312" w:lineRule="auto"/>
              <w:jc w:val="left"/>
              <w:rPr>
                <w:rFonts w:hint="eastAsia" w:ascii="宋体" w:hAnsi="宋体" w:eastAsia="宋体" w:cs="宋体"/>
                <w:sz w:val="24"/>
                <w:szCs w:val="24"/>
              </w:rPr>
            </w:pPr>
            <w:r>
              <w:rPr>
                <w:rFonts w:hint="eastAsia" w:ascii="宋体" w:hAnsi="宋体" w:eastAsia="宋体" w:cs="宋体"/>
                <w:sz w:val="24"/>
                <w:szCs w:val="24"/>
              </w:rPr>
              <w:t>具备有效《法定代表人身份证明书》</w:t>
            </w:r>
          </w:p>
        </w:tc>
        <w:tc>
          <w:tcPr>
            <w:tcW w:w="1858" w:type="dxa"/>
            <w:noWrap w:val="0"/>
            <w:vAlign w:val="center"/>
          </w:tcPr>
          <w:p>
            <w:pPr>
              <w:tabs>
                <w:tab w:val="left" w:pos="426"/>
              </w:tabs>
              <w:spacing w:line="312" w:lineRule="auto"/>
              <w:jc w:val="left"/>
              <w:rPr>
                <w:rFonts w:hint="eastAsia" w:ascii="宋体" w:hAnsi="宋体" w:eastAsia="宋体" w:cs="宋体"/>
                <w:sz w:val="24"/>
                <w:szCs w:val="24"/>
              </w:rPr>
            </w:pPr>
            <w:r>
              <w:rPr>
                <w:rFonts w:hint="eastAsia" w:ascii="宋体" w:hAnsi="宋体" w:eastAsia="宋体" w:cs="宋体"/>
                <w:sz w:val="24"/>
                <w:szCs w:val="24"/>
              </w:rPr>
              <w:t>响应文件中附</w:t>
            </w:r>
            <w:r>
              <w:rPr>
                <w:rFonts w:hint="eastAsia" w:ascii="宋体" w:hAnsi="宋体" w:eastAsia="宋体" w:cs="宋体"/>
                <w:sz w:val="24"/>
                <w:szCs w:val="24"/>
                <w:lang w:val="en-US" w:eastAsia="zh-CN"/>
              </w:rPr>
              <w:t>法定代表人身份证明书原件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1" w:hRule="atLeast"/>
          <w:jc w:val="center"/>
        </w:trPr>
        <w:tc>
          <w:tcPr>
            <w:tcW w:w="1248" w:type="dxa"/>
            <w:vMerge w:val="continue"/>
            <w:noWrap w:val="0"/>
            <w:vAlign w:val="center"/>
          </w:tcPr>
          <w:p>
            <w:pPr>
              <w:tabs>
                <w:tab w:val="left" w:pos="426"/>
              </w:tabs>
              <w:spacing w:line="312" w:lineRule="auto"/>
              <w:jc w:val="center"/>
              <w:rPr>
                <w:rFonts w:hint="eastAsia" w:ascii="宋体" w:hAnsi="宋体" w:eastAsia="宋体" w:cs="宋体"/>
                <w:sz w:val="24"/>
                <w:szCs w:val="24"/>
              </w:rPr>
            </w:pPr>
          </w:p>
        </w:tc>
        <w:tc>
          <w:tcPr>
            <w:tcW w:w="5973" w:type="dxa"/>
            <w:noWrap w:val="0"/>
            <w:vAlign w:val="center"/>
          </w:tcPr>
          <w:p>
            <w:pPr>
              <w:tabs>
                <w:tab w:val="left" w:pos="426"/>
              </w:tabs>
              <w:spacing w:line="312" w:lineRule="auto"/>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w:t>
            </w:r>
            <w:r>
              <w:rPr>
                <w:rFonts w:hint="eastAsia" w:ascii="宋体" w:hAnsi="宋体" w:eastAsia="宋体" w:cs="宋体"/>
                <w:sz w:val="24"/>
                <w:szCs w:val="24"/>
              </w:rPr>
              <w:t>法定代表人参与</w:t>
            </w:r>
            <w:r>
              <w:rPr>
                <w:rFonts w:hint="eastAsia" w:ascii="宋体" w:hAnsi="宋体" w:eastAsia="宋体" w:cs="宋体"/>
                <w:sz w:val="24"/>
                <w:szCs w:val="24"/>
                <w:lang w:eastAsia="zh-CN"/>
              </w:rPr>
              <w:t>谈判</w:t>
            </w:r>
            <w:r>
              <w:rPr>
                <w:rFonts w:hint="eastAsia" w:ascii="宋体" w:hAnsi="宋体" w:eastAsia="宋体" w:cs="宋体"/>
                <w:sz w:val="24"/>
                <w:szCs w:val="24"/>
              </w:rPr>
              <w:t>时，</w:t>
            </w:r>
            <w:r>
              <w:rPr>
                <w:rFonts w:hint="eastAsia" w:ascii="宋体" w:hAnsi="宋体" w:eastAsia="宋体" w:cs="宋体"/>
                <w:sz w:val="24"/>
                <w:szCs w:val="24"/>
                <w:lang w:val="en-US" w:eastAsia="zh-CN"/>
              </w:rPr>
              <w:t>提供</w:t>
            </w:r>
            <w:r>
              <w:rPr>
                <w:rFonts w:hint="eastAsia" w:ascii="宋体" w:hAnsi="宋体" w:eastAsia="宋体" w:cs="宋体"/>
                <w:sz w:val="24"/>
                <w:szCs w:val="24"/>
              </w:rPr>
              <w:t>法定代表人身份证</w:t>
            </w:r>
            <w:r>
              <w:rPr>
                <w:rFonts w:hint="eastAsia" w:ascii="宋体" w:hAnsi="宋体" w:eastAsia="宋体" w:cs="宋体"/>
                <w:sz w:val="24"/>
                <w:szCs w:val="24"/>
                <w:lang w:val="en-US" w:eastAsia="zh-CN"/>
              </w:rPr>
              <w:t>扫描件；</w:t>
            </w:r>
          </w:p>
          <w:p>
            <w:pPr>
              <w:tabs>
                <w:tab w:val="left" w:pos="426"/>
              </w:tabs>
              <w:spacing w:line="312" w:lineRule="auto"/>
              <w:jc w:val="left"/>
              <w:rPr>
                <w:rFonts w:hint="eastAsia" w:ascii="宋体" w:hAnsi="宋体" w:eastAsia="宋体" w:cs="宋体"/>
                <w:sz w:val="24"/>
                <w:szCs w:val="24"/>
              </w:rPr>
            </w:pPr>
            <w:r>
              <w:rPr>
                <w:rFonts w:hint="eastAsia" w:ascii="宋体" w:hAnsi="宋体" w:eastAsia="宋体" w:cs="宋体"/>
                <w:sz w:val="24"/>
                <w:szCs w:val="24"/>
                <w:lang w:val="en-US" w:eastAsia="zh-CN"/>
              </w:rPr>
              <w:t>2.</w:t>
            </w:r>
            <w:r>
              <w:rPr>
                <w:rFonts w:hint="eastAsia" w:ascii="宋体" w:hAnsi="宋体" w:eastAsia="宋体" w:cs="宋体"/>
                <w:sz w:val="24"/>
                <w:szCs w:val="24"/>
              </w:rPr>
              <w:t>授权代理人参与</w:t>
            </w:r>
            <w:r>
              <w:rPr>
                <w:rFonts w:hint="eastAsia" w:ascii="宋体" w:hAnsi="宋体" w:eastAsia="宋体" w:cs="宋体"/>
                <w:sz w:val="24"/>
                <w:szCs w:val="24"/>
                <w:lang w:eastAsia="zh-CN"/>
              </w:rPr>
              <w:t>谈判</w:t>
            </w:r>
            <w:r>
              <w:rPr>
                <w:rFonts w:hint="eastAsia" w:ascii="宋体" w:hAnsi="宋体" w:eastAsia="宋体" w:cs="宋体"/>
                <w:sz w:val="24"/>
                <w:szCs w:val="24"/>
              </w:rPr>
              <w:t>时，</w:t>
            </w:r>
            <w:r>
              <w:rPr>
                <w:rFonts w:hint="eastAsia" w:ascii="宋体" w:hAnsi="宋体" w:eastAsia="宋体" w:cs="宋体"/>
                <w:sz w:val="24"/>
                <w:szCs w:val="24"/>
                <w:lang w:val="en-US" w:eastAsia="zh-CN"/>
              </w:rPr>
              <w:t>提供</w:t>
            </w:r>
            <w:r>
              <w:rPr>
                <w:rFonts w:hint="eastAsia" w:ascii="宋体" w:hAnsi="宋体" w:eastAsia="宋体" w:cs="宋体"/>
                <w:sz w:val="24"/>
                <w:szCs w:val="24"/>
              </w:rPr>
              <w:t>《法定代表人授权委托书》和授权代理人身份证</w:t>
            </w:r>
            <w:r>
              <w:rPr>
                <w:rFonts w:hint="eastAsia" w:ascii="宋体" w:hAnsi="宋体" w:eastAsia="宋体" w:cs="宋体"/>
                <w:sz w:val="24"/>
                <w:szCs w:val="24"/>
                <w:lang w:val="en-US" w:eastAsia="zh-CN"/>
              </w:rPr>
              <w:t>扫描件。</w:t>
            </w:r>
          </w:p>
        </w:tc>
        <w:tc>
          <w:tcPr>
            <w:tcW w:w="1858" w:type="dxa"/>
            <w:noWrap w:val="0"/>
            <w:vAlign w:val="center"/>
          </w:tcPr>
          <w:p>
            <w:pPr>
              <w:tabs>
                <w:tab w:val="left" w:pos="426"/>
              </w:tabs>
              <w:spacing w:line="312" w:lineRule="auto"/>
              <w:jc w:val="left"/>
              <w:rPr>
                <w:rFonts w:hint="eastAsia" w:ascii="宋体" w:hAnsi="宋体" w:eastAsia="宋体" w:cs="宋体"/>
                <w:sz w:val="24"/>
                <w:szCs w:val="24"/>
              </w:rPr>
            </w:pPr>
            <w:r>
              <w:rPr>
                <w:rFonts w:hint="eastAsia" w:ascii="宋体" w:hAnsi="宋体" w:eastAsia="宋体" w:cs="宋体"/>
                <w:sz w:val="24"/>
                <w:szCs w:val="24"/>
              </w:rPr>
              <w:t>响应文件中附</w:t>
            </w:r>
            <w:r>
              <w:rPr>
                <w:rFonts w:hint="eastAsia" w:ascii="宋体" w:hAnsi="宋体" w:eastAsia="宋体" w:cs="宋体"/>
                <w:sz w:val="24"/>
                <w:szCs w:val="24"/>
                <w:lang w:val="en-US" w:eastAsia="zh-CN"/>
              </w:rPr>
              <w:t>身份证扫描件和</w:t>
            </w:r>
            <w:r>
              <w:rPr>
                <w:rFonts w:hint="eastAsia" w:ascii="宋体" w:hAnsi="宋体" w:eastAsia="宋体" w:cs="宋体"/>
                <w:sz w:val="24"/>
                <w:szCs w:val="24"/>
              </w:rPr>
              <w:t>授权委托书</w:t>
            </w:r>
            <w:r>
              <w:rPr>
                <w:rFonts w:hint="eastAsia" w:ascii="宋体" w:hAnsi="宋体" w:eastAsia="宋体" w:cs="宋体"/>
                <w:sz w:val="24"/>
                <w:szCs w:val="24"/>
                <w:lang w:val="en-US" w:eastAsia="zh-CN"/>
              </w:rPr>
              <w:t>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7" w:hRule="atLeast"/>
          <w:jc w:val="center"/>
        </w:trPr>
        <w:tc>
          <w:tcPr>
            <w:tcW w:w="1248" w:type="dxa"/>
            <w:noWrap w:val="0"/>
            <w:vAlign w:val="center"/>
          </w:tcPr>
          <w:p>
            <w:pPr>
              <w:tabs>
                <w:tab w:val="left" w:pos="426"/>
              </w:tabs>
              <w:spacing w:line="312" w:lineRule="auto"/>
              <w:jc w:val="center"/>
              <w:rPr>
                <w:rFonts w:hint="eastAsia" w:ascii="宋体" w:hAnsi="宋体" w:eastAsia="宋体" w:cs="宋体"/>
                <w:sz w:val="24"/>
                <w:szCs w:val="24"/>
              </w:rPr>
            </w:pPr>
            <w:r>
              <w:rPr>
                <w:rFonts w:hint="eastAsia" w:ascii="宋体" w:hAnsi="宋体" w:eastAsia="宋体" w:cs="宋体"/>
                <w:sz w:val="24"/>
                <w:szCs w:val="24"/>
              </w:rPr>
              <w:t>资格承诺</w:t>
            </w:r>
          </w:p>
        </w:tc>
        <w:tc>
          <w:tcPr>
            <w:tcW w:w="5973" w:type="dxa"/>
            <w:noWrap w:val="0"/>
            <w:vAlign w:val="center"/>
          </w:tcPr>
          <w:p>
            <w:pPr>
              <w:tabs>
                <w:tab w:val="left" w:pos="426"/>
              </w:tabs>
              <w:spacing w:line="312" w:lineRule="auto"/>
              <w:jc w:val="left"/>
              <w:rPr>
                <w:rFonts w:hint="eastAsia" w:ascii="宋体" w:hAnsi="宋体" w:eastAsia="宋体" w:cs="宋体"/>
                <w:sz w:val="24"/>
                <w:szCs w:val="24"/>
              </w:rPr>
            </w:pPr>
            <w:r>
              <w:rPr>
                <w:rFonts w:hint="eastAsia" w:ascii="宋体" w:hAnsi="宋体" w:eastAsia="宋体" w:cs="宋体"/>
                <w:sz w:val="24"/>
                <w:szCs w:val="24"/>
              </w:rPr>
              <w:t>自行承诺符合《中华人民共和国政府采购法》第二十二条规定及《中华人民共和国政府采购法实施条例》第十七条的相关要求。</w:t>
            </w:r>
          </w:p>
        </w:tc>
        <w:tc>
          <w:tcPr>
            <w:tcW w:w="1858" w:type="dxa"/>
            <w:noWrap w:val="0"/>
            <w:vAlign w:val="center"/>
          </w:tcPr>
          <w:p>
            <w:pPr>
              <w:tabs>
                <w:tab w:val="left" w:pos="426"/>
              </w:tabs>
              <w:spacing w:line="312" w:lineRule="auto"/>
              <w:jc w:val="left"/>
              <w:rPr>
                <w:rFonts w:hint="eastAsia" w:ascii="宋体" w:hAnsi="宋体" w:eastAsia="宋体" w:cs="宋体"/>
                <w:sz w:val="24"/>
                <w:szCs w:val="24"/>
              </w:rPr>
            </w:pPr>
            <w:r>
              <w:rPr>
                <w:rFonts w:hint="eastAsia" w:ascii="宋体" w:hAnsi="宋体" w:eastAsia="宋体" w:cs="宋体"/>
                <w:sz w:val="24"/>
                <w:szCs w:val="24"/>
              </w:rPr>
              <w:t>响应文件中附承诺函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jc w:val="center"/>
        </w:trPr>
        <w:tc>
          <w:tcPr>
            <w:tcW w:w="1248" w:type="dxa"/>
            <w:vMerge w:val="restart"/>
            <w:noWrap w:val="0"/>
            <w:vAlign w:val="center"/>
          </w:tcPr>
          <w:p>
            <w:pPr>
              <w:tabs>
                <w:tab w:val="left" w:pos="426"/>
              </w:tabs>
              <w:spacing w:line="312" w:lineRule="auto"/>
              <w:jc w:val="center"/>
              <w:rPr>
                <w:rFonts w:hint="eastAsia" w:ascii="宋体" w:hAnsi="宋体" w:eastAsia="宋体" w:cs="宋体"/>
                <w:sz w:val="24"/>
                <w:szCs w:val="24"/>
              </w:rPr>
            </w:pPr>
            <w:r>
              <w:rPr>
                <w:rFonts w:hint="eastAsia" w:ascii="宋体" w:hAnsi="宋体" w:eastAsia="宋体" w:cs="宋体"/>
                <w:sz w:val="24"/>
                <w:szCs w:val="24"/>
              </w:rPr>
              <w:t>信誉承诺</w:t>
            </w:r>
          </w:p>
        </w:tc>
        <w:tc>
          <w:tcPr>
            <w:tcW w:w="5973" w:type="dxa"/>
            <w:noWrap w:val="0"/>
            <w:vAlign w:val="center"/>
          </w:tcPr>
          <w:p>
            <w:pPr>
              <w:tabs>
                <w:tab w:val="left" w:pos="426"/>
              </w:tabs>
              <w:spacing w:line="312" w:lineRule="auto"/>
              <w:jc w:val="left"/>
              <w:rPr>
                <w:rFonts w:hint="eastAsia" w:ascii="宋体" w:hAnsi="宋体" w:eastAsia="宋体" w:cs="宋体"/>
                <w:sz w:val="24"/>
                <w:szCs w:val="24"/>
                <w:lang w:val="en-US" w:eastAsia="zh-CN"/>
              </w:rPr>
            </w:pPr>
            <w:r>
              <w:rPr>
                <w:rFonts w:hint="eastAsia" w:ascii="宋体" w:hAnsi="宋体" w:eastAsia="宋体" w:cs="宋体"/>
                <w:sz w:val="24"/>
                <w:szCs w:val="24"/>
              </w:rPr>
              <w:t>自行声明在“信用中国”网站(www.creditchina.gov.cn) 中未被列入：政府采购严 严重失信主体名单、重违法失信行为记录名单、重大税收违法失信主体；在中国执行信息 公开网(</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"http://zxgk.court.gov.cn/shixin/" </w:instrText>
            </w:r>
            <w:r>
              <w:rPr>
                <w:rFonts w:hint="eastAsia" w:ascii="宋体" w:hAnsi="宋体" w:eastAsia="宋体" w:cs="宋体"/>
                <w:sz w:val="24"/>
                <w:szCs w:val="24"/>
              </w:rPr>
              <w:fldChar w:fldCharType="separate"/>
            </w:r>
            <w:r>
              <w:rPr>
                <w:rFonts w:hint="eastAsia" w:ascii="宋体" w:hAnsi="宋体" w:eastAsia="宋体" w:cs="宋体"/>
                <w:sz w:val="24"/>
                <w:szCs w:val="24"/>
              </w:rPr>
              <w:t>http://zxgk.court.gov.cn/shixin/</w:t>
            </w:r>
            <w:r>
              <w:rPr>
                <w:rFonts w:hint="eastAsia" w:ascii="宋体" w:hAnsi="宋体" w:eastAsia="宋体" w:cs="宋体"/>
                <w:sz w:val="24"/>
                <w:szCs w:val="24"/>
              </w:rPr>
              <w:fldChar w:fldCharType="end"/>
            </w:r>
            <w:r>
              <w:rPr>
                <w:rFonts w:hint="eastAsia" w:ascii="宋体" w:hAnsi="宋体" w:eastAsia="宋体" w:cs="宋体"/>
                <w:sz w:val="24"/>
                <w:szCs w:val="24"/>
              </w:rPr>
              <w:t xml:space="preserve">) 中未被列入：失信被执行人名单；在“中 国政府采购网”(www.ccgp.gov.cn) 中未被列入：政府采购严重违法失信行为记录名单； </w:t>
            </w:r>
            <w:r>
              <w:rPr>
                <w:rFonts w:hint="eastAsia" w:ascii="宋体" w:hAnsi="宋体" w:eastAsia="宋体" w:cs="宋体"/>
                <w:sz w:val="24"/>
                <w:szCs w:val="24"/>
              </w:rPr>
              <w:tab/>
            </w:r>
            <w:r>
              <w:rPr>
                <w:rFonts w:hint="eastAsia" w:ascii="宋体" w:hAnsi="宋体" w:eastAsia="宋体" w:cs="宋体"/>
                <w:sz w:val="24"/>
                <w:szCs w:val="24"/>
              </w:rPr>
              <w:t xml:space="preserve">(供应商自拟格式承诺以上内容，加盖供应商公章在响应文件中提供，若供应商存在查证的以上相关记录，采购人有权取消其竞标(成交) 资格) </w:t>
            </w:r>
            <w:r>
              <w:rPr>
                <w:rFonts w:hint="eastAsia" w:ascii="宋体" w:hAnsi="宋体" w:eastAsia="宋体" w:cs="宋体"/>
                <w:sz w:val="24"/>
                <w:szCs w:val="24"/>
                <w:lang w:eastAsia="zh-CN"/>
              </w:rPr>
              <w:t>。</w:t>
            </w:r>
          </w:p>
        </w:tc>
        <w:tc>
          <w:tcPr>
            <w:tcW w:w="1858" w:type="dxa"/>
            <w:noWrap w:val="0"/>
            <w:vAlign w:val="center"/>
          </w:tcPr>
          <w:p>
            <w:pPr>
              <w:tabs>
                <w:tab w:val="left" w:pos="426"/>
              </w:tabs>
              <w:spacing w:line="312" w:lineRule="auto"/>
              <w:jc w:val="left"/>
              <w:rPr>
                <w:rFonts w:hint="eastAsia" w:ascii="宋体" w:hAnsi="宋体" w:eastAsia="宋体" w:cs="宋体"/>
                <w:sz w:val="24"/>
                <w:szCs w:val="24"/>
              </w:rPr>
            </w:pPr>
            <w:r>
              <w:rPr>
                <w:rFonts w:hint="eastAsia" w:ascii="宋体" w:hAnsi="宋体" w:eastAsia="宋体" w:cs="宋体"/>
                <w:sz w:val="24"/>
                <w:szCs w:val="24"/>
              </w:rPr>
              <w:t>响应文件中附承诺函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1248" w:type="dxa"/>
            <w:vMerge w:val="continue"/>
            <w:noWrap w:val="0"/>
            <w:vAlign w:val="center"/>
          </w:tcPr>
          <w:p>
            <w:pPr>
              <w:tabs>
                <w:tab w:val="left" w:pos="426"/>
              </w:tabs>
              <w:spacing w:line="312" w:lineRule="auto"/>
              <w:jc w:val="center"/>
              <w:rPr>
                <w:rFonts w:hint="eastAsia" w:ascii="宋体" w:hAnsi="宋体" w:eastAsia="宋体" w:cs="宋体"/>
                <w:sz w:val="24"/>
                <w:szCs w:val="24"/>
              </w:rPr>
            </w:pPr>
          </w:p>
        </w:tc>
        <w:tc>
          <w:tcPr>
            <w:tcW w:w="5973" w:type="dxa"/>
            <w:noWrap w:val="0"/>
            <w:vAlign w:val="center"/>
          </w:tcPr>
          <w:p>
            <w:pPr>
              <w:tabs>
                <w:tab w:val="left" w:pos="426"/>
              </w:tabs>
              <w:spacing w:line="312" w:lineRule="auto"/>
              <w:jc w:val="left"/>
              <w:rPr>
                <w:rFonts w:hint="eastAsia" w:ascii="宋体" w:hAnsi="宋体" w:eastAsia="宋体" w:cs="宋体"/>
                <w:sz w:val="24"/>
                <w:szCs w:val="24"/>
              </w:rPr>
            </w:pPr>
            <w:r>
              <w:rPr>
                <w:rFonts w:hint="eastAsia" w:ascii="宋体" w:hAnsi="宋体" w:eastAsia="宋体" w:cs="宋体"/>
                <w:sz w:val="24"/>
                <w:szCs w:val="24"/>
              </w:rPr>
              <w:t>单位负责人为同一人或者存在直接控股、管理关系的不同供应商，不得参加同一合同项下的政府采购活动。</w:t>
            </w:r>
          </w:p>
        </w:tc>
        <w:tc>
          <w:tcPr>
            <w:tcW w:w="1858" w:type="dxa"/>
            <w:noWrap w:val="0"/>
            <w:vAlign w:val="center"/>
          </w:tcPr>
          <w:p>
            <w:pPr>
              <w:tabs>
                <w:tab w:val="left" w:pos="426"/>
              </w:tabs>
              <w:spacing w:line="312" w:lineRule="auto"/>
              <w:jc w:val="left"/>
              <w:rPr>
                <w:rFonts w:hint="eastAsia" w:ascii="宋体" w:hAnsi="宋体" w:eastAsia="宋体" w:cs="宋体"/>
                <w:sz w:val="24"/>
                <w:szCs w:val="24"/>
              </w:rPr>
            </w:pPr>
            <w:r>
              <w:rPr>
                <w:rFonts w:hint="eastAsia" w:ascii="宋体" w:hAnsi="宋体" w:eastAsia="宋体" w:cs="宋体"/>
                <w:sz w:val="24"/>
                <w:szCs w:val="24"/>
              </w:rPr>
              <w:t>响应文件中附承诺函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48" w:type="dxa"/>
            <w:noWrap w:val="0"/>
            <w:vAlign w:val="center"/>
          </w:tcPr>
          <w:p>
            <w:pPr>
              <w:tabs>
                <w:tab w:val="left" w:pos="426"/>
              </w:tabs>
              <w:spacing w:line="312" w:lineRule="auto"/>
              <w:jc w:val="center"/>
              <w:rPr>
                <w:rFonts w:hint="eastAsia" w:ascii="宋体" w:hAnsi="宋体" w:eastAsia="宋体" w:cs="宋体"/>
                <w:sz w:val="24"/>
                <w:szCs w:val="24"/>
              </w:rPr>
            </w:pPr>
            <w:r>
              <w:rPr>
                <w:rFonts w:hint="eastAsia" w:ascii="宋体" w:hAnsi="宋体" w:eastAsia="宋体" w:cs="宋体"/>
                <w:sz w:val="24"/>
                <w:szCs w:val="24"/>
              </w:rPr>
              <w:t>本项目的特定资格要求</w:t>
            </w:r>
          </w:p>
        </w:tc>
        <w:tc>
          <w:tcPr>
            <w:tcW w:w="5973" w:type="dxa"/>
            <w:noWrap w:val="0"/>
            <w:vAlign w:val="center"/>
          </w:tcPr>
          <w:p>
            <w:pPr>
              <w:tabs>
                <w:tab w:val="left" w:pos="426"/>
              </w:tabs>
              <w:spacing w:line="312" w:lineRule="auto"/>
              <w:jc w:val="left"/>
              <w:rPr>
                <w:rFonts w:hint="eastAsia" w:ascii="宋体" w:hAnsi="宋体" w:eastAsia="宋体" w:cs="宋体"/>
                <w:sz w:val="24"/>
                <w:szCs w:val="24"/>
              </w:rPr>
            </w:pPr>
            <w:r>
              <w:rPr>
                <w:rFonts w:hint="eastAsia" w:ascii="宋体" w:hAnsi="宋体" w:eastAsia="宋体" w:cs="宋体"/>
                <w:color w:val="auto"/>
                <w:kern w:val="0"/>
                <w:sz w:val="24"/>
                <w:szCs w:val="24"/>
              </w:rPr>
              <w:t>投标人若为经营企业，须提供有效的《医疗器械经营许可证》</w:t>
            </w: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rPr>
              <w:t>投标人若为生产企业，</w:t>
            </w:r>
            <w:r>
              <w:rPr>
                <w:rFonts w:hint="eastAsia" w:ascii="宋体" w:hAnsi="宋体" w:eastAsia="宋体" w:cs="宋体"/>
                <w:color w:val="auto"/>
                <w:kern w:val="0"/>
                <w:sz w:val="24"/>
                <w:szCs w:val="24"/>
                <w:lang w:val="en-US" w:eastAsia="zh-CN"/>
              </w:rPr>
              <w:t>须</w:t>
            </w:r>
            <w:r>
              <w:rPr>
                <w:rFonts w:hint="eastAsia" w:ascii="宋体" w:hAnsi="宋体" w:eastAsia="宋体" w:cs="宋体"/>
                <w:color w:val="auto"/>
                <w:kern w:val="0"/>
                <w:sz w:val="24"/>
                <w:szCs w:val="24"/>
              </w:rPr>
              <w:t>提供有效的《医疗器械生产许可证》、《医疗器械经营许可证》。</w:t>
            </w:r>
            <w:r>
              <w:rPr>
                <w:rFonts w:hint="eastAsia" w:ascii="宋体" w:hAnsi="宋体" w:eastAsia="宋体" w:cs="宋体"/>
                <w:color w:val="auto"/>
                <w:sz w:val="24"/>
                <w:szCs w:val="24"/>
                <w:lang w:val="en-US" w:eastAsia="zh-CN"/>
              </w:rPr>
              <w:t>所投</w:t>
            </w:r>
            <w:r>
              <w:rPr>
                <w:rFonts w:hint="eastAsia" w:ascii="宋体" w:hAnsi="宋体" w:eastAsia="宋体" w:cs="宋体"/>
                <w:color w:val="auto"/>
                <w:sz w:val="24"/>
                <w:szCs w:val="24"/>
              </w:rPr>
              <w:t>设备属于第一类、第二类医疗设备的需提供医疗器械备案</w:t>
            </w:r>
            <w:r>
              <w:rPr>
                <w:rFonts w:hint="eastAsia" w:ascii="宋体" w:hAnsi="宋体" w:eastAsia="宋体" w:cs="宋体"/>
                <w:color w:val="auto"/>
                <w:sz w:val="24"/>
                <w:szCs w:val="24"/>
                <w:lang w:val="en-US" w:eastAsia="zh-CN"/>
              </w:rPr>
              <w:t>凭</w:t>
            </w:r>
            <w:r>
              <w:rPr>
                <w:rFonts w:hint="eastAsia" w:ascii="宋体" w:hAnsi="宋体" w:eastAsia="宋体" w:cs="宋体"/>
                <w:color w:val="auto"/>
                <w:sz w:val="24"/>
                <w:szCs w:val="24"/>
              </w:rPr>
              <w:t>证</w:t>
            </w:r>
            <w:r>
              <w:rPr>
                <w:rFonts w:hint="eastAsia" w:ascii="宋体" w:hAnsi="宋体" w:eastAsia="宋体" w:cs="宋体"/>
                <w:color w:val="auto"/>
                <w:sz w:val="24"/>
                <w:szCs w:val="24"/>
                <w:lang w:val="en-US" w:eastAsia="zh-CN"/>
              </w:rPr>
              <w:t>或</w:t>
            </w:r>
            <w:r>
              <w:rPr>
                <w:rFonts w:hint="eastAsia" w:ascii="宋体" w:hAnsi="宋体" w:eastAsia="宋体" w:cs="宋体"/>
                <w:color w:val="auto"/>
                <w:sz w:val="24"/>
                <w:szCs w:val="24"/>
              </w:rPr>
              <w:t>医疗器械注册</w:t>
            </w:r>
            <w:r>
              <w:rPr>
                <w:rFonts w:hint="eastAsia" w:ascii="宋体" w:hAnsi="宋体" w:eastAsia="宋体" w:cs="宋体"/>
                <w:color w:val="auto"/>
                <w:sz w:val="24"/>
                <w:szCs w:val="24"/>
                <w:lang w:val="en-US" w:eastAsia="zh-CN"/>
              </w:rPr>
              <w:t>证</w:t>
            </w:r>
            <w:r>
              <w:rPr>
                <w:rFonts w:hint="eastAsia" w:ascii="宋体" w:hAnsi="宋体" w:eastAsia="宋体" w:cs="宋体"/>
                <w:color w:val="auto"/>
                <w:sz w:val="24"/>
                <w:szCs w:val="24"/>
              </w:rPr>
              <w:t>；对不在国家《医疗器械分类目录》内的设备不作强行要求。</w:t>
            </w:r>
          </w:p>
        </w:tc>
        <w:tc>
          <w:tcPr>
            <w:tcW w:w="1858" w:type="dxa"/>
            <w:noWrap w:val="0"/>
            <w:vAlign w:val="center"/>
          </w:tcPr>
          <w:p>
            <w:pPr>
              <w:tabs>
                <w:tab w:val="left" w:pos="426"/>
              </w:tabs>
              <w:spacing w:line="312" w:lineRule="auto"/>
              <w:jc w:val="left"/>
              <w:rPr>
                <w:rFonts w:hint="eastAsia" w:ascii="宋体" w:hAnsi="宋体" w:eastAsia="宋体" w:cs="宋体"/>
                <w:sz w:val="24"/>
                <w:szCs w:val="24"/>
                <w:lang w:eastAsia="zh-CN"/>
              </w:rPr>
            </w:pPr>
            <w:r>
              <w:rPr>
                <w:rFonts w:hint="eastAsia" w:ascii="宋体" w:hAnsi="宋体" w:eastAsia="宋体" w:cs="宋体"/>
                <w:sz w:val="24"/>
                <w:szCs w:val="24"/>
              </w:rPr>
              <w:t>响应文件中附复印件或扫描件</w:t>
            </w:r>
          </w:p>
        </w:tc>
      </w:tr>
    </w:tbl>
    <w:p>
      <w:pPr>
        <w:spacing w:line="360" w:lineRule="auto"/>
        <w:ind w:firstLine="482" w:firstLineChars="200"/>
        <w:rPr>
          <w:rFonts w:hint="eastAsia" w:ascii="宋体" w:hAnsi="宋体" w:cs="宋体"/>
          <w:sz w:val="24"/>
          <w:szCs w:val="24"/>
        </w:rPr>
      </w:pPr>
      <w:r>
        <w:rPr>
          <w:rFonts w:hint="eastAsia" w:ascii="宋体" w:hAnsi="宋体" w:cs="宋体"/>
          <w:b/>
          <w:bCs/>
          <w:sz w:val="24"/>
          <w:szCs w:val="24"/>
          <w:lang w:val="en-US" w:eastAsia="zh-CN"/>
        </w:rPr>
        <w:t>注：</w:t>
      </w:r>
      <w:r>
        <w:rPr>
          <w:rFonts w:hint="eastAsia" w:ascii="宋体" w:hAnsi="宋体" w:cs="宋体"/>
          <w:b w:val="0"/>
          <w:bCs w:val="0"/>
          <w:sz w:val="24"/>
          <w:szCs w:val="24"/>
          <w:lang w:val="en-US" w:eastAsia="zh-CN"/>
        </w:rPr>
        <w:t>评</w:t>
      </w:r>
      <w:r>
        <w:rPr>
          <w:rFonts w:hint="eastAsia" w:ascii="宋体" w:hAnsi="宋体" w:cs="宋体"/>
          <w:sz w:val="24"/>
          <w:szCs w:val="24"/>
          <w:lang w:val="en-US" w:eastAsia="zh-CN"/>
        </w:rPr>
        <w:t>审小组</w:t>
      </w:r>
      <w:r>
        <w:rPr>
          <w:rFonts w:hint="eastAsia" w:ascii="宋体" w:hAnsi="宋体" w:cs="宋体"/>
          <w:sz w:val="24"/>
          <w:szCs w:val="24"/>
        </w:rPr>
        <w:t>依据本章规定的标准对</w:t>
      </w:r>
      <w:r>
        <w:rPr>
          <w:rFonts w:hint="eastAsia" w:ascii="宋体" w:hAnsi="宋体" w:cs="宋体"/>
          <w:sz w:val="24"/>
          <w:szCs w:val="24"/>
          <w:lang w:val="en-US" w:eastAsia="zh-CN"/>
        </w:rPr>
        <w:t>响应</w:t>
      </w:r>
      <w:r>
        <w:rPr>
          <w:rFonts w:hint="eastAsia" w:ascii="宋体" w:hAnsi="宋体" w:cs="宋体"/>
          <w:sz w:val="24"/>
          <w:szCs w:val="24"/>
        </w:rPr>
        <w:t>文件进行资格审查。有一项不符合审查标准的，投标无效。</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sz w:val="24"/>
          <w:szCs w:val="24"/>
        </w:rPr>
      </w:pPr>
      <w:r>
        <w:rPr>
          <w:rFonts w:hint="eastAsia" w:ascii="宋体" w:hAnsi="宋体" w:cs="宋体"/>
          <w:sz w:val="24"/>
          <w:szCs w:val="24"/>
        </w:rPr>
        <w:t>2</w:t>
      </w:r>
      <w:r>
        <w:rPr>
          <w:rFonts w:hint="eastAsia" w:ascii="宋体" w:hAnsi="宋体" w:cs="宋体"/>
          <w:sz w:val="24"/>
          <w:szCs w:val="24"/>
          <w:lang w:val="en-US" w:eastAsia="zh-CN"/>
        </w:rPr>
        <w:t>.</w:t>
      </w:r>
      <w:r>
        <w:rPr>
          <w:rFonts w:hint="eastAsia" w:ascii="宋体" w:hAnsi="宋体" w:cs="宋体"/>
          <w:sz w:val="24"/>
          <w:szCs w:val="24"/>
        </w:rPr>
        <w:t>符合性检查。依据谈判采购文件的规定，从响应文件的有效性、完整性和对谈判采购文件的响应程度进行审查，以确定是否对谈判采购文件的实质性要求作出响应。符合性</w:t>
      </w:r>
      <w:r>
        <w:rPr>
          <w:rFonts w:hint="eastAsia" w:ascii="宋体" w:hAnsi="宋体" w:cs="宋体"/>
          <w:sz w:val="24"/>
          <w:szCs w:val="24"/>
          <w:lang w:val="en-US" w:eastAsia="zh-CN"/>
        </w:rPr>
        <w:t>审查</w:t>
      </w:r>
      <w:r>
        <w:rPr>
          <w:rFonts w:hint="eastAsia" w:ascii="宋体" w:hAnsi="宋体" w:cs="宋体"/>
          <w:sz w:val="24"/>
          <w:szCs w:val="24"/>
        </w:rPr>
        <w:t>表如下：</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sz w:val="24"/>
          <w:szCs w:val="24"/>
        </w:rPr>
      </w:pPr>
      <w:r>
        <w:rPr>
          <w:rFonts w:hint="eastAsia" w:ascii="宋体" w:hAnsi="宋体" w:eastAsia="宋体" w:cs="宋体"/>
          <w:b/>
          <w:bCs w:val="0"/>
          <w:color w:val="auto"/>
          <w:sz w:val="24"/>
          <w:szCs w:val="24"/>
          <w:highlight w:val="none"/>
        </w:rPr>
        <w:t>符合性审查表</w:t>
      </w:r>
    </w:p>
    <w:tbl>
      <w:tblPr>
        <w:tblStyle w:val="8"/>
        <w:tblW w:w="9628"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3"/>
        <w:gridCol w:w="1550"/>
        <w:gridCol w:w="1850"/>
        <w:gridCol w:w="53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85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宋体" w:hAnsi="宋体" w:cs="宋体"/>
                <w:b/>
                <w:kern w:val="0"/>
                <w:sz w:val="24"/>
                <w:szCs w:val="24"/>
              </w:rPr>
            </w:pPr>
            <w:r>
              <w:rPr>
                <w:rFonts w:hint="eastAsia" w:ascii="宋体" w:hAnsi="宋体" w:cs="宋体"/>
                <w:b/>
                <w:kern w:val="0"/>
                <w:sz w:val="24"/>
                <w:szCs w:val="24"/>
              </w:rPr>
              <w:t>序号</w:t>
            </w:r>
          </w:p>
        </w:tc>
        <w:tc>
          <w:tcPr>
            <w:tcW w:w="340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宋体" w:hAnsi="宋体" w:cs="宋体"/>
                <w:b/>
                <w:kern w:val="0"/>
                <w:sz w:val="24"/>
                <w:szCs w:val="24"/>
              </w:rPr>
            </w:pPr>
            <w:r>
              <w:rPr>
                <w:rFonts w:hint="eastAsia" w:ascii="宋体" w:hAnsi="宋体" w:cs="宋体"/>
                <w:b/>
                <w:kern w:val="0"/>
                <w:sz w:val="24"/>
                <w:szCs w:val="24"/>
              </w:rPr>
              <w:t>评审因素</w:t>
            </w:r>
          </w:p>
        </w:tc>
        <w:tc>
          <w:tcPr>
            <w:tcW w:w="537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宋体" w:hAnsi="宋体" w:cs="宋体"/>
                <w:b/>
                <w:kern w:val="0"/>
                <w:sz w:val="24"/>
                <w:szCs w:val="24"/>
              </w:rPr>
            </w:pPr>
            <w:r>
              <w:rPr>
                <w:rFonts w:hint="eastAsia" w:ascii="宋体" w:hAnsi="宋体" w:cs="宋体"/>
                <w:b/>
                <w:kern w:val="0"/>
                <w:sz w:val="24"/>
                <w:szCs w:val="24"/>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853" w:type="dxa"/>
            <w:vMerge w:val="restart"/>
            <w:noWrap w:val="0"/>
            <w:vAlign w:val="center"/>
          </w:tcPr>
          <w:p>
            <w:pPr>
              <w:jc w:val="center"/>
              <w:rPr>
                <w:rFonts w:ascii="宋体" w:hAnsi="宋体" w:cs="宋体"/>
                <w:kern w:val="0"/>
                <w:sz w:val="24"/>
                <w:szCs w:val="24"/>
              </w:rPr>
            </w:pPr>
            <w:r>
              <w:rPr>
                <w:rFonts w:hint="eastAsia" w:ascii="宋体" w:hAnsi="宋体" w:cs="宋体"/>
                <w:kern w:val="0"/>
                <w:sz w:val="24"/>
                <w:szCs w:val="24"/>
              </w:rPr>
              <w:t>1</w:t>
            </w:r>
          </w:p>
        </w:tc>
        <w:tc>
          <w:tcPr>
            <w:tcW w:w="1550" w:type="dxa"/>
            <w:vMerge w:val="restart"/>
            <w:noWrap w:val="0"/>
            <w:vAlign w:val="center"/>
          </w:tcPr>
          <w:p>
            <w:pPr>
              <w:rPr>
                <w:rFonts w:ascii="宋体" w:hAnsi="宋体" w:cs="宋体"/>
                <w:kern w:val="0"/>
                <w:sz w:val="24"/>
                <w:szCs w:val="24"/>
              </w:rPr>
            </w:pPr>
            <w:r>
              <w:rPr>
                <w:rFonts w:hint="eastAsia" w:ascii="宋体" w:hAnsi="宋体" w:cs="宋体"/>
                <w:kern w:val="0"/>
                <w:sz w:val="24"/>
                <w:szCs w:val="24"/>
              </w:rPr>
              <w:t>有效性审查</w:t>
            </w:r>
          </w:p>
        </w:tc>
        <w:tc>
          <w:tcPr>
            <w:tcW w:w="1850" w:type="dxa"/>
            <w:noWrap w:val="0"/>
            <w:vAlign w:val="center"/>
          </w:tcPr>
          <w:p>
            <w:pPr>
              <w:rPr>
                <w:rFonts w:ascii="宋体" w:hAnsi="宋体" w:cs="宋体"/>
                <w:kern w:val="0"/>
                <w:sz w:val="24"/>
                <w:szCs w:val="24"/>
              </w:rPr>
            </w:pPr>
            <w:r>
              <w:rPr>
                <w:rFonts w:hint="eastAsia" w:ascii="宋体" w:hAnsi="宋体" w:cs="宋体"/>
                <w:sz w:val="24"/>
                <w:szCs w:val="24"/>
              </w:rPr>
              <w:t>响应文件签署</w:t>
            </w:r>
          </w:p>
        </w:tc>
        <w:tc>
          <w:tcPr>
            <w:tcW w:w="5375" w:type="dxa"/>
            <w:noWrap w:val="0"/>
            <w:vAlign w:val="center"/>
          </w:tcPr>
          <w:p>
            <w:pPr>
              <w:rPr>
                <w:rFonts w:ascii="宋体" w:hAnsi="宋体" w:cs="宋体"/>
                <w:kern w:val="0"/>
                <w:sz w:val="24"/>
                <w:szCs w:val="24"/>
              </w:rPr>
            </w:pPr>
            <w:r>
              <w:rPr>
                <w:rFonts w:hint="eastAsia" w:ascii="宋体" w:hAnsi="宋体" w:cs="宋体"/>
                <w:sz w:val="24"/>
                <w:szCs w:val="24"/>
              </w:rPr>
              <w:t>响应文件上法定代表人或其授权代表人的签字齐全。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853" w:type="dxa"/>
            <w:vMerge w:val="continue"/>
            <w:noWrap w:val="0"/>
            <w:vAlign w:val="center"/>
          </w:tcPr>
          <w:p>
            <w:pPr>
              <w:jc w:val="center"/>
              <w:rPr>
                <w:rFonts w:ascii="宋体" w:hAnsi="宋体" w:cs="宋体"/>
                <w:kern w:val="0"/>
                <w:sz w:val="24"/>
                <w:szCs w:val="24"/>
              </w:rPr>
            </w:pPr>
          </w:p>
        </w:tc>
        <w:tc>
          <w:tcPr>
            <w:tcW w:w="1550" w:type="dxa"/>
            <w:vMerge w:val="continue"/>
            <w:noWrap w:val="0"/>
            <w:vAlign w:val="center"/>
          </w:tcPr>
          <w:p>
            <w:pPr>
              <w:rPr>
                <w:rFonts w:ascii="宋体" w:hAnsi="宋体" w:cs="宋体"/>
                <w:kern w:val="0"/>
                <w:sz w:val="24"/>
                <w:szCs w:val="24"/>
              </w:rPr>
            </w:pPr>
          </w:p>
        </w:tc>
        <w:tc>
          <w:tcPr>
            <w:tcW w:w="1850" w:type="dxa"/>
            <w:noWrap w:val="0"/>
            <w:vAlign w:val="center"/>
          </w:tcPr>
          <w:p>
            <w:pPr>
              <w:rPr>
                <w:rFonts w:ascii="宋体" w:hAnsi="宋体" w:cs="宋体"/>
                <w:sz w:val="24"/>
                <w:szCs w:val="24"/>
                <w:lang w:val="zh-CN"/>
              </w:rPr>
            </w:pPr>
            <w:r>
              <w:rPr>
                <w:rFonts w:hint="eastAsia" w:ascii="宋体" w:hAnsi="宋体" w:cs="宋体"/>
                <w:sz w:val="24"/>
                <w:szCs w:val="24"/>
              </w:rPr>
              <w:t>响应</w:t>
            </w:r>
            <w:r>
              <w:rPr>
                <w:rFonts w:hint="eastAsia" w:ascii="宋体" w:hAnsi="宋体" w:cs="宋体"/>
                <w:sz w:val="24"/>
                <w:szCs w:val="24"/>
                <w:lang w:val="zh-CN"/>
              </w:rPr>
              <w:t>方案</w:t>
            </w:r>
          </w:p>
        </w:tc>
        <w:tc>
          <w:tcPr>
            <w:tcW w:w="5375" w:type="dxa"/>
            <w:noWrap w:val="0"/>
            <w:vAlign w:val="center"/>
          </w:tcPr>
          <w:p>
            <w:pPr>
              <w:rPr>
                <w:rFonts w:ascii="宋体" w:hAnsi="宋体" w:cs="宋体"/>
                <w:kern w:val="0"/>
                <w:sz w:val="24"/>
                <w:szCs w:val="24"/>
              </w:rPr>
            </w:pPr>
            <w:r>
              <w:rPr>
                <w:rFonts w:hint="eastAsia" w:ascii="宋体" w:hAnsi="宋体" w:cs="宋体"/>
                <w:sz w:val="24"/>
                <w:szCs w:val="24"/>
                <w:lang w:val="zh-CN"/>
              </w:rPr>
              <w:t>每个分包只能有一个</w:t>
            </w:r>
            <w:r>
              <w:rPr>
                <w:rFonts w:hint="eastAsia" w:ascii="宋体" w:hAnsi="宋体" w:cs="宋体"/>
                <w:sz w:val="24"/>
                <w:szCs w:val="24"/>
              </w:rPr>
              <w:t>响应</w:t>
            </w:r>
            <w:r>
              <w:rPr>
                <w:rFonts w:hint="eastAsia" w:ascii="宋体" w:hAnsi="宋体" w:cs="宋体"/>
                <w:sz w:val="24"/>
                <w:szCs w:val="24"/>
                <w:lang w:val="zh-CN"/>
              </w:rPr>
              <w:t>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853" w:type="dxa"/>
            <w:vMerge w:val="continue"/>
            <w:noWrap w:val="0"/>
            <w:vAlign w:val="center"/>
          </w:tcPr>
          <w:p>
            <w:pPr>
              <w:jc w:val="center"/>
              <w:rPr>
                <w:rFonts w:ascii="宋体" w:hAnsi="宋体" w:cs="宋体"/>
                <w:kern w:val="0"/>
                <w:sz w:val="24"/>
                <w:szCs w:val="24"/>
              </w:rPr>
            </w:pPr>
          </w:p>
        </w:tc>
        <w:tc>
          <w:tcPr>
            <w:tcW w:w="1550" w:type="dxa"/>
            <w:vMerge w:val="continue"/>
            <w:noWrap w:val="0"/>
            <w:vAlign w:val="center"/>
          </w:tcPr>
          <w:p>
            <w:pPr>
              <w:rPr>
                <w:rFonts w:ascii="宋体" w:hAnsi="宋体" w:cs="宋体"/>
                <w:kern w:val="0"/>
                <w:sz w:val="24"/>
                <w:szCs w:val="24"/>
              </w:rPr>
            </w:pPr>
          </w:p>
        </w:tc>
        <w:tc>
          <w:tcPr>
            <w:tcW w:w="1850" w:type="dxa"/>
            <w:noWrap w:val="0"/>
            <w:vAlign w:val="center"/>
          </w:tcPr>
          <w:p>
            <w:pPr>
              <w:rPr>
                <w:rFonts w:ascii="宋体" w:hAnsi="宋体" w:cs="宋体"/>
                <w:sz w:val="24"/>
                <w:szCs w:val="24"/>
                <w:lang w:val="zh-CN"/>
              </w:rPr>
            </w:pPr>
            <w:r>
              <w:rPr>
                <w:rFonts w:hint="eastAsia" w:ascii="宋体" w:hAnsi="宋体" w:cs="宋体"/>
                <w:sz w:val="24"/>
                <w:szCs w:val="24"/>
              </w:rPr>
              <w:t>报价唯一</w:t>
            </w:r>
          </w:p>
        </w:tc>
        <w:tc>
          <w:tcPr>
            <w:tcW w:w="5375" w:type="dxa"/>
            <w:noWrap w:val="0"/>
            <w:vAlign w:val="center"/>
          </w:tcPr>
          <w:p>
            <w:pPr>
              <w:rPr>
                <w:rFonts w:ascii="宋体" w:hAnsi="宋体" w:cs="宋体"/>
                <w:kern w:val="0"/>
                <w:sz w:val="24"/>
                <w:szCs w:val="24"/>
              </w:rPr>
            </w:pPr>
            <w:r>
              <w:rPr>
                <w:rFonts w:hint="eastAsia" w:ascii="宋体" w:hAnsi="宋体" w:cs="宋体"/>
                <w:sz w:val="24"/>
                <w:szCs w:val="24"/>
                <w:lang w:val="zh-CN"/>
              </w:rPr>
              <w:t>只能在采购预算范围内报价，</w:t>
            </w:r>
            <w:r>
              <w:rPr>
                <w:rFonts w:hint="eastAsia" w:ascii="宋体" w:hAnsi="宋体" w:cs="宋体"/>
                <w:sz w:val="24"/>
                <w:szCs w:val="24"/>
              </w:rPr>
              <w:t>只能有一个有效报价，不得提交选择性报价。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853" w:type="dxa"/>
            <w:vMerge w:val="restart"/>
            <w:noWrap w:val="0"/>
            <w:vAlign w:val="center"/>
          </w:tcPr>
          <w:p>
            <w:pPr>
              <w:jc w:val="center"/>
              <w:rPr>
                <w:rFonts w:ascii="宋体" w:hAnsi="宋体" w:cs="宋体"/>
                <w:kern w:val="0"/>
                <w:sz w:val="24"/>
                <w:szCs w:val="24"/>
              </w:rPr>
            </w:pPr>
            <w:r>
              <w:rPr>
                <w:rFonts w:hint="eastAsia" w:ascii="宋体" w:hAnsi="宋体" w:cs="宋体"/>
                <w:kern w:val="0"/>
                <w:sz w:val="24"/>
                <w:szCs w:val="24"/>
              </w:rPr>
              <w:t>2</w:t>
            </w:r>
          </w:p>
        </w:tc>
        <w:tc>
          <w:tcPr>
            <w:tcW w:w="1550" w:type="dxa"/>
            <w:vMerge w:val="restart"/>
            <w:noWrap w:val="0"/>
            <w:vAlign w:val="center"/>
          </w:tcPr>
          <w:p>
            <w:pPr>
              <w:rPr>
                <w:rFonts w:ascii="宋体" w:hAnsi="宋体" w:cs="宋体"/>
                <w:kern w:val="0"/>
                <w:sz w:val="24"/>
                <w:szCs w:val="24"/>
              </w:rPr>
            </w:pPr>
            <w:r>
              <w:rPr>
                <w:rFonts w:hint="eastAsia" w:ascii="宋体" w:hAnsi="宋体" w:cs="宋体"/>
                <w:kern w:val="0"/>
                <w:sz w:val="24"/>
                <w:szCs w:val="24"/>
              </w:rPr>
              <w:t>完整性审查</w:t>
            </w:r>
          </w:p>
        </w:tc>
        <w:tc>
          <w:tcPr>
            <w:tcW w:w="1850" w:type="dxa"/>
            <w:noWrap w:val="0"/>
            <w:vAlign w:val="center"/>
          </w:tcPr>
          <w:p>
            <w:pPr>
              <w:rPr>
                <w:rFonts w:ascii="宋体" w:hAnsi="宋体" w:cs="宋体"/>
                <w:kern w:val="0"/>
                <w:sz w:val="24"/>
                <w:szCs w:val="24"/>
              </w:rPr>
            </w:pPr>
            <w:r>
              <w:rPr>
                <w:rFonts w:hint="eastAsia" w:ascii="宋体" w:hAnsi="宋体" w:cs="宋体"/>
                <w:sz w:val="24"/>
                <w:szCs w:val="24"/>
              </w:rPr>
              <w:t>响应</w:t>
            </w:r>
            <w:r>
              <w:rPr>
                <w:rFonts w:hint="eastAsia" w:ascii="宋体" w:hAnsi="宋体" w:cs="宋体"/>
                <w:sz w:val="24"/>
                <w:szCs w:val="24"/>
                <w:lang w:val="zh-CN"/>
              </w:rPr>
              <w:t>文件份数</w:t>
            </w:r>
          </w:p>
        </w:tc>
        <w:tc>
          <w:tcPr>
            <w:tcW w:w="5375" w:type="dxa"/>
            <w:noWrap w:val="0"/>
            <w:vAlign w:val="center"/>
          </w:tcPr>
          <w:p>
            <w:pPr>
              <w:rPr>
                <w:rFonts w:ascii="宋体" w:hAnsi="宋体" w:cs="宋体"/>
                <w:kern w:val="0"/>
                <w:sz w:val="24"/>
                <w:szCs w:val="24"/>
              </w:rPr>
            </w:pPr>
            <w:r>
              <w:rPr>
                <w:rFonts w:hint="eastAsia" w:ascii="宋体" w:hAnsi="宋体" w:cs="宋体"/>
                <w:sz w:val="24"/>
                <w:szCs w:val="24"/>
              </w:rPr>
              <w:t>响应</w:t>
            </w:r>
            <w:r>
              <w:rPr>
                <w:rFonts w:hint="eastAsia" w:ascii="宋体" w:hAnsi="宋体" w:cs="宋体"/>
                <w:sz w:val="24"/>
                <w:szCs w:val="24"/>
                <w:lang w:val="zh-CN"/>
              </w:rPr>
              <w:t>文件正、副本数量符合谈判采购文件要求。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853" w:type="dxa"/>
            <w:vMerge w:val="continue"/>
            <w:noWrap w:val="0"/>
            <w:vAlign w:val="center"/>
          </w:tcPr>
          <w:p>
            <w:pPr>
              <w:jc w:val="center"/>
              <w:rPr>
                <w:rFonts w:ascii="宋体" w:hAnsi="宋体" w:cs="宋体"/>
                <w:kern w:val="0"/>
                <w:sz w:val="24"/>
                <w:szCs w:val="24"/>
              </w:rPr>
            </w:pPr>
          </w:p>
        </w:tc>
        <w:tc>
          <w:tcPr>
            <w:tcW w:w="1550" w:type="dxa"/>
            <w:vMerge w:val="continue"/>
            <w:noWrap w:val="0"/>
            <w:vAlign w:val="center"/>
          </w:tcPr>
          <w:p>
            <w:pPr>
              <w:rPr>
                <w:rFonts w:ascii="宋体" w:hAnsi="宋体" w:cs="宋体"/>
                <w:kern w:val="0"/>
                <w:sz w:val="24"/>
                <w:szCs w:val="24"/>
              </w:rPr>
            </w:pPr>
          </w:p>
        </w:tc>
        <w:tc>
          <w:tcPr>
            <w:tcW w:w="1850" w:type="dxa"/>
            <w:noWrap w:val="0"/>
            <w:vAlign w:val="center"/>
          </w:tcPr>
          <w:p>
            <w:pPr>
              <w:rPr>
                <w:rFonts w:ascii="宋体" w:hAnsi="宋体" w:cs="宋体"/>
                <w:sz w:val="24"/>
                <w:szCs w:val="24"/>
                <w:lang w:val="zh-CN"/>
              </w:rPr>
            </w:pPr>
            <w:r>
              <w:rPr>
                <w:rFonts w:hint="eastAsia" w:ascii="宋体" w:hAnsi="宋体" w:cs="宋体"/>
                <w:sz w:val="24"/>
                <w:szCs w:val="24"/>
              </w:rPr>
              <w:t>响应</w:t>
            </w:r>
            <w:r>
              <w:rPr>
                <w:rFonts w:hint="eastAsia" w:ascii="宋体" w:hAnsi="宋体" w:cs="宋体"/>
                <w:sz w:val="24"/>
                <w:szCs w:val="24"/>
                <w:lang w:val="zh-CN"/>
              </w:rPr>
              <w:t>文件内容</w:t>
            </w:r>
          </w:p>
        </w:tc>
        <w:tc>
          <w:tcPr>
            <w:tcW w:w="5375" w:type="dxa"/>
            <w:noWrap w:val="0"/>
            <w:vAlign w:val="center"/>
          </w:tcPr>
          <w:p>
            <w:pPr>
              <w:rPr>
                <w:rFonts w:ascii="宋体" w:hAnsi="宋体" w:cs="宋体"/>
                <w:sz w:val="24"/>
                <w:szCs w:val="24"/>
                <w:lang w:val="zh-CN"/>
              </w:rPr>
            </w:pPr>
            <w:r>
              <w:rPr>
                <w:rFonts w:hint="eastAsia" w:ascii="宋体" w:hAnsi="宋体" w:cs="宋体"/>
                <w:sz w:val="24"/>
                <w:szCs w:val="24"/>
              </w:rPr>
              <w:t>响应</w:t>
            </w:r>
            <w:r>
              <w:rPr>
                <w:rFonts w:hint="eastAsia" w:ascii="宋体" w:hAnsi="宋体" w:cs="宋体"/>
                <w:sz w:val="24"/>
                <w:szCs w:val="24"/>
                <w:lang w:val="zh-CN"/>
              </w:rPr>
              <w:t>文件内容齐全、无遗漏。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853" w:type="dxa"/>
            <w:vMerge w:val="restart"/>
            <w:noWrap w:val="0"/>
            <w:vAlign w:val="center"/>
          </w:tcPr>
          <w:p>
            <w:pPr>
              <w:jc w:val="center"/>
              <w:rPr>
                <w:rFonts w:ascii="宋体" w:hAnsi="宋体" w:cs="宋体"/>
                <w:kern w:val="0"/>
                <w:sz w:val="24"/>
                <w:szCs w:val="24"/>
              </w:rPr>
            </w:pPr>
            <w:r>
              <w:rPr>
                <w:rFonts w:hint="eastAsia" w:ascii="宋体" w:hAnsi="宋体" w:cs="宋体"/>
                <w:kern w:val="0"/>
                <w:sz w:val="24"/>
                <w:szCs w:val="24"/>
              </w:rPr>
              <w:t>3</w:t>
            </w:r>
          </w:p>
        </w:tc>
        <w:tc>
          <w:tcPr>
            <w:tcW w:w="1550" w:type="dxa"/>
            <w:vMerge w:val="restart"/>
            <w:noWrap w:val="0"/>
            <w:vAlign w:val="center"/>
          </w:tcPr>
          <w:p>
            <w:pPr>
              <w:rPr>
                <w:rFonts w:ascii="宋体" w:hAnsi="宋体" w:cs="宋体"/>
                <w:sz w:val="24"/>
                <w:szCs w:val="24"/>
                <w:lang w:val="zh-CN"/>
              </w:rPr>
            </w:pPr>
            <w:r>
              <w:rPr>
                <w:rFonts w:ascii="宋体" w:hAnsi="宋体" w:cs="宋体"/>
                <w:kern w:val="0"/>
                <w:sz w:val="24"/>
                <w:szCs w:val="24"/>
              </w:rPr>
              <w:t>谈判采购</w:t>
            </w:r>
            <w:r>
              <w:rPr>
                <w:rFonts w:hint="eastAsia" w:ascii="宋体" w:hAnsi="宋体" w:cs="宋体"/>
                <w:kern w:val="0"/>
                <w:sz w:val="24"/>
                <w:szCs w:val="24"/>
              </w:rPr>
              <w:t>文件的响应程度审查</w:t>
            </w:r>
          </w:p>
        </w:tc>
        <w:tc>
          <w:tcPr>
            <w:tcW w:w="1850" w:type="dxa"/>
            <w:noWrap w:val="0"/>
            <w:vAlign w:val="center"/>
          </w:tcPr>
          <w:p>
            <w:pPr>
              <w:rPr>
                <w:rFonts w:ascii="宋体" w:hAnsi="宋体" w:cs="宋体"/>
                <w:kern w:val="0"/>
                <w:sz w:val="24"/>
                <w:szCs w:val="24"/>
              </w:rPr>
            </w:pPr>
            <w:r>
              <w:rPr>
                <w:rFonts w:hint="eastAsia" w:ascii="宋体" w:hAnsi="宋体" w:cs="宋体"/>
                <w:kern w:val="0"/>
                <w:sz w:val="24"/>
                <w:szCs w:val="24"/>
              </w:rPr>
              <w:t>响应文件内容</w:t>
            </w:r>
          </w:p>
        </w:tc>
        <w:tc>
          <w:tcPr>
            <w:tcW w:w="5375" w:type="dxa"/>
            <w:noWrap w:val="0"/>
            <w:vAlign w:val="center"/>
          </w:tcPr>
          <w:p>
            <w:pPr>
              <w:pStyle w:val="7"/>
              <w:rPr>
                <w:rFonts w:ascii="宋体" w:hAnsi="宋体" w:cs="宋体"/>
                <w:kern w:val="0"/>
                <w:sz w:val="24"/>
                <w:szCs w:val="24"/>
              </w:rPr>
            </w:pPr>
            <w:r>
              <w:rPr>
                <w:rFonts w:hint="eastAsia" w:ascii="宋体" w:hAnsi="宋体" w:cs="宋体"/>
                <w:kern w:val="0"/>
                <w:sz w:val="24"/>
                <w:szCs w:val="24"/>
              </w:rPr>
              <w:t>满足对谈判采购文件规定的谈判内容，并作出响应。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853" w:type="dxa"/>
            <w:vMerge w:val="continue"/>
            <w:noWrap w:val="0"/>
            <w:vAlign w:val="center"/>
          </w:tcPr>
          <w:p>
            <w:pPr>
              <w:jc w:val="center"/>
              <w:rPr>
                <w:rFonts w:ascii="宋体" w:hAnsi="宋体" w:cs="宋体"/>
                <w:kern w:val="0"/>
                <w:sz w:val="24"/>
                <w:szCs w:val="24"/>
              </w:rPr>
            </w:pPr>
          </w:p>
        </w:tc>
        <w:tc>
          <w:tcPr>
            <w:tcW w:w="1550" w:type="dxa"/>
            <w:vMerge w:val="continue"/>
            <w:noWrap w:val="0"/>
            <w:vAlign w:val="center"/>
          </w:tcPr>
          <w:p>
            <w:pPr>
              <w:rPr>
                <w:rFonts w:ascii="宋体" w:hAnsi="宋体" w:cs="宋体"/>
                <w:sz w:val="24"/>
                <w:szCs w:val="24"/>
                <w:lang w:val="zh-CN"/>
              </w:rPr>
            </w:pPr>
          </w:p>
        </w:tc>
        <w:tc>
          <w:tcPr>
            <w:tcW w:w="1850" w:type="dxa"/>
            <w:noWrap w:val="0"/>
            <w:vAlign w:val="center"/>
          </w:tcPr>
          <w:p>
            <w:pPr>
              <w:pStyle w:val="7"/>
              <w:rPr>
                <w:rFonts w:hint="eastAsia" w:ascii="宋体" w:hAnsi="宋体" w:cs="宋体"/>
                <w:kern w:val="0"/>
                <w:sz w:val="24"/>
                <w:szCs w:val="24"/>
              </w:rPr>
            </w:pPr>
            <w:r>
              <w:rPr>
                <w:rFonts w:hint="eastAsia" w:ascii="宋体" w:hAnsi="宋体" w:cs="宋体"/>
                <w:kern w:val="0"/>
                <w:sz w:val="24"/>
                <w:szCs w:val="24"/>
              </w:rPr>
              <w:t>谈判有效期</w:t>
            </w:r>
          </w:p>
        </w:tc>
        <w:tc>
          <w:tcPr>
            <w:tcW w:w="5375" w:type="dxa"/>
            <w:noWrap w:val="0"/>
            <w:vAlign w:val="center"/>
          </w:tcPr>
          <w:p>
            <w:pPr>
              <w:pStyle w:val="7"/>
              <w:rPr>
                <w:rFonts w:hint="eastAsia" w:ascii="宋体" w:hAnsi="宋体" w:cs="宋体"/>
                <w:kern w:val="0"/>
                <w:sz w:val="24"/>
                <w:szCs w:val="24"/>
              </w:rPr>
            </w:pPr>
            <w:r>
              <w:rPr>
                <w:rFonts w:hint="eastAsia" w:ascii="宋体" w:hAnsi="宋体" w:cs="宋体"/>
                <w:kern w:val="0"/>
                <w:sz w:val="24"/>
                <w:szCs w:val="24"/>
              </w:rPr>
              <w:t>满足</w:t>
            </w:r>
            <w:r>
              <w:rPr>
                <w:rFonts w:hint="eastAsia" w:ascii="宋体" w:hAnsi="宋体" w:cs="宋体"/>
                <w:kern w:val="0"/>
                <w:sz w:val="24"/>
                <w:szCs w:val="24"/>
                <w:lang w:eastAsia="zh-CN"/>
              </w:rPr>
              <w:t>谈判采购文件</w:t>
            </w:r>
            <w:r>
              <w:rPr>
                <w:rFonts w:hint="eastAsia" w:ascii="宋体" w:hAnsi="宋体" w:cs="宋体"/>
                <w:kern w:val="0"/>
                <w:sz w:val="24"/>
                <w:szCs w:val="24"/>
                <w:lang w:val="zh-CN"/>
              </w:rPr>
              <w:t>规定。</w:t>
            </w:r>
          </w:p>
        </w:tc>
      </w:tr>
    </w:tbl>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Cs/>
          <w:kern w:val="2"/>
          <w:sz w:val="24"/>
          <w:shd w:val="clear" w:color="auto" w:fill="FFFFFF"/>
          <w:lang w:val="en-US" w:eastAsia="zh-CN" w:bidi="ar-SA"/>
        </w:rPr>
      </w:pPr>
      <w:r>
        <w:rPr>
          <w:rFonts w:hint="eastAsia" w:ascii="宋体" w:hAnsi="宋体" w:eastAsia="宋体" w:cs="宋体"/>
          <w:b/>
          <w:bCs w:val="0"/>
          <w:kern w:val="2"/>
          <w:sz w:val="24"/>
          <w:shd w:val="clear" w:color="auto" w:fill="FFFFFF"/>
          <w:lang w:val="en-US" w:eastAsia="zh-CN" w:bidi="ar-SA"/>
        </w:rPr>
        <w:t>注：</w:t>
      </w:r>
      <w:r>
        <w:rPr>
          <w:rFonts w:hint="eastAsia" w:ascii="宋体" w:hAnsi="宋体" w:eastAsia="宋体" w:cs="宋体"/>
          <w:bCs/>
          <w:kern w:val="2"/>
          <w:sz w:val="24"/>
          <w:shd w:val="clear" w:color="auto" w:fill="FFFFFF"/>
          <w:lang w:val="en-US" w:eastAsia="zh-CN" w:bidi="ar-SA"/>
        </w:rPr>
        <w:t>在符合性检查时，如发现上列情形之一的，响应文件将被视为无效。</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sz w:val="24"/>
          <w:szCs w:val="24"/>
        </w:rPr>
      </w:pPr>
      <w:r>
        <w:rPr>
          <w:rFonts w:hint="eastAsia" w:ascii="宋体" w:hAnsi="宋体" w:cs="宋体"/>
          <w:sz w:val="24"/>
          <w:szCs w:val="24"/>
        </w:rPr>
        <w:t>（三）澄清有关问题。谈判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sz w:val="24"/>
          <w:szCs w:val="24"/>
        </w:rPr>
      </w:pPr>
      <w:r>
        <w:rPr>
          <w:rFonts w:hint="eastAsia" w:ascii="宋体" w:hAnsi="宋体" w:cs="宋体"/>
          <w:sz w:val="24"/>
          <w:szCs w:val="24"/>
        </w:rPr>
        <w:t>（四）谈判小组要求供应商澄清、说明或者更正响应文件应当以书面形式作出。供应商的澄清、说明或者更正应当由法定代表人或其授权代表签字或者加盖公章。由授权代表签字的，应当附法定代表人授权书。</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sz w:val="24"/>
          <w:szCs w:val="24"/>
        </w:rPr>
      </w:pPr>
      <w:r>
        <w:rPr>
          <w:rFonts w:hint="eastAsia" w:ascii="宋体" w:hAnsi="宋体" w:cs="宋体"/>
          <w:sz w:val="24"/>
          <w:szCs w:val="24"/>
        </w:rPr>
        <w:t>（五）在谈判过程中谈判的任何一方不得向他人透露与谈判有关的技术资料、价格或其他信息。</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sz w:val="24"/>
          <w:szCs w:val="24"/>
        </w:rPr>
      </w:pPr>
      <w:r>
        <w:rPr>
          <w:rFonts w:hint="eastAsia" w:ascii="宋体" w:hAnsi="宋体" w:cs="宋体"/>
          <w:sz w:val="24"/>
          <w:szCs w:val="24"/>
        </w:rPr>
        <w:t>（六）在谈判过程中，谈判小组可以根据谈判采购文件和谈判情况实质性变动采购需求中的技术、服务要求以及合同草案条款，但不得变动谈判采购文件中的其他内容。实质性变动的内容，须经采购人代表确认。对谈判采购文件作出的实质性变动是谈判采购文件的有效组成部分，谈判小组应当及时以书面形式同时通知所有参加谈判的供应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sz w:val="24"/>
          <w:szCs w:val="24"/>
        </w:rPr>
      </w:pPr>
      <w:r>
        <w:rPr>
          <w:rFonts w:hint="eastAsia" w:ascii="宋体" w:hAnsi="宋体" w:cs="宋体"/>
          <w:sz w:val="24"/>
          <w:szCs w:val="24"/>
        </w:rPr>
        <w:t>（七）供应商在谈判时作出的所有书面承诺须由法定代表人或其授权代表签字。</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sz w:val="24"/>
          <w:szCs w:val="24"/>
        </w:rPr>
      </w:pPr>
      <w:r>
        <w:rPr>
          <w:rFonts w:hint="eastAsia" w:ascii="宋体" w:hAnsi="宋体" w:cs="宋体"/>
          <w:sz w:val="24"/>
          <w:szCs w:val="24"/>
        </w:rPr>
        <w:t>（八）经谈判确定最终采购需求且谈判结束后，供应商应当按照谈判采购文件的变动情况和谈判小组的要求重新提交响应文件或重新做出相关的书面承诺，最后书面提交最后报价及有关承诺（填写《最后报价表》并密封提交）。已提交响应文件但未在规定时间内进行最后报价的供应商，视为放弃最后报价，以供应商响应文件中的报价为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sz w:val="24"/>
          <w:szCs w:val="24"/>
        </w:rPr>
      </w:pPr>
      <w:r>
        <w:rPr>
          <w:rFonts w:hint="eastAsia" w:ascii="宋体" w:hAnsi="宋体" w:cs="宋体"/>
          <w:sz w:val="24"/>
          <w:szCs w:val="24"/>
        </w:rPr>
        <w:t>（九）谈判小组采用综合评分法</w:t>
      </w:r>
      <w:r>
        <w:rPr>
          <w:rFonts w:hint="eastAsia" w:ascii="宋体" w:hAnsi="宋体" w:cs="宋体"/>
          <w:sz w:val="24"/>
          <w:szCs w:val="24"/>
          <w:lang w:eastAsia="zh-CN"/>
        </w:rPr>
        <w:t>，</w:t>
      </w:r>
      <w:r>
        <w:rPr>
          <w:rFonts w:hint="eastAsia" w:ascii="宋体" w:hAnsi="宋体" w:cs="宋体"/>
          <w:sz w:val="24"/>
          <w:szCs w:val="24"/>
        </w:rPr>
        <w:t>对提交最后报价的供应商的响应文件和最后报价（含有效书面承诺）进行综合评分。综合评分法，是指响应文件满足谈判采购文件全部实质性要求且按照评审因素的量化指标评审得分最高的供应商为成交候选供应商的评审方法。供应商总得分为价格、</w:t>
      </w:r>
      <w:r>
        <w:rPr>
          <w:rFonts w:hint="eastAsia" w:ascii="宋体" w:hAnsi="宋体" w:cs="宋体"/>
          <w:sz w:val="24"/>
          <w:szCs w:val="24"/>
          <w:lang w:val="en-US" w:eastAsia="zh-CN"/>
        </w:rPr>
        <w:t>商务</w:t>
      </w:r>
      <w:r>
        <w:rPr>
          <w:rFonts w:hint="eastAsia" w:ascii="宋体" w:hAnsi="宋体" w:cs="宋体"/>
          <w:sz w:val="24"/>
          <w:szCs w:val="24"/>
        </w:rPr>
        <w:t>、技术等评定因素分别按照相应权重值计算分项得分后相加，满分为100分。（详见评审标准）。</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cs="宋体"/>
          <w:sz w:val="24"/>
          <w:szCs w:val="24"/>
        </w:rPr>
      </w:pPr>
      <w:r>
        <w:rPr>
          <w:rFonts w:hint="eastAsia" w:ascii="宋体" w:hAnsi="宋体" w:cs="宋体"/>
          <w:sz w:val="24"/>
          <w:szCs w:val="24"/>
        </w:rPr>
        <w:t>（十）谈判小组各成员独立对每个实质性响应文件进行评价、打分，然后汇总每个供应商每项评分因素的得分，并根据综合评分情况按照评审得分由高到低顺序推荐成交候选供应商，并编写评审报告。若供应商的评审得分相同的，按照最后报价由低到高的顺序排列推荐。评审得分且最后报价相同的，按照服务指标优劣顺序排列推荐。</w:t>
      </w:r>
      <w:bookmarkStart w:id="4" w:name="_Toc9232"/>
      <w:bookmarkStart w:id="5" w:name="_Toc11424"/>
      <w:bookmarkStart w:id="6" w:name="_Toc24890"/>
      <w:bookmarkStart w:id="7" w:name="_Toc12906"/>
    </w:p>
    <w:p>
      <w:pPr>
        <w:pStyle w:val="6"/>
        <w:keepNext/>
        <w:keepLines/>
        <w:pageBreakBefore w:val="0"/>
        <w:widowControl w:val="0"/>
        <w:kinsoku/>
        <w:wordWrap/>
        <w:overflowPunct/>
        <w:topLinePunct w:val="0"/>
        <w:autoSpaceDE/>
        <w:autoSpaceDN/>
        <w:bidi w:val="0"/>
        <w:adjustRightInd/>
        <w:snapToGrid/>
        <w:spacing w:before="0" w:after="157" w:afterLines="50" w:line="600" w:lineRule="exact"/>
        <w:ind w:firstLine="482" w:firstLineChars="200"/>
        <w:textAlignment w:val="auto"/>
        <w:outlineLvl w:val="1"/>
        <w:rPr>
          <w:rFonts w:hint="eastAsia" w:ascii="宋体" w:hAnsi="宋体" w:cs="宋体"/>
          <w:sz w:val="24"/>
          <w:szCs w:val="24"/>
          <w:lang w:eastAsia="zh-CN"/>
        </w:rPr>
      </w:pPr>
    </w:p>
    <w:p>
      <w:pPr>
        <w:rPr>
          <w:rFonts w:hint="eastAsia" w:ascii="宋体" w:hAnsi="宋体" w:cs="宋体"/>
          <w:sz w:val="24"/>
          <w:szCs w:val="24"/>
          <w:lang w:eastAsia="zh-CN"/>
        </w:rPr>
      </w:pPr>
    </w:p>
    <w:p>
      <w:pPr>
        <w:pStyle w:val="2"/>
        <w:rPr>
          <w:rFonts w:hint="eastAsia" w:ascii="宋体" w:hAnsi="宋体" w:cs="宋体"/>
          <w:sz w:val="24"/>
          <w:szCs w:val="24"/>
          <w:lang w:eastAsia="zh-CN"/>
        </w:rPr>
      </w:pPr>
    </w:p>
    <w:p>
      <w:pPr>
        <w:rPr>
          <w:rFonts w:hint="eastAsia" w:ascii="宋体" w:hAnsi="宋体" w:cs="宋体"/>
          <w:sz w:val="24"/>
          <w:szCs w:val="24"/>
          <w:lang w:eastAsia="zh-CN"/>
        </w:rPr>
      </w:pPr>
    </w:p>
    <w:p>
      <w:pPr>
        <w:pStyle w:val="2"/>
        <w:rPr>
          <w:rFonts w:hint="eastAsia" w:ascii="宋体" w:hAnsi="宋体" w:cs="宋体"/>
          <w:sz w:val="24"/>
          <w:szCs w:val="24"/>
          <w:lang w:eastAsia="zh-CN"/>
        </w:rPr>
      </w:pPr>
    </w:p>
    <w:p>
      <w:pPr>
        <w:pStyle w:val="6"/>
        <w:keepNext/>
        <w:keepLines/>
        <w:pageBreakBefore w:val="0"/>
        <w:widowControl w:val="0"/>
        <w:kinsoku/>
        <w:wordWrap/>
        <w:overflowPunct/>
        <w:topLinePunct w:val="0"/>
        <w:autoSpaceDE/>
        <w:autoSpaceDN/>
        <w:bidi w:val="0"/>
        <w:adjustRightInd/>
        <w:snapToGrid/>
        <w:spacing w:before="0" w:after="0" w:line="360" w:lineRule="auto"/>
        <w:textAlignment w:val="auto"/>
        <w:outlineLvl w:val="1"/>
        <w:rPr>
          <w:rFonts w:hint="eastAsia" w:ascii="宋体" w:hAnsi="宋体" w:cs="宋体"/>
          <w:sz w:val="24"/>
          <w:szCs w:val="24"/>
          <w:lang w:eastAsia="zh-CN"/>
        </w:rPr>
      </w:pPr>
      <w:r>
        <w:rPr>
          <w:rFonts w:hint="eastAsia" w:ascii="宋体" w:hAnsi="宋体" w:cs="宋体"/>
          <w:sz w:val="24"/>
          <w:szCs w:val="24"/>
          <w:lang w:eastAsia="zh-CN"/>
        </w:rPr>
        <w:t>二、</w:t>
      </w:r>
      <w:bookmarkStart w:id="8" w:name="_Toc102227320"/>
      <w:bookmarkStart w:id="9" w:name="_Toc342913394"/>
      <w:r>
        <w:rPr>
          <w:rFonts w:hint="eastAsia" w:ascii="宋体" w:hAnsi="宋体" w:cs="宋体"/>
          <w:sz w:val="24"/>
          <w:szCs w:val="24"/>
          <w:lang w:eastAsia="zh-CN"/>
        </w:rPr>
        <w:t>评审标准</w:t>
      </w:r>
      <w:bookmarkEnd w:id="4"/>
      <w:bookmarkEnd w:id="5"/>
      <w:bookmarkEnd w:id="6"/>
      <w:bookmarkEnd w:id="7"/>
    </w:p>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color w:val="000000"/>
          <w:sz w:val="24"/>
          <w:szCs w:val="24"/>
          <w:lang w:val="en-US" w:eastAsia="zh-CN"/>
        </w:rPr>
      </w:pPr>
      <w:r>
        <w:rPr>
          <w:rFonts w:hint="eastAsia" w:ascii="宋体" w:hAnsi="宋体" w:eastAsia="宋体" w:cs="宋体"/>
          <w:b/>
          <w:bCs/>
          <w:color w:val="000000"/>
          <w:sz w:val="24"/>
          <w:szCs w:val="24"/>
          <w:lang w:val="en-US" w:eastAsia="zh-CN"/>
        </w:rPr>
        <w:t>价格、商务及技术评审标准及分值分配表（满分100分）</w:t>
      </w:r>
    </w:p>
    <w:tbl>
      <w:tblPr>
        <w:tblStyle w:val="8"/>
        <w:tblW w:w="97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3"/>
        <w:gridCol w:w="1138"/>
        <w:gridCol w:w="74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jc w:val="center"/>
        </w:trPr>
        <w:tc>
          <w:tcPr>
            <w:tcW w:w="1193" w:type="dxa"/>
            <w:noWrap w:val="0"/>
            <w:vAlign w:val="center"/>
          </w:tcPr>
          <w:p>
            <w:pPr>
              <w:tabs>
                <w:tab w:val="left" w:pos="426"/>
              </w:tabs>
              <w:spacing w:line="312" w:lineRule="auto"/>
              <w:jc w:val="center"/>
              <w:rPr>
                <w:rFonts w:hint="eastAsia" w:ascii="宋体" w:hAnsi="宋体" w:eastAsia="宋体" w:cs="宋体"/>
                <w:b/>
                <w:bCs/>
                <w:sz w:val="24"/>
                <w:szCs w:val="24"/>
              </w:rPr>
            </w:pPr>
            <w:r>
              <w:rPr>
                <w:rFonts w:hint="eastAsia" w:ascii="宋体" w:hAnsi="宋体" w:eastAsia="宋体" w:cs="宋体"/>
                <w:b/>
                <w:bCs/>
                <w:sz w:val="24"/>
                <w:szCs w:val="24"/>
              </w:rPr>
              <w:t>评审内容</w:t>
            </w:r>
          </w:p>
        </w:tc>
        <w:tc>
          <w:tcPr>
            <w:tcW w:w="1138" w:type="dxa"/>
            <w:noWrap w:val="0"/>
            <w:vAlign w:val="center"/>
          </w:tcPr>
          <w:p>
            <w:pPr>
              <w:tabs>
                <w:tab w:val="left" w:pos="426"/>
              </w:tabs>
              <w:spacing w:line="312" w:lineRule="auto"/>
              <w:jc w:val="center"/>
              <w:rPr>
                <w:rFonts w:hint="eastAsia" w:ascii="宋体" w:hAnsi="宋体" w:eastAsia="宋体" w:cs="宋体"/>
                <w:b/>
                <w:bCs/>
                <w:sz w:val="24"/>
                <w:szCs w:val="24"/>
              </w:rPr>
            </w:pPr>
            <w:r>
              <w:rPr>
                <w:rFonts w:hint="eastAsia" w:ascii="宋体" w:hAnsi="宋体" w:eastAsia="宋体" w:cs="宋体"/>
                <w:b/>
                <w:bCs/>
                <w:sz w:val="24"/>
                <w:szCs w:val="24"/>
              </w:rPr>
              <w:t>分值</w:t>
            </w:r>
          </w:p>
        </w:tc>
        <w:tc>
          <w:tcPr>
            <w:tcW w:w="7454" w:type="dxa"/>
            <w:noWrap w:val="0"/>
            <w:vAlign w:val="center"/>
          </w:tcPr>
          <w:p>
            <w:pPr>
              <w:tabs>
                <w:tab w:val="left" w:pos="426"/>
              </w:tabs>
              <w:spacing w:line="312" w:lineRule="auto"/>
              <w:jc w:val="center"/>
              <w:rPr>
                <w:rFonts w:hint="eastAsia" w:ascii="宋体" w:hAnsi="宋体" w:eastAsia="宋体" w:cs="宋体"/>
                <w:b/>
                <w:bCs/>
                <w:sz w:val="24"/>
                <w:szCs w:val="24"/>
              </w:rPr>
            </w:pPr>
            <w:r>
              <w:rPr>
                <w:rFonts w:hint="eastAsia" w:ascii="宋体" w:hAnsi="宋体" w:eastAsia="宋体" w:cs="宋体"/>
                <w:b/>
                <w:bCs/>
                <w:sz w:val="24"/>
                <w:szCs w:val="24"/>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7" w:hRule="atLeast"/>
          <w:jc w:val="center"/>
        </w:trPr>
        <w:tc>
          <w:tcPr>
            <w:tcW w:w="1193" w:type="dxa"/>
            <w:noWrap w:val="0"/>
            <w:vAlign w:val="center"/>
          </w:tcPr>
          <w:p>
            <w:pPr>
              <w:tabs>
                <w:tab w:val="left" w:pos="426"/>
              </w:tabs>
              <w:spacing w:line="312" w:lineRule="auto"/>
              <w:jc w:val="center"/>
              <w:rPr>
                <w:rFonts w:hint="eastAsia" w:ascii="宋体" w:hAnsi="宋体" w:eastAsia="宋体" w:cs="宋体"/>
                <w:sz w:val="24"/>
                <w:szCs w:val="24"/>
              </w:rPr>
            </w:pPr>
            <w:r>
              <w:rPr>
                <w:rFonts w:hint="eastAsia" w:ascii="宋体" w:hAnsi="宋体" w:eastAsia="宋体" w:cs="宋体"/>
                <w:sz w:val="24"/>
                <w:szCs w:val="24"/>
              </w:rPr>
              <w:t>价格部分</w:t>
            </w:r>
            <w:r>
              <w:rPr>
                <w:rFonts w:hint="eastAsia" w:ascii="宋体" w:hAnsi="宋体" w:eastAsia="宋体" w:cs="宋体"/>
                <w:sz w:val="24"/>
                <w:szCs w:val="24"/>
                <w:lang w:val="en-US" w:eastAsia="zh-CN"/>
              </w:rPr>
              <w:t>（30分）</w:t>
            </w:r>
          </w:p>
        </w:tc>
        <w:tc>
          <w:tcPr>
            <w:tcW w:w="1138" w:type="dxa"/>
            <w:noWrap w:val="0"/>
            <w:vAlign w:val="center"/>
          </w:tcPr>
          <w:p>
            <w:pPr>
              <w:tabs>
                <w:tab w:val="left" w:pos="426"/>
              </w:tabs>
              <w:spacing w:line="312" w:lineRule="auto"/>
              <w:jc w:val="center"/>
              <w:rPr>
                <w:rFonts w:hint="eastAsia" w:ascii="宋体" w:hAnsi="宋体" w:eastAsia="宋体" w:cs="宋体"/>
                <w:sz w:val="24"/>
                <w:szCs w:val="24"/>
              </w:rPr>
            </w:pPr>
            <w:r>
              <w:rPr>
                <w:rFonts w:hint="eastAsia" w:ascii="宋体" w:hAnsi="宋体" w:eastAsia="宋体" w:cs="宋体"/>
                <w:sz w:val="24"/>
                <w:szCs w:val="24"/>
              </w:rPr>
              <w:t>投标报价</w:t>
            </w:r>
            <w:r>
              <w:rPr>
                <w:rFonts w:hint="eastAsia" w:ascii="宋体" w:hAnsi="宋体" w:eastAsia="宋体" w:cs="宋体"/>
                <w:sz w:val="24"/>
                <w:szCs w:val="24"/>
                <w:lang w:val="en-US" w:eastAsia="zh-CN"/>
              </w:rPr>
              <w:t>（满分30分）</w:t>
            </w:r>
          </w:p>
        </w:tc>
        <w:tc>
          <w:tcPr>
            <w:tcW w:w="7454" w:type="dxa"/>
            <w:noWrap w:val="0"/>
            <w:vAlign w:val="center"/>
          </w:tcPr>
          <w:p>
            <w:pPr>
              <w:tabs>
                <w:tab w:val="left" w:pos="426"/>
              </w:tabs>
              <w:spacing w:line="312" w:lineRule="auto"/>
              <w:jc w:val="left"/>
              <w:rPr>
                <w:rFonts w:hint="eastAsia" w:ascii="宋体" w:hAnsi="宋体" w:eastAsia="宋体" w:cs="宋体"/>
                <w:bCs/>
                <w:sz w:val="24"/>
                <w:szCs w:val="24"/>
                <w:lang w:val="en-US" w:eastAsia="zh-CN"/>
              </w:rPr>
            </w:pPr>
            <w:r>
              <w:rPr>
                <w:rFonts w:hint="eastAsia" w:ascii="宋体" w:hAnsi="宋体" w:eastAsia="宋体" w:cs="宋体"/>
                <w:bCs/>
                <w:sz w:val="24"/>
                <w:szCs w:val="24"/>
                <w:lang w:val="en-US" w:eastAsia="zh-CN"/>
              </w:rPr>
              <w:t>价格分统一采用低价优先法计算，即满足招标文件要求且有效投标报价最低的投标人的价格为投标基准价，其价格分为满分。其他投标人的价格分统一按照下列公式计算：</w:t>
            </w:r>
          </w:p>
          <w:p>
            <w:pPr>
              <w:tabs>
                <w:tab w:val="left" w:pos="426"/>
              </w:tabs>
              <w:spacing w:line="312" w:lineRule="auto"/>
              <w:jc w:val="left"/>
              <w:rPr>
                <w:rFonts w:hint="eastAsia" w:ascii="宋体" w:hAnsi="宋体" w:eastAsia="宋体" w:cs="宋体"/>
                <w:bCs/>
                <w:sz w:val="24"/>
                <w:szCs w:val="24"/>
                <w:lang w:val="en-US" w:eastAsia="zh-CN"/>
              </w:rPr>
            </w:pPr>
            <w:r>
              <w:rPr>
                <w:rFonts w:hint="eastAsia" w:ascii="宋体" w:hAnsi="宋体" w:eastAsia="宋体" w:cs="宋体"/>
                <w:bCs/>
                <w:sz w:val="24"/>
                <w:szCs w:val="24"/>
                <w:lang w:val="en-US" w:eastAsia="zh-CN"/>
              </w:rPr>
              <w:t>投标报价得分=（投标基准价/有效的投标报价）×30</w:t>
            </w:r>
          </w:p>
          <w:p>
            <w:pPr>
              <w:tabs>
                <w:tab w:val="left" w:pos="426"/>
              </w:tabs>
              <w:spacing w:line="312" w:lineRule="auto"/>
              <w:jc w:val="left"/>
              <w:rPr>
                <w:rFonts w:hint="eastAsia" w:ascii="宋体" w:hAnsi="宋体" w:eastAsia="宋体" w:cs="宋体"/>
                <w:bCs/>
                <w:sz w:val="24"/>
                <w:szCs w:val="24"/>
                <w:lang w:val="en-US" w:eastAsia="zh-CN"/>
              </w:rPr>
            </w:pPr>
            <w:r>
              <w:rPr>
                <w:rFonts w:hint="eastAsia" w:ascii="宋体" w:hAnsi="宋体" w:eastAsia="宋体" w:cs="宋体"/>
                <w:bCs/>
                <w:sz w:val="24"/>
                <w:szCs w:val="24"/>
                <w:lang w:val="en-US" w:eastAsia="zh-CN"/>
              </w:rPr>
              <w:t>注：（1）项目评审过程中，不得去掉报价中的最高报价和最低报价。</w:t>
            </w:r>
          </w:p>
          <w:p>
            <w:pPr>
              <w:tabs>
                <w:tab w:val="left" w:pos="426"/>
              </w:tabs>
              <w:spacing w:line="312" w:lineRule="auto"/>
              <w:jc w:val="left"/>
              <w:rPr>
                <w:rFonts w:hint="eastAsia" w:ascii="宋体" w:hAnsi="宋体" w:eastAsia="宋体" w:cs="宋体"/>
                <w:bCs/>
                <w:sz w:val="24"/>
                <w:szCs w:val="24"/>
                <w:lang w:val="en-US" w:eastAsia="zh-CN"/>
              </w:rPr>
            </w:pPr>
            <w:r>
              <w:rPr>
                <w:rFonts w:hint="eastAsia" w:ascii="宋体" w:hAnsi="宋体" w:eastAsia="宋体" w:cs="宋体"/>
                <w:bCs/>
                <w:sz w:val="24"/>
                <w:szCs w:val="24"/>
                <w:lang w:val="en-US" w:eastAsia="zh-CN"/>
              </w:rPr>
              <w:t>（2）计算出的最后投标报价得分保留小数点后两位。</w:t>
            </w:r>
          </w:p>
          <w:p>
            <w:pPr>
              <w:tabs>
                <w:tab w:val="left" w:pos="426"/>
              </w:tabs>
              <w:spacing w:line="312" w:lineRule="auto"/>
              <w:jc w:val="left"/>
              <w:rPr>
                <w:rFonts w:hint="eastAsia" w:ascii="宋体" w:hAnsi="宋体" w:eastAsia="宋体" w:cs="宋体"/>
                <w:bCs/>
                <w:sz w:val="24"/>
                <w:szCs w:val="24"/>
                <w:lang w:val="en-US" w:eastAsia="zh-CN"/>
              </w:rPr>
            </w:pPr>
            <w:r>
              <w:rPr>
                <w:rFonts w:hint="eastAsia" w:ascii="宋体" w:hAnsi="宋体" w:eastAsia="宋体" w:cs="宋体"/>
                <w:bCs/>
                <w:sz w:val="24"/>
                <w:szCs w:val="24"/>
                <w:lang w:val="en-US" w:eastAsia="zh-CN"/>
              </w:rPr>
              <w:t>（3）有效投标报价是指通过资格审查、符合性评审投标人的报价。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1193" w:type="dxa"/>
            <w:vMerge w:val="restart"/>
            <w:noWrap w:val="0"/>
            <w:vAlign w:val="center"/>
          </w:tcPr>
          <w:p>
            <w:pPr>
              <w:tabs>
                <w:tab w:val="left" w:pos="426"/>
              </w:tabs>
              <w:spacing w:line="312" w:lineRule="auto"/>
              <w:jc w:val="center"/>
              <w:rPr>
                <w:rFonts w:hint="eastAsia" w:ascii="宋体" w:hAnsi="宋体" w:eastAsia="宋体" w:cs="宋体"/>
                <w:sz w:val="24"/>
                <w:szCs w:val="24"/>
              </w:rPr>
            </w:pPr>
            <w:r>
              <w:rPr>
                <w:rFonts w:hint="eastAsia" w:ascii="宋体" w:hAnsi="宋体" w:eastAsia="宋体" w:cs="宋体"/>
                <w:sz w:val="24"/>
                <w:szCs w:val="24"/>
              </w:rPr>
              <w:t>商务</w:t>
            </w:r>
            <w:r>
              <w:rPr>
                <w:rFonts w:hint="eastAsia" w:ascii="宋体" w:hAnsi="宋体" w:eastAsia="宋体" w:cs="宋体"/>
                <w:sz w:val="24"/>
                <w:szCs w:val="24"/>
                <w:lang w:val="en-US" w:eastAsia="zh-CN"/>
              </w:rPr>
              <w:t>及技术</w:t>
            </w:r>
            <w:r>
              <w:rPr>
                <w:rFonts w:hint="eastAsia" w:ascii="宋体" w:hAnsi="宋体" w:eastAsia="宋体" w:cs="宋体"/>
                <w:sz w:val="24"/>
                <w:szCs w:val="24"/>
              </w:rPr>
              <w:t>部分</w:t>
            </w:r>
          </w:p>
          <w:p>
            <w:pPr>
              <w:tabs>
                <w:tab w:val="left" w:pos="426"/>
              </w:tabs>
              <w:spacing w:line="312" w:lineRule="auto"/>
              <w:jc w:val="center"/>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eastAsia="宋体" w:cs="宋体"/>
                <w:sz w:val="24"/>
                <w:szCs w:val="24"/>
                <w:lang w:val="en-US" w:eastAsia="zh-CN"/>
              </w:rPr>
              <w:t>70</w:t>
            </w:r>
            <w:r>
              <w:rPr>
                <w:rFonts w:hint="eastAsia" w:ascii="宋体" w:hAnsi="宋体" w:eastAsia="宋体" w:cs="宋体"/>
                <w:sz w:val="24"/>
                <w:szCs w:val="24"/>
              </w:rPr>
              <w:t>分）</w:t>
            </w:r>
          </w:p>
        </w:tc>
        <w:tc>
          <w:tcPr>
            <w:tcW w:w="1138" w:type="dxa"/>
            <w:noWrap w:val="0"/>
            <w:vAlign w:val="center"/>
          </w:tcPr>
          <w:p>
            <w:pPr>
              <w:tabs>
                <w:tab w:val="left" w:pos="426"/>
              </w:tabs>
              <w:spacing w:line="312" w:lineRule="auto"/>
              <w:jc w:val="center"/>
              <w:rPr>
                <w:rFonts w:hint="eastAsia" w:ascii="宋体" w:hAnsi="宋体" w:eastAsia="宋体" w:cs="宋体"/>
                <w:sz w:val="24"/>
                <w:szCs w:val="24"/>
                <w:lang w:val="en-US" w:eastAsia="zh-CN"/>
              </w:rPr>
            </w:pPr>
            <w:r>
              <w:rPr>
                <w:rFonts w:hint="eastAsia" w:ascii="宋体" w:hAnsi="宋体" w:eastAsia="宋体" w:cs="宋体"/>
                <w:sz w:val="24"/>
                <w:szCs w:val="24"/>
              </w:rPr>
              <w:t>投标货物</w:t>
            </w:r>
            <w:r>
              <w:rPr>
                <w:rFonts w:hint="eastAsia" w:ascii="宋体" w:hAnsi="宋体" w:eastAsia="宋体" w:cs="宋体"/>
                <w:sz w:val="24"/>
                <w:szCs w:val="24"/>
                <w:lang w:val="en-US" w:eastAsia="zh-CN"/>
              </w:rPr>
              <w:t>技术指标响应（满分40分）</w:t>
            </w:r>
          </w:p>
        </w:tc>
        <w:tc>
          <w:tcPr>
            <w:tcW w:w="7454" w:type="dxa"/>
            <w:noWrap w:val="0"/>
            <w:vAlign w:val="center"/>
          </w:tcPr>
          <w:p>
            <w:pPr>
              <w:tabs>
                <w:tab w:val="left" w:pos="426"/>
              </w:tabs>
              <w:spacing w:line="312" w:lineRule="auto"/>
              <w:jc w:val="left"/>
              <w:rPr>
                <w:rFonts w:hint="eastAsia" w:ascii="宋体" w:hAnsi="宋体" w:eastAsia="宋体" w:cs="宋体"/>
                <w:bCs/>
                <w:sz w:val="24"/>
                <w:szCs w:val="24"/>
                <w:lang w:val="en-US" w:eastAsia="zh-CN"/>
              </w:rPr>
            </w:pPr>
            <w:r>
              <w:rPr>
                <w:rFonts w:hint="eastAsia" w:ascii="宋体" w:hAnsi="宋体" w:eastAsia="宋体" w:cs="宋体"/>
                <w:bCs/>
                <w:sz w:val="24"/>
                <w:szCs w:val="24"/>
                <w:lang w:val="en-US" w:eastAsia="zh-CN"/>
              </w:rPr>
              <w:t>（1）满足</w:t>
            </w:r>
            <w:r>
              <w:rPr>
                <w:rFonts w:hint="eastAsia" w:ascii="宋体" w:hAnsi="宋体" w:cs="宋体"/>
                <w:bCs/>
                <w:sz w:val="24"/>
                <w:szCs w:val="24"/>
                <w:lang w:val="en-US" w:eastAsia="zh-CN"/>
              </w:rPr>
              <w:t>询比采购文件</w:t>
            </w:r>
            <w:r>
              <w:rPr>
                <w:rFonts w:hint="eastAsia" w:ascii="宋体" w:hAnsi="宋体" w:eastAsia="宋体" w:cs="宋体"/>
                <w:bCs/>
                <w:sz w:val="24"/>
                <w:szCs w:val="24"/>
                <w:lang w:val="en-US" w:eastAsia="zh-CN"/>
              </w:rPr>
              <w:t>第五章采购需求中的所有要求，没有任何负偏离的得40分。</w:t>
            </w:r>
          </w:p>
          <w:p>
            <w:pPr>
              <w:tabs>
                <w:tab w:val="left" w:pos="426"/>
              </w:tabs>
              <w:spacing w:line="312" w:lineRule="auto"/>
              <w:jc w:val="left"/>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2</w:t>
            </w:r>
            <w:r>
              <w:rPr>
                <w:rFonts w:hint="eastAsia" w:ascii="宋体" w:hAnsi="宋体" w:eastAsia="宋体" w:cs="宋体"/>
                <w:sz w:val="24"/>
                <w:szCs w:val="24"/>
                <w:lang w:eastAsia="zh-CN"/>
              </w:rPr>
              <w:t>）</w:t>
            </w:r>
            <w:r>
              <w:rPr>
                <w:rFonts w:hint="eastAsia" w:ascii="宋体" w:hAnsi="宋体" w:eastAsia="宋体" w:cs="宋体"/>
                <w:sz w:val="24"/>
                <w:szCs w:val="24"/>
              </w:rPr>
              <w:t>对</w:t>
            </w:r>
            <w:r>
              <w:rPr>
                <w:rFonts w:hint="eastAsia" w:ascii="宋体" w:hAnsi="宋体" w:eastAsia="宋体" w:cs="宋体"/>
                <w:sz w:val="24"/>
                <w:szCs w:val="24"/>
                <w:lang w:eastAsia="zh-CN"/>
              </w:rPr>
              <w:t>询比文件</w:t>
            </w:r>
            <w:r>
              <w:rPr>
                <w:rFonts w:hint="eastAsia" w:ascii="宋体" w:hAnsi="宋体" w:eastAsia="宋体" w:cs="宋体"/>
                <w:sz w:val="24"/>
                <w:szCs w:val="24"/>
              </w:rPr>
              <w:t>的技术</w:t>
            </w:r>
            <w:r>
              <w:rPr>
                <w:rFonts w:hint="eastAsia" w:ascii="宋体" w:hAnsi="宋体" w:eastAsia="宋体" w:cs="宋体"/>
                <w:sz w:val="24"/>
                <w:szCs w:val="24"/>
                <w:lang w:val="en-US" w:eastAsia="zh-CN"/>
              </w:rPr>
              <w:t>指标有</w:t>
            </w:r>
            <w:r>
              <w:rPr>
                <w:rFonts w:hint="eastAsia" w:ascii="宋体" w:hAnsi="宋体" w:eastAsia="宋体" w:cs="宋体"/>
                <w:sz w:val="24"/>
                <w:szCs w:val="24"/>
              </w:rPr>
              <w:t>负偏离项，但基本能满足使用要求；如有对标记为“</w:t>
            </w:r>
            <w:r>
              <w:rPr>
                <w:rFonts w:hint="eastAsia" w:ascii="宋体" w:hAnsi="宋体" w:eastAsia="宋体" w:cs="宋体"/>
                <w:sz w:val="24"/>
                <w:szCs w:val="24"/>
                <w:lang w:val="en-US" w:eastAsia="zh-CN"/>
              </w:rPr>
              <w:t>★</w:t>
            </w:r>
            <w:r>
              <w:rPr>
                <w:rFonts w:hint="eastAsia" w:ascii="宋体" w:hAnsi="宋体" w:eastAsia="宋体" w:cs="宋体"/>
                <w:sz w:val="24"/>
                <w:szCs w:val="24"/>
              </w:rPr>
              <w:t>”指标的负偏离，每有一项扣</w:t>
            </w:r>
            <w:r>
              <w:rPr>
                <w:rFonts w:hint="eastAsia" w:ascii="宋体" w:hAnsi="宋体" w:cs="宋体"/>
                <w:sz w:val="24"/>
                <w:szCs w:val="24"/>
                <w:lang w:val="en-US" w:eastAsia="zh-CN"/>
              </w:rPr>
              <w:t>2</w:t>
            </w:r>
            <w:r>
              <w:rPr>
                <w:rFonts w:hint="eastAsia" w:ascii="宋体" w:hAnsi="宋体" w:eastAsia="宋体" w:cs="宋体"/>
                <w:sz w:val="24"/>
                <w:szCs w:val="24"/>
              </w:rPr>
              <w:t>分；如有对一般指标的负偏离，每有一项扣</w:t>
            </w:r>
            <w:r>
              <w:rPr>
                <w:rFonts w:hint="eastAsia" w:ascii="宋体" w:hAnsi="宋体" w:cs="宋体"/>
                <w:sz w:val="24"/>
                <w:szCs w:val="24"/>
                <w:lang w:val="en-US" w:eastAsia="zh-CN"/>
              </w:rPr>
              <w:t>1</w:t>
            </w:r>
            <w:r>
              <w:rPr>
                <w:rFonts w:hint="eastAsia" w:ascii="宋体" w:hAnsi="宋体" w:eastAsia="宋体" w:cs="宋体"/>
                <w:sz w:val="24"/>
                <w:szCs w:val="24"/>
              </w:rPr>
              <w:t>分。</w:t>
            </w:r>
          </w:p>
          <w:p>
            <w:pPr>
              <w:tabs>
                <w:tab w:val="left" w:pos="426"/>
              </w:tabs>
              <w:spacing w:line="312" w:lineRule="auto"/>
              <w:jc w:val="left"/>
              <w:rPr>
                <w:rFonts w:hint="eastAsia" w:ascii="宋体" w:hAnsi="宋体" w:eastAsia="宋体" w:cs="宋体"/>
                <w:bCs/>
                <w:sz w:val="24"/>
                <w:szCs w:val="24"/>
                <w:lang w:val="en-US" w:eastAsia="zh-CN"/>
              </w:rPr>
            </w:pPr>
            <w:r>
              <w:rPr>
                <w:rFonts w:hint="eastAsia" w:ascii="宋体" w:hAnsi="宋体" w:eastAsia="宋体" w:cs="宋体"/>
                <w:bCs/>
                <w:sz w:val="24"/>
                <w:szCs w:val="24"/>
                <w:lang w:val="en-US" w:eastAsia="zh-CN"/>
              </w:rPr>
              <w:t>（3）本项评审投标人扣分至5分止，即投标人此项最低得分为5分。</w:t>
            </w:r>
          </w:p>
          <w:p>
            <w:pPr>
              <w:tabs>
                <w:tab w:val="left" w:pos="426"/>
              </w:tabs>
              <w:spacing w:line="312" w:lineRule="auto"/>
              <w:jc w:val="left"/>
              <w:rPr>
                <w:rFonts w:hint="eastAsia" w:ascii="宋体" w:hAnsi="宋体" w:eastAsia="宋体" w:cs="宋体"/>
                <w:bCs/>
                <w:sz w:val="24"/>
                <w:szCs w:val="24"/>
                <w:lang w:val="en-US" w:eastAsia="zh-CN"/>
              </w:rPr>
            </w:pPr>
            <w:r>
              <w:rPr>
                <w:rFonts w:hint="eastAsia" w:ascii="宋体" w:hAnsi="宋体" w:eastAsia="宋体" w:cs="宋体"/>
                <w:bCs/>
                <w:sz w:val="24"/>
                <w:szCs w:val="24"/>
                <w:lang w:val="en-US" w:eastAsia="zh-CN"/>
              </w:rPr>
              <w:t>（4）简单复制</w:t>
            </w:r>
            <w:r>
              <w:rPr>
                <w:rFonts w:hint="eastAsia" w:ascii="宋体" w:hAnsi="宋体" w:cs="宋体"/>
                <w:bCs/>
                <w:sz w:val="24"/>
                <w:szCs w:val="24"/>
                <w:lang w:val="en-US" w:eastAsia="zh-CN"/>
              </w:rPr>
              <w:t>询比采购文件</w:t>
            </w:r>
            <w:r>
              <w:rPr>
                <w:rFonts w:hint="eastAsia" w:ascii="宋体" w:hAnsi="宋体" w:eastAsia="宋体" w:cs="宋体"/>
                <w:bCs/>
                <w:sz w:val="24"/>
                <w:szCs w:val="24"/>
                <w:lang w:val="en-US" w:eastAsia="zh-CN"/>
              </w:rPr>
              <w:t xml:space="preserve">内容作为响应的，或没有提供技术支持资料进行综合评审的无论是否存在负偏离，均只得5分。                       </w:t>
            </w:r>
            <w:r>
              <w:rPr>
                <w:rFonts w:hint="eastAsia" w:ascii="宋体" w:hAnsi="宋体" w:cs="宋体"/>
                <w:bCs/>
                <w:sz w:val="24"/>
                <w:szCs w:val="24"/>
                <w:lang w:val="en-US" w:eastAsia="zh-CN"/>
              </w:rPr>
              <w:t xml:space="preserve">  </w:t>
            </w:r>
            <w:r>
              <w:rPr>
                <w:rFonts w:hint="eastAsia" w:ascii="宋体" w:hAnsi="宋体" w:eastAsia="宋体" w:cs="宋体"/>
                <w:b/>
                <w:bCs w:val="0"/>
                <w:sz w:val="24"/>
                <w:szCs w:val="24"/>
                <w:lang w:val="en-US" w:eastAsia="zh-CN"/>
              </w:rPr>
              <w:t>注：所投货物中技术参数需在投标文件中所附的产品彩页或检验报告或相关证明材料来证明真实有效性，彩页必须为制造商公开发布的印刷资料，检验报告必须为专业检测机构出具，若投标文件中技术支持资料参数与技术规格偏离表应答不符或无支持资料应答，视为不响应该条技术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1193" w:type="dxa"/>
            <w:vMerge w:val="continue"/>
            <w:noWrap w:val="0"/>
            <w:vAlign w:val="center"/>
          </w:tcPr>
          <w:p>
            <w:pPr>
              <w:tabs>
                <w:tab w:val="left" w:pos="426"/>
              </w:tabs>
              <w:spacing w:line="312" w:lineRule="auto"/>
              <w:jc w:val="center"/>
              <w:rPr>
                <w:rFonts w:hint="eastAsia" w:ascii="宋体" w:hAnsi="宋体" w:eastAsia="宋体" w:cs="宋体"/>
                <w:sz w:val="24"/>
                <w:szCs w:val="24"/>
              </w:rPr>
            </w:pPr>
          </w:p>
        </w:tc>
        <w:tc>
          <w:tcPr>
            <w:tcW w:w="1138" w:type="dxa"/>
            <w:noWrap w:val="0"/>
            <w:vAlign w:val="center"/>
          </w:tcPr>
          <w:p>
            <w:pPr>
              <w:tabs>
                <w:tab w:val="left" w:pos="426"/>
              </w:tabs>
              <w:spacing w:line="312" w:lineRule="auto"/>
              <w:jc w:val="center"/>
              <w:rPr>
                <w:rFonts w:hint="eastAsia" w:ascii="宋体" w:hAnsi="宋体" w:eastAsia="宋体" w:cs="宋体"/>
                <w:sz w:val="24"/>
                <w:szCs w:val="24"/>
              </w:rPr>
            </w:pPr>
            <w:r>
              <w:rPr>
                <w:rFonts w:hint="eastAsia" w:ascii="宋体" w:hAnsi="宋体" w:eastAsia="宋体" w:cs="宋体"/>
                <w:sz w:val="24"/>
                <w:szCs w:val="24"/>
                <w:lang w:val="en-US" w:eastAsia="zh-CN"/>
              </w:rPr>
              <w:t>交货方案及时间进度计划安排（5分）</w:t>
            </w:r>
          </w:p>
          <w:p>
            <w:pPr>
              <w:tabs>
                <w:tab w:val="left" w:pos="426"/>
              </w:tabs>
              <w:spacing w:line="312" w:lineRule="auto"/>
              <w:jc w:val="center"/>
              <w:rPr>
                <w:rFonts w:hint="eastAsia" w:ascii="宋体" w:hAnsi="宋体" w:eastAsia="宋体" w:cs="宋体"/>
                <w:sz w:val="24"/>
                <w:szCs w:val="24"/>
              </w:rPr>
            </w:pPr>
          </w:p>
        </w:tc>
        <w:tc>
          <w:tcPr>
            <w:tcW w:w="7454" w:type="dxa"/>
            <w:noWrap w:val="0"/>
            <w:vAlign w:val="center"/>
          </w:tcPr>
          <w:p>
            <w:pPr>
              <w:tabs>
                <w:tab w:val="left" w:pos="426"/>
              </w:tabs>
              <w:spacing w:line="312" w:lineRule="auto"/>
              <w:jc w:val="left"/>
              <w:rPr>
                <w:rFonts w:hint="eastAsia" w:ascii="宋体" w:hAnsi="宋体" w:eastAsia="宋体" w:cs="宋体"/>
                <w:bCs/>
                <w:sz w:val="24"/>
                <w:szCs w:val="24"/>
                <w:lang w:val="en-US" w:eastAsia="zh-CN"/>
              </w:rPr>
            </w:pPr>
            <w:r>
              <w:rPr>
                <w:rFonts w:hint="eastAsia" w:ascii="宋体" w:hAnsi="宋体" w:eastAsia="宋体" w:cs="宋体"/>
                <w:bCs/>
                <w:sz w:val="24"/>
                <w:szCs w:val="24"/>
                <w:lang w:val="en-US" w:eastAsia="zh-CN"/>
              </w:rPr>
              <w:t>第一个档次：供货计划清晰明了、验收方案完善有保障、供货时间安排合理，并在管理制度项目组织实施方案、服务计划、保证措施的科学性、合理性、规范性和可操作性强等能较好满足使用方要求，得4-5分；</w:t>
            </w:r>
          </w:p>
          <w:p>
            <w:pPr>
              <w:tabs>
                <w:tab w:val="left" w:pos="426"/>
              </w:tabs>
              <w:spacing w:line="312" w:lineRule="auto"/>
              <w:jc w:val="left"/>
              <w:rPr>
                <w:rFonts w:hint="eastAsia" w:ascii="宋体" w:hAnsi="宋体" w:eastAsia="宋体" w:cs="宋体"/>
                <w:bCs/>
                <w:sz w:val="24"/>
                <w:szCs w:val="24"/>
                <w:lang w:val="en-US" w:eastAsia="zh-CN"/>
              </w:rPr>
            </w:pPr>
            <w:r>
              <w:rPr>
                <w:rFonts w:hint="eastAsia" w:ascii="宋体" w:hAnsi="宋体" w:eastAsia="宋体" w:cs="宋体"/>
                <w:bCs/>
                <w:sz w:val="24"/>
                <w:szCs w:val="24"/>
                <w:lang w:val="en-US" w:eastAsia="zh-CN"/>
              </w:rPr>
              <w:t>第二个档次：供货计划、验收方案及供货时间等能基本满足使用方要求，并在管理制度项目组织实施方案、服务计划、保证措施的科学性、合理性、规范性和可操作性一般的，得2-3分；</w:t>
            </w:r>
          </w:p>
          <w:p>
            <w:pPr>
              <w:tabs>
                <w:tab w:val="left" w:pos="426"/>
              </w:tabs>
              <w:spacing w:line="312" w:lineRule="auto"/>
              <w:jc w:val="left"/>
              <w:rPr>
                <w:rFonts w:hint="eastAsia" w:ascii="宋体" w:hAnsi="宋体" w:eastAsia="宋体" w:cs="宋体"/>
                <w:bCs/>
                <w:sz w:val="24"/>
                <w:szCs w:val="24"/>
                <w:lang w:val="en-US" w:eastAsia="zh-CN"/>
              </w:rPr>
            </w:pPr>
            <w:r>
              <w:rPr>
                <w:rFonts w:hint="eastAsia" w:ascii="宋体" w:hAnsi="宋体" w:eastAsia="宋体" w:cs="宋体"/>
                <w:bCs/>
                <w:sz w:val="24"/>
                <w:szCs w:val="24"/>
                <w:lang w:val="en-US" w:eastAsia="zh-CN"/>
              </w:rPr>
              <w:t>第三个档次：供货计划、验收方案及供货时间等合理性及可行性较差，并在管理制度项目组织实施方案、服务计划、保证措施的科学性、合理性、规范性和可操作性也较差，得1分。</w:t>
            </w:r>
          </w:p>
          <w:p>
            <w:pPr>
              <w:tabs>
                <w:tab w:val="left" w:pos="426"/>
              </w:tabs>
              <w:spacing w:line="312" w:lineRule="auto"/>
              <w:jc w:val="left"/>
              <w:rPr>
                <w:rFonts w:hint="default" w:ascii="宋体" w:hAnsi="宋体" w:eastAsia="宋体" w:cs="宋体"/>
                <w:bCs/>
                <w:sz w:val="24"/>
                <w:szCs w:val="24"/>
                <w:lang w:val="en-US" w:eastAsia="zh-CN"/>
              </w:rPr>
            </w:pPr>
            <w:r>
              <w:rPr>
                <w:rFonts w:hint="eastAsia" w:ascii="宋体" w:hAnsi="宋体" w:eastAsia="宋体" w:cs="宋体"/>
                <w:bCs/>
                <w:sz w:val="24"/>
                <w:szCs w:val="24"/>
                <w:lang w:val="en-US" w:eastAsia="zh-CN"/>
              </w:rPr>
              <w:t>未提供相应内容不得分。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1193" w:type="dxa"/>
            <w:vMerge w:val="continue"/>
            <w:noWrap w:val="0"/>
            <w:vAlign w:val="center"/>
          </w:tcPr>
          <w:p>
            <w:pPr>
              <w:tabs>
                <w:tab w:val="left" w:pos="426"/>
              </w:tabs>
              <w:spacing w:line="312" w:lineRule="auto"/>
              <w:jc w:val="center"/>
              <w:rPr>
                <w:rFonts w:hint="eastAsia" w:ascii="宋体" w:hAnsi="宋体" w:eastAsia="宋体" w:cs="宋体"/>
                <w:sz w:val="24"/>
                <w:szCs w:val="24"/>
              </w:rPr>
            </w:pPr>
          </w:p>
        </w:tc>
        <w:tc>
          <w:tcPr>
            <w:tcW w:w="1138" w:type="dxa"/>
            <w:noWrap w:val="0"/>
            <w:vAlign w:val="center"/>
          </w:tcPr>
          <w:p>
            <w:pPr>
              <w:tabs>
                <w:tab w:val="left" w:pos="426"/>
              </w:tabs>
              <w:spacing w:line="312" w:lineRule="auto"/>
              <w:jc w:val="center"/>
              <w:rPr>
                <w:rFonts w:hint="eastAsia" w:ascii="宋体" w:hAnsi="宋体" w:eastAsia="宋体" w:cs="宋体"/>
                <w:sz w:val="24"/>
                <w:szCs w:val="24"/>
              </w:rPr>
            </w:pPr>
            <w:r>
              <w:rPr>
                <w:rFonts w:hint="eastAsia" w:ascii="宋体" w:hAnsi="宋体" w:eastAsia="宋体" w:cs="宋体"/>
                <w:sz w:val="24"/>
                <w:szCs w:val="24"/>
              </w:rPr>
              <w:t>售后服务方案、承诺及保证</w:t>
            </w:r>
          </w:p>
          <w:p>
            <w:pPr>
              <w:tabs>
                <w:tab w:val="left" w:pos="426"/>
              </w:tabs>
              <w:spacing w:line="312" w:lineRule="auto"/>
              <w:jc w:val="center"/>
              <w:rPr>
                <w:rFonts w:hint="eastAsia" w:ascii="宋体" w:hAnsi="宋体" w:eastAsia="宋体" w:cs="宋体"/>
                <w:kern w:val="2"/>
                <w:sz w:val="24"/>
                <w:szCs w:val="24"/>
                <w:lang w:val="en-US" w:eastAsia="zh-CN" w:bidi="ar-SA"/>
              </w:rPr>
            </w:pPr>
            <w:r>
              <w:rPr>
                <w:rFonts w:hint="eastAsia" w:ascii="宋体" w:hAnsi="宋体" w:eastAsia="宋体" w:cs="宋体"/>
                <w:sz w:val="24"/>
                <w:szCs w:val="24"/>
              </w:rPr>
              <w:t>（1</w:t>
            </w:r>
            <w:r>
              <w:rPr>
                <w:rFonts w:hint="eastAsia" w:ascii="宋体" w:hAnsi="宋体" w:eastAsia="宋体" w:cs="宋体"/>
                <w:sz w:val="24"/>
                <w:szCs w:val="24"/>
                <w:lang w:val="en-US" w:eastAsia="zh-CN"/>
              </w:rPr>
              <w:t>5</w:t>
            </w:r>
            <w:r>
              <w:rPr>
                <w:rFonts w:hint="eastAsia" w:ascii="宋体" w:hAnsi="宋体" w:eastAsia="宋体" w:cs="宋体"/>
                <w:sz w:val="24"/>
                <w:szCs w:val="24"/>
              </w:rPr>
              <w:t>分）</w:t>
            </w:r>
          </w:p>
        </w:tc>
        <w:tc>
          <w:tcPr>
            <w:tcW w:w="7454" w:type="dxa"/>
            <w:noWrap w:val="0"/>
            <w:vAlign w:val="center"/>
          </w:tcPr>
          <w:p>
            <w:pPr>
              <w:tabs>
                <w:tab w:val="left" w:pos="426"/>
              </w:tabs>
              <w:spacing w:line="312" w:lineRule="auto"/>
              <w:jc w:val="left"/>
              <w:rPr>
                <w:rFonts w:hint="eastAsia" w:ascii="宋体" w:hAnsi="宋体" w:eastAsia="宋体" w:cs="宋体"/>
                <w:bCs/>
                <w:sz w:val="24"/>
                <w:szCs w:val="24"/>
                <w:lang w:val="en-US" w:eastAsia="zh-CN"/>
              </w:rPr>
            </w:pPr>
            <w:r>
              <w:rPr>
                <w:rFonts w:hint="eastAsia" w:ascii="宋体" w:hAnsi="宋体" w:eastAsia="宋体" w:cs="宋体"/>
                <w:bCs/>
                <w:sz w:val="24"/>
                <w:szCs w:val="24"/>
                <w:lang w:val="en-US" w:eastAsia="zh-CN"/>
              </w:rPr>
              <w:t>第一档次：投标人售后服务内容、措施及承诺相对比较全面、完整、合理、针对性强，维修人员，培训计划、巡检计划内容详细、全面、可行的，得11-15分；</w:t>
            </w:r>
          </w:p>
          <w:p>
            <w:pPr>
              <w:tabs>
                <w:tab w:val="left" w:pos="426"/>
              </w:tabs>
              <w:spacing w:line="312" w:lineRule="auto"/>
              <w:jc w:val="left"/>
              <w:rPr>
                <w:rFonts w:hint="eastAsia" w:ascii="宋体" w:hAnsi="宋体" w:eastAsia="宋体" w:cs="宋体"/>
                <w:bCs/>
                <w:sz w:val="24"/>
                <w:szCs w:val="24"/>
                <w:lang w:val="en-US" w:eastAsia="zh-CN"/>
              </w:rPr>
            </w:pPr>
            <w:r>
              <w:rPr>
                <w:rFonts w:hint="eastAsia" w:ascii="宋体" w:hAnsi="宋体" w:eastAsia="宋体" w:cs="宋体"/>
                <w:bCs/>
                <w:sz w:val="24"/>
                <w:szCs w:val="24"/>
                <w:lang w:val="en-US" w:eastAsia="zh-CN"/>
              </w:rPr>
              <w:t>第二档次：投标人售后服务内容、措施及承诺较为全面、完整、合理，有一定的针对性，维修人员，培训计划、巡检计划内容较为详细、可行，得6-10分；</w:t>
            </w:r>
          </w:p>
          <w:p>
            <w:pPr>
              <w:tabs>
                <w:tab w:val="left" w:pos="426"/>
              </w:tabs>
              <w:spacing w:line="312" w:lineRule="auto"/>
              <w:jc w:val="left"/>
              <w:rPr>
                <w:rFonts w:hint="eastAsia" w:ascii="宋体" w:hAnsi="宋体" w:eastAsia="宋体" w:cs="宋体"/>
                <w:bCs/>
                <w:sz w:val="24"/>
                <w:szCs w:val="24"/>
                <w:lang w:val="en-US" w:eastAsia="zh-CN"/>
              </w:rPr>
            </w:pPr>
            <w:r>
              <w:rPr>
                <w:rFonts w:hint="eastAsia" w:ascii="宋体" w:hAnsi="宋体" w:eastAsia="宋体" w:cs="宋体"/>
                <w:bCs/>
                <w:sz w:val="24"/>
                <w:szCs w:val="24"/>
                <w:lang w:val="en-US" w:eastAsia="zh-CN"/>
              </w:rPr>
              <w:t>第三档次：投标人售后服务内容、措施及承诺一般，针对性较差，维修人员，培训计划、巡检计划内容较粗略、可行性较差，得2-5分；</w:t>
            </w:r>
          </w:p>
          <w:p>
            <w:pPr>
              <w:tabs>
                <w:tab w:val="left" w:pos="426"/>
              </w:tabs>
              <w:spacing w:line="312" w:lineRule="auto"/>
              <w:jc w:val="left"/>
              <w:rPr>
                <w:rFonts w:hint="eastAsia" w:ascii="宋体" w:hAnsi="宋体" w:eastAsia="宋体" w:cs="宋体"/>
                <w:bCs/>
                <w:sz w:val="24"/>
                <w:szCs w:val="24"/>
                <w:lang w:val="en-US" w:eastAsia="zh-CN"/>
              </w:rPr>
            </w:pPr>
            <w:r>
              <w:rPr>
                <w:rFonts w:hint="eastAsia" w:ascii="宋体" w:hAnsi="宋体" w:eastAsia="宋体" w:cs="宋体"/>
                <w:bCs/>
                <w:sz w:val="24"/>
                <w:szCs w:val="24"/>
                <w:lang w:val="en-US" w:eastAsia="zh-CN"/>
              </w:rPr>
              <w:t>第四档次：投标人售后服务内容、措施及承诺较差，缺乏针对性，无培训计划及巡检制度措施的，得1分；</w:t>
            </w:r>
          </w:p>
          <w:p>
            <w:pPr>
              <w:tabs>
                <w:tab w:val="left" w:pos="426"/>
              </w:tabs>
              <w:spacing w:line="312" w:lineRule="auto"/>
              <w:jc w:val="left"/>
              <w:rPr>
                <w:rFonts w:hint="eastAsia" w:ascii="宋体" w:hAnsi="宋体" w:eastAsia="宋体" w:cs="宋体"/>
                <w:bCs/>
                <w:kern w:val="2"/>
                <w:sz w:val="24"/>
                <w:szCs w:val="24"/>
                <w:lang w:val="en-US" w:eastAsia="zh-CN" w:bidi="ar-SA"/>
              </w:rPr>
            </w:pPr>
            <w:r>
              <w:rPr>
                <w:rFonts w:hint="eastAsia" w:ascii="宋体" w:hAnsi="宋体" w:eastAsia="宋体" w:cs="宋体"/>
                <w:bCs/>
                <w:sz w:val="24"/>
                <w:szCs w:val="24"/>
                <w:lang w:val="en-US" w:eastAsia="zh-CN"/>
              </w:rPr>
              <w:t>未提供相应内容不得分。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1193" w:type="dxa"/>
            <w:vMerge w:val="continue"/>
            <w:noWrap w:val="0"/>
            <w:vAlign w:val="center"/>
          </w:tcPr>
          <w:p>
            <w:pPr>
              <w:tabs>
                <w:tab w:val="left" w:pos="426"/>
              </w:tabs>
              <w:spacing w:line="312" w:lineRule="auto"/>
              <w:jc w:val="center"/>
              <w:rPr>
                <w:rFonts w:hint="eastAsia" w:ascii="宋体" w:hAnsi="宋体" w:eastAsia="宋体" w:cs="宋体"/>
                <w:sz w:val="24"/>
                <w:szCs w:val="24"/>
              </w:rPr>
            </w:pPr>
          </w:p>
        </w:tc>
        <w:tc>
          <w:tcPr>
            <w:tcW w:w="1138" w:type="dxa"/>
            <w:noWrap w:val="0"/>
            <w:vAlign w:val="center"/>
          </w:tcPr>
          <w:p>
            <w:pPr>
              <w:pStyle w:val="10"/>
              <w:spacing w:line="312" w:lineRule="auto"/>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培训方案</w:t>
            </w:r>
          </w:p>
          <w:p>
            <w:pPr>
              <w:pStyle w:val="10"/>
              <w:spacing w:line="312" w:lineRule="auto"/>
              <w:jc w:val="both"/>
              <w:rPr>
                <w:rFonts w:hint="eastAsia" w:ascii="宋体" w:hAnsi="宋体" w:eastAsia="宋体" w:cs="宋体"/>
                <w:sz w:val="24"/>
                <w:szCs w:val="24"/>
              </w:rPr>
            </w:pPr>
            <w:r>
              <w:rPr>
                <w:rFonts w:hint="eastAsia" w:ascii="宋体" w:hAnsi="宋体" w:eastAsia="宋体" w:cs="宋体"/>
                <w:sz w:val="24"/>
                <w:szCs w:val="24"/>
                <w:lang w:val="en-US" w:eastAsia="zh-CN"/>
              </w:rPr>
              <w:t>（5分）</w:t>
            </w:r>
          </w:p>
          <w:p>
            <w:pPr>
              <w:tabs>
                <w:tab w:val="left" w:pos="426"/>
              </w:tabs>
              <w:spacing w:line="312" w:lineRule="auto"/>
              <w:jc w:val="center"/>
              <w:rPr>
                <w:rFonts w:hint="eastAsia" w:ascii="宋体" w:hAnsi="宋体" w:eastAsia="宋体" w:cs="宋体"/>
                <w:sz w:val="24"/>
                <w:szCs w:val="24"/>
              </w:rPr>
            </w:pPr>
          </w:p>
        </w:tc>
        <w:tc>
          <w:tcPr>
            <w:tcW w:w="7454" w:type="dxa"/>
            <w:noWrap w:val="0"/>
            <w:vAlign w:val="center"/>
          </w:tcPr>
          <w:p>
            <w:pPr>
              <w:tabs>
                <w:tab w:val="left" w:pos="426"/>
              </w:tabs>
              <w:spacing w:line="312" w:lineRule="auto"/>
              <w:jc w:val="left"/>
              <w:rPr>
                <w:rFonts w:hint="eastAsia" w:ascii="宋体" w:hAnsi="宋体" w:eastAsia="宋体" w:cs="宋体"/>
                <w:bCs/>
                <w:sz w:val="24"/>
                <w:szCs w:val="24"/>
                <w:lang w:val="en-US" w:eastAsia="zh-CN"/>
              </w:rPr>
            </w:pPr>
            <w:r>
              <w:rPr>
                <w:rFonts w:hint="eastAsia" w:ascii="宋体" w:hAnsi="宋体" w:eastAsia="宋体" w:cs="宋体"/>
                <w:bCs/>
                <w:sz w:val="24"/>
                <w:szCs w:val="24"/>
                <w:lang w:val="en-US" w:eastAsia="zh-CN"/>
              </w:rPr>
              <w:t>投标文件中有详细具体的培训方案的得1 分；</w:t>
            </w:r>
          </w:p>
          <w:p>
            <w:pPr>
              <w:tabs>
                <w:tab w:val="left" w:pos="426"/>
              </w:tabs>
              <w:spacing w:line="312" w:lineRule="auto"/>
              <w:jc w:val="left"/>
              <w:rPr>
                <w:rFonts w:hint="eastAsia" w:ascii="宋体" w:hAnsi="宋体" w:eastAsia="宋体" w:cs="宋体"/>
                <w:bCs/>
                <w:sz w:val="24"/>
                <w:szCs w:val="24"/>
                <w:lang w:val="en-US" w:eastAsia="zh-CN"/>
              </w:rPr>
            </w:pPr>
            <w:r>
              <w:rPr>
                <w:rFonts w:hint="eastAsia" w:ascii="宋体" w:hAnsi="宋体" w:eastAsia="宋体" w:cs="宋体"/>
                <w:bCs/>
                <w:sz w:val="24"/>
                <w:szCs w:val="24"/>
                <w:lang w:val="en-US" w:eastAsia="zh-CN"/>
              </w:rPr>
              <w:t>培训目标明确的得1分；</w:t>
            </w:r>
          </w:p>
          <w:p>
            <w:pPr>
              <w:tabs>
                <w:tab w:val="left" w:pos="426"/>
              </w:tabs>
              <w:spacing w:line="312" w:lineRule="auto"/>
              <w:jc w:val="left"/>
              <w:rPr>
                <w:rFonts w:hint="eastAsia" w:ascii="宋体" w:hAnsi="宋体" w:eastAsia="宋体" w:cs="宋体"/>
                <w:bCs/>
                <w:sz w:val="24"/>
                <w:szCs w:val="24"/>
                <w:lang w:val="en-US" w:eastAsia="zh-CN"/>
              </w:rPr>
            </w:pPr>
            <w:r>
              <w:rPr>
                <w:rFonts w:hint="eastAsia" w:ascii="宋体" w:hAnsi="宋体" w:eastAsia="宋体" w:cs="宋体"/>
                <w:bCs/>
                <w:sz w:val="24"/>
                <w:szCs w:val="24"/>
                <w:lang w:val="en-US" w:eastAsia="zh-CN"/>
              </w:rPr>
              <w:t>培训计划详细具体明确的得1分；</w:t>
            </w:r>
          </w:p>
          <w:p>
            <w:pPr>
              <w:tabs>
                <w:tab w:val="left" w:pos="426"/>
              </w:tabs>
              <w:spacing w:line="312" w:lineRule="auto"/>
              <w:jc w:val="left"/>
              <w:rPr>
                <w:rFonts w:hint="eastAsia" w:ascii="宋体" w:hAnsi="宋体" w:eastAsia="宋体" w:cs="宋体"/>
                <w:bCs/>
                <w:sz w:val="24"/>
                <w:szCs w:val="24"/>
                <w:lang w:val="en-US" w:eastAsia="zh-CN"/>
              </w:rPr>
            </w:pPr>
            <w:r>
              <w:rPr>
                <w:rFonts w:hint="eastAsia" w:ascii="宋体" w:hAnsi="宋体" w:eastAsia="宋体" w:cs="宋体"/>
                <w:bCs/>
                <w:sz w:val="24"/>
                <w:szCs w:val="24"/>
                <w:lang w:val="en-US" w:eastAsia="zh-CN"/>
              </w:rPr>
              <w:t>培训方式实用多样的得 1分；</w:t>
            </w:r>
          </w:p>
          <w:p>
            <w:pPr>
              <w:tabs>
                <w:tab w:val="left" w:pos="426"/>
              </w:tabs>
              <w:spacing w:line="312" w:lineRule="auto"/>
              <w:jc w:val="left"/>
              <w:rPr>
                <w:rFonts w:hint="eastAsia" w:ascii="宋体" w:hAnsi="宋体" w:eastAsia="宋体" w:cs="宋体"/>
                <w:bCs/>
                <w:sz w:val="24"/>
                <w:szCs w:val="24"/>
                <w:lang w:val="en-US" w:eastAsia="zh-CN"/>
              </w:rPr>
            </w:pPr>
            <w:r>
              <w:rPr>
                <w:rFonts w:hint="eastAsia" w:ascii="宋体" w:hAnsi="宋体" w:eastAsia="宋体" w:cs="宋体"/>
                <w:bCs/>
                <w:sz w:val="24"/>
                <w:szCs w:val="24"/>
                <w:lang w:val="en-US" w:eastAsia="zh-CN"/>
              </w:rPr>
              <w:t>培训课程安排科学合理的得1分。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5" w:hRule="atLeast"/>
          <w:jc w:val="center"/>
        </w:trPr>
        <w:tc>
          <w:tcPr>
            <w:tcW w:w="1193" w:type="dxa"/>
            <w:vMerge w:val="continue"/>
            <w:noWrap w:val="0"/>
            <w:vAlign w:val="center"/>
          </w:tcPr>
          <w:p>
            <w:pPr>
              <w:tabs>
                <w:tab w:val="left" w:pos="426"/>
              </w:tabs>
              <w:spacing w:line="312" w:lineRule="auto"/>
              <w:jc w:val="center"/>
              <w:rPr>
                <w:rFonts w:hint="eastAsia" w:ascii="宋体" w:hAnsi="宋体" w:eastAsia="宋体" w:cs="宋体"/>
                <w:sz w:val="24"/>
                <w:szCs w:val="24"/>
              </w:rPr>
            </w:pPr>
          </w:p>
        </w:tc>
        <w:tc>
          <w:tcPr>
            <w:tcW w:w="1138" w:type="dxa"/>
            <w:noWrap w:val="0"/>
            <w:vAlign w:val="center"/>
          </w:tcPr>
          <w:p>
            <w:pPr>
              <w:pStyle w:val="10"/>
              <w:spacing w:line="312" w:lineRule="auto"/>
              <w:jc w:val="center"/>
              <w:rPr>
                <w:rFonts w:hint="eastAsia" w:ascii="宋体" w:hAnsi="宋体" w:eastAsia="宋体" w:cs="宋体"/>
                <w:sz w:val="24"/>
                <w:szCs w:val="24"/>
              </w:rPr>
            </w:pPr>
            <w:r>
              <w:rPr>
                <w:rFonts w:hint="eastAsia" w:ascii="宋体" w:hAnsi="宋体" w:eastAsia="宋体" w:cs="宋体"/>
                <w:sz w:val="24"/>
                <w:szCs w:val="24"/>
              </w:rPr>
              <w:t>业绩</w:t>
            </w:r>
          </w:p>
          <w:p>
            <w:pPr>
              <w:pStyle w:val="10"/>
              <w:spacing w:line="312" w:lineRule="auto"/>
              <w:jc w:val="center"/>
              <w:rPr>
                <w:rFonts w:hint="eastAsia" w:ascii="宋体" w:hAnsi="宋体" w:eastAsia="宋体" w:cs="宋体"/>
                <w:sz w:val="24"/>
                <w:szCs w:val="24"/>
                <w:lang w:eastAsia="zh-CN"/>
              </w:rPr>
            </w:pPr>
            <w:r>
              <w:rPr>
                <w:rFonts w:hint="eastAsia" w:ascii="宋体" w:hAnsi="宋体" w:eastAsia="宋体" w:cs="宋体"/>
                <w:sz w:val="24"/>
                <w:szCs w:val="24"/>
              </w:rPr>
              <w:t>（5分）</w:t>
            </w:r>
          </w:p>
        </w:tc>
        <w:tc>
          <w:tcPr>
            <w:tcW w:w="7454" w:type="dxa"/>
            <w:noWrap w:val="0"/>
            <w:vAlign w:val="center"/>
          </w:tcPr>
          <w:p>
            <w:pPr>
              <w:tabs>
                <w:tab w:val="left" w:pos="426"/>
              </w:tabs>
              <w:spacing w:line="312" w:lineRule="auto"/>
              <w:jc w:val="left"/>
              <w:rPr>
                <w:rFonts w:hint="eastAsia" w:ascii="宋体" w:hAnsi="宋体" w:eastAsia="宋体" w:cs="宋体"/>
                <w:bCs/>
                <w:sz w:val="24"/>
                <w:szCs w:val="24"/>
                <w:lang w:val="en-US" w:eastAsia="zh-CN"/>
              </w:rPr>
            </w:pPr>
            <w:r>
              <w:rPr>
                <w:rFonts w:hint="eastAsia" w:ascii="宋体" w:hAnsi="宋体" w:eastAsia="宋体" w:cs="宋体"/>
                <w:bCs/>
                <w:sz w:val="24"/>
                <w:szCs w:val="24"/>
                <w:lang w:val="en-US" w:eastAsia="zh-CN"/>
              </w:rPr>
              <w:t>投标人自202</w:t>
            </w:r>
            <w:r>
              <w:rPr>
                <w:rFonts w:hint="eastAsia" w:ascii="宋体" w:hAnsi="宋体" w:cs="宋体"/>
                <w:bCs/>
                <w:sz w:val="24"/>
                <w:szCs w:val="24"/>
                <w:lang w:val="en-US" w:eastAsia="zh-CN"/>
              </w:rPr>
              <w:t>1</w:t>
            </w:r>
            <w:r>
              <w:rPr>
                <w:rFonts w:hint="eastAsia" w:ascii="宋体" w:hAnsi="宋体" w:eastAsia="宋体" w:cs="宋体"/>
                <w:bCs/>
                <w:sz w:val="24"/>
                <w:szCs w:val="24"/>
                <w:lang w:val="en-US" w:eastAsia="zh-CN"/>
              </w:rPr>
              <w:t>年以来承担过的类似项目业绩，每个得1分，满分5分。</w:t>
            </w:r>
          </w:p>
          <w:p>
            <w:pPr>
              <w:tabs>
                <w:tab w:val="left" w:pos="426"/>
              </w:tabs>
              <w:spacing w:line="312" w:lineRule="auto"/>
              <w:jc w:val="left"/>
              <w:rPr>
                <w:rFonts w:hint="eastAsia" w:ascii="宋体" w:hAnsi="宋体" w:eastAsia="宋体" w:cs="宋体"/>
                <w:bCs/>
                <w:sz w:val="24"/>
                <w:szCs w:val="24"/>
                <w:lang w:val="en-US" w:eastAsia="zh-CN"/>
              </w:rPr>
            </w:pPr>
            <w:r>
              <w:rPr>
                <w:rFonts w:hint="eastAsia" w:ascii="宋体" w:hAnsi="宋体" w:eastAsia="宋体" w:cs="宋体"/>
                <w:bCs/>
                <w:sz w:val="24"/>
                <w:szCs w:val="24"/>
                <w:lang w:val="en-US" w:eastAsia="zh-CN"/>
              </w:rPr>
              <w:t xml:space="preserve">注：投标文件中须提供类似项目的合同或中标（成交）通知书扫描件。无证明材料或证明材料不明确、不齐全、不一致、无法体现业绩内容的不得分，如业绩证明材料不能反映项目内容，须另附业主证明等相关证明材料。 </w:t>
            </w:r>
          </w:p>
        </w:tc>
      </w:tr>
    </w:tbl>
    <w:p>
      <w:pPr>
        <w:pStyle w:val="2"/>
        <w:rPr>
          <w:rFonts w:hint="eastAsia" w:ascii="宋体" w:hAnsi="宋体" w:eastAsia="宋体" w:cs="宋体"/>
          <w:b/>
          <w:bCs/>
          <w:color w:val="000000"/>
          <w:sz w:val="24"/>
          <w:szCs w:val="24"/>
          <w:lang w:val="en-US" w:eastAsia="zh-CN"/>
        </w:rPr>
      </w:pPr>
    </w:p>
    <w:p>
      <w:pPr>
        <w:keepNext w:val="0"/>
        <w:keepLines w:val="0"/>
        <w:pageBreakBefore w:val="0"/>
        <w:widowControl w:val="0"/>
        <w:kinsoku/>
        <w:wordWrap/>
        <w:overflowPunct/>
        <w:topLinePunct w:val="0"/>
        <w:autoSpaceDE/>
        <w:autoSpaceDN/>
        <w:bidi w:val="0"/>
        <w:adjustRightInd/>
        <w:snapToGrid w:val="0"/>
        <w:spacing w:line="360" w:lineRule="auto"/>
        <w:ind w:firstLine="465"/>
        <w:textAlignment w:val="auto"/>
        <w:rPr>
          <w:rFonts w:hint="eastAsia" w:ascii="宋体" w:hAnsi="宋体" w:eastAsia="宋体" w:cs="宋体"/>
          <w:sz w:val="24"/>
          <w:szCs w:val="24"/>
        </w:rPr>
      </w:pPr>
      <w:r>
        <w:rPr>
          <w:rFonts w:hint="eastAsia" w:ascii="宋体" w:hAnsi="宋体" w:eastAsia="宋体" w:cs="宋体"/>
          <w:b/>
          <w:bCs/>
          <w:sz w:val="24"/>
          <w:szCs w:val="24"/>
        </w:rPr>
        <w:t>注：</w:t>
      </w:r>
      <w:r>
        <w:rPr>
          <w:rFonts w:hint="eastAsia" w:ascii="宋体" w:hAnsi="宋体" w:eastAsia="宋体" w:cs="宋体"/>
          <w:sz w:val="24"/>
          <w:szCs w:val="24"/>
        </w:rPr>
        <w:t>1.上述表中按每项评审要求所涉及到的所有资料，投标人必须认真分类放于</w:t>
      </w:r>
      <w:r>
        <w:rPr>
          <w:rFonts w:hint="eastAsia" w:ascii="宋体" w:hAnsi="宋体" w:cs="宋体"/>
          <w:sz w:val="24"/>
          <w:szCs w:val="24"/>
          <w:lang w:val="en-US" w:eastAsia="zh-CN"/>
        </w:rPr>
        <w:t>响应</w:t>
      </w:r>
      <w:r>
        <w:rPr>
          <w:rFonts w:hint="eastAsia" w:ascii="宋体" w:hAnsi="宋体" w:eastAsia="宋体" w:cs="宋体"/>
          <w:sz w:val="24"/>
          <w:szCs w:val="24"/>
        </w:rPr>
        <w:t>文件中。</w:t>
      </w:r>
      <w:r>
        <w:rPr>
          <w:rFonts w:hint="eastAsia" w:ascii="宋体" w:hAnsi="宋体" w:cs="宋体"/>
          <w:sz w:val="24"/>
          <w:szCs w:val="24"/>
          <w:lang w:val="en-US" w:eastAsia="zh-CN"/>
        </w:rPr>
        <w:t>评审小组</w:t>
      </w:r>
      <w:r>
        <w:rPr>
          <w:rFonts w:hint="eastAsia" w:ascii="宋体" w:hAnsi="宋体" w:eastAsia="宋体" w:cs="宋体"/>
          <w:sz w:val="24"/>
          <w:szCs w:val="24"/>
        </w:rPr>
        <w:t>会按以上详细评分标准规定及</w:t>
      </w:r>
      <w:r>
        <w:rPr>
          <w:rFonts w:hint="eastAsia" w:ascii="宋体" w:hAnsi="宋体" w:cs="宋体"/>
          <w:sz w:val="24"/>
          <w:szCs w:val="24"/>
          <w:lang w:val="en-US" w:eastAsia="zh-CN"/>
        </w:rPr>
        <w:t>响应</w:t>
      </w:r>
      <w:r>
        <w:rPr>
          <w:rFonts w:hint="eastAsia" w:ascii="宋体" w:hAnsi="宋体" w:eastAsia="宋体" w:cs="宋体"/>
          <w:sz w:val="24"/>
          <w:szCs w:val="24"/>
        </w:rPr>
        <w:t>文件内容自主独立打分。</w:t>
      </w:r>
    </w:p>
    <w:p>
      <w:pPr>
        <w:keepNext w:val="0"/>
        <w:keepLines w:val="0"/>
        <w:pageBreakBefore w:val="0"/>
        <w:widowControl w:val="0"/>
        <w:numPr>
          <w:ilvl w:val="0"/>
          <w:numId w:val="2"/>
        </w:numPr>
        <w:kinsoku/>
        <w:wordWrap/>
        <w:overflowPunct/>
        <w:topLinePunct w:val="0"/>
        <w:autoSpaceDE/>
        <w:autoSpaceDN/>
        <w:bidi w:val="0"/>
        <w:adjustRightInd/>
        <w:snapToGrid w:val="0"/>
        <w:spacing w:line="360" w:lineRule="auto"/>
        <w:ind w:firstLine="465"/>
        <w:textAlignment w:val="auto"/>
        <w:rPr>
          <w:rFonts w:hint="eastAsia" w:ascii="宋体" w:hAnsi="宋体" w:eastAsia="宋体" w:cs="宋体"/>
          <w:sz w:val="24"/>
          <w:szCs w:val="24"/>
        </w:rPr>
      </w:pPr>
      <w:r>
        <w:rPr>
          <w:rFonts w:hint="eastAsia" w:ascii="宋体" w:hAnsi="宋体" w:eastAsia="宋体" w:cs="宋体"/>
          <w:sz w:val="24"/>
          <w:szCs w:val="24"/>
        </w:rPr>
        <w:t xml:space="preserve">综合得分计算规则：取所有投标人的评审评分计算算术平均值，最后得分保留两位小数，第三位四舍五入。 </w:t>
      </w:r>
      <w:bookmarkStart w:id="10" w:name="_Toc24050"/>
      <w:bookmarkStart w:id="11" w:name="_Toc23540"/>
      <w:bookmarkStart w:id="12" w:name="_Toc29019"/>
    </w:p>
    <w:p>
      <w:pPr>
        <w:pStyle w:val="2"/>
        <w:keepNext w:val="0"/>
        <w:keepLines w:val="0"/>
        <w:pageBreakBefore w:val="0"/>
        <w:widowControl w:val="0"/>
        <w:numPr>
          <w:ilvl w:val="0"/>
          <w:numId w:val="0"/>
        </w:numPr>
        <w:kinsoku/>
        <w:wordWrap/>
        <w:overflowPunct/>
        <w:topLinePunct w:val="0"/>
        <w:autoSpaceDE/>
        <w:autoSpaceDN/>
        <w:bidi w:val="0"/>
        <w:adjustRightInd/>
        <w:spacing w:line="360" w:lineRule="auto"/>
        <w:jc w:val="both"/>
        <w:textAlignment w:val="auto"/>
        <w:rPr>
          <w:rFonts w:hint="eastAsia"/>
          <w:lang w:eastAsia="zh-CN"/>
        </w:rPr>
      </w:pPr>
    </w:p>
    <w:p>
      <w:pPr>
        <w:rPr>
          <w:rFonts w:hint="eastAsia"/>
          <w:lang w:eastAsia="zh-CN"/>
        </w:rPr>
      </w:pPr>
    </w:p>
    <w:p>
      <w:pPr>
        <w:pStyle w:val="2"/>
        <w:rPr>
          <w:rFonts w:hint="eastAsia"/>
          <w:lang w:eastAsia="zh-CN"/>
        </w:rPr>
      </w:pPr>
    </w:p>
    <w:bookmarkEnd w:id="8"/>
    <w:bookmarkEnd w:id="9"/>
    <w:bookmarkEnd w:id="10"/>
    <w:bookmarkEnd w:id="11"/>
    <w:bookmarkEnd w:id="12"/>
    <w:p>
      <w:bookmarkStart w:id="13" w:name="_GoBack"/>
      <w:bookmarkEnd w:id="13"/>
    </w:p>
    <w:sectPr>
      <w:pgSz w:w="11906" w:h="16838"/>
      <w:pgMar w:top="1440" w:right="1440" w:bottom="144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modern"/>
    <w:pitch w:val="default"/>
    <w:sig w:usb0="E0002EFF" w:usb1="C000785B"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FangSong_GB2312">
    <w:altName w:val="仿宋"/>
    <w:panose1 w:val="02010609030101010101"/>
    <w:charset w:val="86"/>
    <w:family w:val="modern"/>
    <w:pitch w:val="default"/>
    <w:sig w:usb0="00000000" w:usb1="00000000"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CF03A6B"/>
    <w:multiLevelType w:val="singleLevel"/>
    <w:tmpl w:val="ACF03A6B"/>
    <w:lvl w:ilvl="0" w:tentative="0">
      <w:start w:val="2"/>
      <w:numFmt w:val="decimal"/>
      <w:lvlText w:val="%1."/>
      <w:lvlJc w:val="left"/>
      <w:pPr>
        <w:tabs>
          <w:tab w:val="left" w:pos="312"/>
        </w:tabs>
      </w:pPr>
    </w:lvl>
  </w:abstractNum>
  <w:abstractNum w:abstractNumId="1">
    <w:nsid w:val="0315620E"/>
    <w:multiLevelType w:val="multilevel"/>
    <w:tmpl w:val="0315620E"/>
    <w:lvl w:ilvl="0" w:tentative="0">
      <w:start w:val="1"/>
      <w:numFmt w:val="decimal"/>
      <w:pStyle w:val="3"/>
      <w:lvlText w:val="%1"/>
      <w:lvlJc w:val="left"/>
      <w:pPr>
        <w:tabs>
          <w:tab w:val="left" w:pos="360"/>
        </w:tabs>
        <w:ind w:left="284" w:hanging="284"/>
      </w:pPr>
      <w:rPr>
        <w:rFonts w:hint="default" w:ascii="Times New Roman" w:hAnsi="Times New Roman"/>
        <w:b/>
        <w:i w:val="0"/>
        <w:sz w:val="28"/>
      </w:rPr>
    </w:lvl>
    <w:lvl w:ilvl="1" w:tentative="0">
      <w:start w:val="1"/>
      <w:numFmt w:val="decimal"/>
      <w:lvlText w:val="%1.%2"/>
      <w:lvlJc w:val="left"/>
      <w:pPr>
        <w:tabs>
          <w:tab w:val="left" w:pos="1021"/>
        </w:tabs>
        <w:ind w:left="1021" w:hanging="596"/>
      </w:pPr>
      <w:rPr>
        <w:rFonts w:hint="default" w:ascii="Times New Roman" w:hAnsi="Times New Roman"/>
        <w:b/>
        <w:i w:val="0"/>
        <w:sz w:val="28"/>
      </w:rPr>
    </w:lvl>
    <w:lvl w:ilvl="2" w:tentative="0">
      <w:start w:val="1"/>
      <w:numFmt w:val="decimal"/>
      <w:lvlText w:val="%1.%2.%3"/>
      <w:lvlJc w:val="left"/>
      <w:pPr>
        <w:tabs>
          <w:tab w:val="left" w:pos="4202"/>
        </w:tabs>
        <w:ind w:left="4202" w:hanging="737"/>
      </w:pPr>
      <w:rPr>
        <w:rFonts w:hint="default" w:ascii="Times New Roman" w:hAnsi="Times New Roman"/>
        <w:b/>
        <w:i w:val="0"/>
        <w:sz w:val="24"/>
      </w:rPr>
    </w:lvl>
    <w:lvl w:ilvl="3" w:tentative="0">
      <w:start w:val="1"/>
      <w:numFmt w:val="decimal"/>
      <w:lvlText w:val="%1.%2.%3.%4"/>
      <w:lvlJc w:val="left"/>
      <w:pPr>
        <w:tabs>
          <w:tab w:val="left" w:pos="2155"/>
        </w:tabs>
        <w:ind w:left="2155" w:hanging="1078"/>
      </w:pPr>
      <w:rPr>
        <w:rFonts w:hint="default" w:ascii="Arial" w:hAnsi="Arial"/>
        <w:b w:val="0"/>
        <w:i w:val="0"/>
        <w:sz w:val="24"/>
      </w:rPr>
    </w:lvl>
    <w:lvl w:ilvl="4" w:tentative="0">
      <w:start w:val="1"/>
      <w:numFmt w:val="decimal"/>
      <w:lvlText w:val="%1.%2.%3.%4.%5"/>
      <w:lvlJc w:val="left"/>
      <w:pPr>
        <w:tabs>
          <w:tab w:val="left" w:pos="3141"/>
        </w:tabs>
        <w:ind w:left="2551" w:hanging="850"/>
      </w:pPr>
      <w:rPr>
        <w:rFonts w:hint="eastAsia"/>
      </w:rPr>
    </w:lvl>
    <w:lvl w:ilvl="5" w:tentative="0">
      <w:start w:val="1"/>
      <w:numFmt w:val="decimal"/>
      <w:lvlText w:val="%1.%2.%3.%4.%5.%6"/>
      <w:lvlJc w:val="left"/>
      <w:pPr>
        <w:tabs>
          <w:tab w:val="left" w:pos="3566"/>
        </w:tabs>
        <w:ind w:left="3260" w:hanging="1134"/>
      </w:pPr>
      <w:rPr>
        <w:rFonts w:hint="eastAsia"/>
      </w:rPr>
    </w:lvl>
    <w:lvl w:ilvl="6" w:tentative="0">
      <w:start w:val="1"/>
      <w:numFmt w:val="decimal"/>
      <w:lvlText w:val="%1.%2.%3.%4.%5.%6.%7"/>
      <w:lvlJc w:val="left"/>
      <w:pPr>
        <w:tabs>
          <w:tab w:val="left" w:pos="4351"/>
        </w:tabs>
        <w:ind w:left="3827" w:hanging="1276"/>
      </w:pPr>
      <w:rPr>
        <w:rFonts w:hint="eastAsia"/>
      </w:rPr>
    </w:lvl>
    <w:lvl w:ilvl="7" w:tentative="0">
      <w:start w:val="1"/>
      <w:numFmt w:val="decimal"/>
      <w:lvlText w:val="%1.%2.%3.%4.%5.%6.%7.%8"/>
      <w:lvlJc w:val="left"/>
      <w:pPr>
        <w:tabs>
          <w:tab w:val="left" w:pos="5136"/>
        </w:tabs>
        <w:ind w:left="4394" w:hanging="1418"/>
      </w:pPr>
      <w:rPr>
        <w:rFonts w:hint="eastAsia"/>
      </w:rPr>
    </w:lvl>
    <w:lvl w:ilvl="8" w:tentative="0">
      <w:start w:val="1"/>
      <w:numFmt w:val="decimal"/>
      <w:lvlText w:val="%1.%2.%3.%4.%5.%6.%7.%8.%9"/>
      <w:lvlJc w:val="left"/>
      <w:pPr>
        <w:tabs>
          <w:tab w:val="left" w:pos="5562"/>
        </w:tabs>
        <w:ind w:left="5102" w:hanging="170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ZkMDNiMDM5ZjJkMzI4ODMwY2M5OTM3NmVjMDc0ODEifQ=="/>
  </w:docVars>
  <w:rsids>
    <w:rsidRoot w:val="00000000"/>
    <w:rsid w:val="174300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8"/>
      <w:lang w:val="en-US" w:eastAsia="zh-CN" w:bidi="ar-SA"/>
    </w:rPr>
  </w:style>
  <w:style w:type="paragraph" w:styleId="3">
    <w:name w:val="heading 1"/>
    <w:basedOn w:val="1"/>
    <w:next w:val="1"/>
    <w:qFormat/>
    <w:uiPriority w:val="0"/>
    <w:pPr>
      <w:keepNext/>
      <w:numPr>
        <w:ilvl w:val="0"/>
        <w:numId w:val="1"/>
      </w:numPr>
      <w:autoSpaceDE w:val="0"/>
      <w:autoSpaceDN w:val="0"/>
      <w:adjustRightInd w:val="0"/>
      <w:jc w:val="left"/>
      <w:outlineLvl w:val="0"/>
    </w:pPr>
    <w:rPr>
      <w:rFonts w:ascii="FangSong_GB2312" w:eastAsia="FangSong_GB2312"/>
      <w:b/>
      <w:bCs/>
      <w:color w:val="000000"/>
      <w:kern w:val="0"/>
      <w:sz w:val="28"/>
      <w:szCs w:val="20"/>
    </w:rPr>
  </w:style>
  <w:style w:type="paragraph" w:styleId="4">
    <w:name w:val="heading 2"/>
    <w:basedOn w:val="1"/>
    <w:next w:val="5"/>
    <w:qFormat/>
    <w:uiPriority w:val="0"/>
    <w:pPr>
      <w:keepNext/>
      <w:keepLines/>
      <w:spacing w:before="260" w:after="260" w:line="413" w:lineRule="auto"/>
      <w:outlineLvl w:val="1"/>
    </w:pPr>
    <w:rPr>
      <w:rFonts w:ascii="Arial" w:hAnsi="Arial" w:eastAsia="黑体"/>
      <w:b/>
      <w:sz w:val="32"/>
    </w:rPr>
  </w:style>
  <w:style w:type="paragraph" w:styleId="6">
    <w:name w:val="heading 3"/>
    <w:basedOn w:val="1"/>
    <w:next w:val="1"/>
    <w:qFormat/>
    <w:uiPriority w:val="0"/>
    <w:pPr>
      <w:keepNext/>
      <w:keepLines/>
      <w:spacing w:before="260" w:after="260" w:line="413" w:lineRule="auto"/>
      <w:outlineLvl w:val="2"/>
    </w:pPr>
    <w:rPr>
      <w:b/>
      <w:sz w:val="32"/>
    </w:rPr>
  </w:style>
  <w:style w:type="character" w:default="1" w:styleId="9">
    <w:name w:val="Default Paragraph Font"/>
    <w:semiHidden/>
    <w:uiPriority w:val="0"/>
  </w:style>
  <w:style w:type="table" w:default="1" w:styleId="8">
    <w:name w:val="Normal Table"/>
    <w:semiHidden/>
    <w:uiPriority w:val="0"/>
    <w:tblPr>
      <w:tblCellMar>
        <w:top w:w="0" w:type="dxa"/>
        <w:left w:w="108" w:type="dxa"/>
        <w:bottom w:w="0" w:type="dxa"/>
        <w:right w:w="108" w:type="dxa"/>
      </w:tblCellMar>
    </w:tblPr>
  </w:style>
  <w:style w:type="paragraph" w:styleId="2">
    <w:name w:val="Body Text"/>
    <w:basedOn w:val="1"/>
    <w:next w:val="1"/>
    <w:qFormat/>
    <w:uiPriority w:val="0"/>
    <w:rPr>
      <w:rFonts w:ascii="仿宋_GB2312" w:eastAsia="仿宋_GB2312"/>
      <w:sz w:val="32"/>
    </w:rPr>
  </w:style>
  <w:style w:type="paragraph" w:styleId="5">
    <w:name w:val="Normal Indent"/>
    <w:basedOn w:val="1"/>
    <w:next w:val="1"/>
    <w:qFormat/>
    <w:uiPriority w:val="0"/>
    <w:pPr>
      <w:widowControl w:val="0"/>
      <w:spacing w:after="0"/>
      <w:ind w:firstLine="420" w:firstLineChars="200"/>
      <w:jc w:val="both"/>
    </w:pPr>
    <w:rPr>
      <w:rFonts w:ascii="Times New Roman" w:hAnsi="Times New Roman" w:eastAsia="宋体" w:cs="Times New Roman"/>
      <w:kern w:val="2"/>
      <w:sz w:val="21"/>
      <w:lang w:val="en-US" w:eastAsia="zh-CN" w:bidi="ar-SA"/>
    </w:rPr>
  </w:style>
  <w:style w:type="paragraph" w:styleId="7">
    <w:name w:val="Date"/>
    <w:basedOn w:val="1"/>
    <w:next w:val="1"/>
    <w:qFormat/>
    <w:uiPriority w:val="0"/>
  </w:style>
  <w:style w:type="paragraph" w:customStyle="1" w:styleId="10">
    <w:name w:val="Table Paragraph"/>
    <w:basedOn w:val="1"/>
    <w:qFormat/>
    <w:uiPriority w:val="1"/>
    <w:pPr>
      <w:jc w:val="left"/>
    </w:pPr>
    <w:rPr>
      <w:kern w:val="0"/>
      <w:sz w:val="22"/>
      <w:lang w:eastAsia="en-U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2023-12-05T02:32:53Z</dcterms:created>
  <dc:creator>Administrator</dc:creator>
  <cp:lastModifiedBy>铃铛</cp:lastModifiedBy>
  <dcterms:modified xsi:type="dcterms:W3CDTF">2023-12-05T02:33:08Z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78AFB330993A472C8B056441D557E7C4_12</vt:lpwstr>
  </property>
</Properties>
</file>