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ascii="仿宋" w:hAnsi="仿宋" w:eastAsia="仿宋" w:cs="仿宋"/>
        </w:rPr>
      </w:pPr>
    </w:p>
    <w:p>
      <w:pPr>
        <w:pageBreakBefore w:val="0"/>
        <w:kinsoku/>
        <w:overflowPunct/>
        <w:topLinePunct w:val="0"/>
        <w:bidi w:val="0"/>
        <w:spacing w:line="360" w:lineRule="auto"/>
        <w:ind w:left="0" w:leftChars="0" w:right="0" w:rightChars="0" w:firstLine="600"/>
        <w:jc w:val="right"/>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项目编号：</w:t>
      </w:r>
      <w:bookmarkStart w:id="0" w:name="【Bobole_项目编号_1】"/>
      <w:r>
        <w:rPr>
          <w:rFonts w:hint="eastAsia" w:ascii="仿宋" w:hAnsi="仿宋" w:eastAsia="仿宋" w:cs="仿宋"/>
          <w:b/>
          <w:color w:val="000000"/>
          <w:sz w:val="30"/>
          <w:szCs w:val="30"/>
        </w:rPr>
        <w:t>N5119022023000049</w:t>
      </w:r>
      <w:bookmarkEnd w:id="0"/>
    </w:p>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color w:val="000000"/>
          <w:sz w:val="30"/>
          <w:szCs w:val="30"/>
        </w:rPr>
      </w:pPr>
    </w:p>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color w:val="000000"/>
          <w:sz w:val="36"/>
          <w:szCs w:val="36"/>
        </w:rPr>
      </w:pPr>
      <w:bookmarkStart w:id="1" w:name="【Bobole_项目名称】"/>
      <w:r>
        <w:rPr>
          <w:rFonts w:hint="eastAsia" w:ascii="仿宋" w:hAnsi="仿宋" w:eastAsia="仿宋" w:cs="仿宋"/>
          <w:b/>
          <w:color w:val="000000"/>
          <w:sz w:val="36"/>
          <w:szCs w:val="36"/>
        </w:rPr>
        <w:t>巴中市巴州区2023年百花溪小流域综合治理提质增效项目(第二次)</w:t>
      </w:r>
      <w:bookmarkEnd w:id="1"/>
    </w:p>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color w:val="000000"/>
          <w:sz w:val="72"/>
          <w:szCs w:val="72"/>
        </w:rPr>
      </w:pPr>
      <w:r>
        <w:rPr>
          <w:rFonts w:hint="eastAsia" w:ascii="仿宋" w:hAnsi="仿宋" w:eastAsia="仿宋" w:cs="仿宋"/>
          <w:b/>
          <w:color w:val="000000"/>
          <w:sz w:val="72"/>
          <w:szCs w:val="72"/>
        </w:rPr>
        <w:t>磋</w:t>
      </w:r>
    </w:p>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color w:val="000000"/>
          <w:sz w:val="72"/>
          <w:szCs w:val="72"/>
        </w:rPr>
      </w:pPr>
      <w:r>
        <w:rPr>
          <w:rFonts w:hint="eastAsia" w:ascii="仿宋" w:hAnsi="仿宋" w:eastAsia="仿宋" w:cs="仿宋"/>
          <w:b/>
          <w:color w:val="000000"/>
          <w:sz w:val="72"/>
          <w:szCs w:val="72"/>
        </w:rPr>
        <w:t>商</w:t>
      </w:r>
    </w:p>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color w:val="000000"/>
          <w:sz w:val="84"/>
          <w:szCs w:val="84"/>
          <w:highlight w:val="none"/>
        </w:rPr>
      </w:pPr>
      <w:r>
        <w:rPr>
          <w:rFonts w:hint="eastAsia" w:ascii="仿宋" w:hAnsi="仿宋" w:eastAsia="仿宋" w:cs="仿宋"/>
          <w:b/>
          <w:color w:val="000000"/>
          <w:sz w:val="72"/>
          <w:szCs w:val="72"/>
          <w:highlight w:val="none"/>
        </w:rPr>
        <w:t>件</w:t>
      </w:r>
    </w:p>
    <w:p>
      <w:pPr>
        <w:pageBreakBefore w:val="0"/>
        <w:kinsoku/>
        <w:overflowPunct/>
        <w:topLinePunct w:val="0"/>
        <w:bidi w:val="0"/>
        <w:spacing w:line="360" w:lineRule="auto"/>
        <w:ind w:left="0" w:leftChars="0" w:right="0"/>
        <w:jc w:val="center"/>
        <w:rPr>
          <w:rFonts w:hint="eastAsia" w:ascii="仿宋" w:hAnsi="仿宋" w:eastAsia="仿宋" w:cs="仿宋"/>
          <w:b/>
          <w:color w:val="000000"/>
          <w:sz w:val="36"/>
          <w:szCs w:val="36"/>
          <w:highlight w:val="none"/>
          <w:lang w:val="zh-CN" w:eastAsia="zh-CN"/>
        </w:rPr>
      </w:pPr>
      <w:bookmarkStart w:id="2" w:name="【Bobole_当前年月】"/>
      <w:r>
        <w:rPr>
          <w:rFonts w:hint="eastAsia" w:ascii="仿宋" w:hAnsi="仿宋" w:eastAsia="仿宋" w:cs="仿宋"/>
          <w:b/>
          <w:color w:val="000000"/>
          <w:sz w:val="36"/>
          <w:szCs w:val="36"/>
          <w:highlight w:val="none"/>
          <w:lang w:val="zh-CN" w:eastAsia="zh-CN"/>
        </w:rPr>
        <w:t xml:space="preserve">采 购 人：巴中市巴州区水土保持服务中心 </w:t>
      </w:r>
    </w:p>
    <w:p>
      <w:pPr>
        <w:pageBreakBefore w:val="0"/>
        <w:kinsoku/>
        <w:overflowPunct/>
        <w:topLinePunct w:val="0"/>
        <w:bidi w:val="0"/>
        <w:spacing w:line="360" w:lineRule="auto"/>
        <w:ind w:left="0" w:leftChars="0" w:right="0" w:firstLine="1446" w:firstLineChars="400"/>
        <w:jc w:val="both"/>
        <w:rPr>
          <w:rFonts w:hint="eastAsia" w:ascii="仿宋" w:hAnsi="仿宋" w:eastAsia="仿宋" w:cs="仿宋"/>
          <w:b/>
          <w:color w:val="auto"/>
          <w:sz w:val="36"/>
          <w:szCs w:val="36"/>
          <w:highlight w:val="none"/>
          <w:lang w:val="zh-CN" w:eastAsia="zh-CN"/>
        </w:rPr>
      </w:pPr>
      <w:r>
        <w:rPr>
          <w:rFonts w:hint="eastAsia" w:ascii="仿宋" w:hAnsi="仿宋" w:eastAsia="仿宋" w:cs="仿宋"/>
          <w:b/>
          <w:color w:val="000000"/>
          <w:sz w:val="36"/>
          <w:szCs w:val="36"/>
          <w:highlight w:val="none"/>
          <w:lang w:val="en-US" w:eastAsia="zh-CN"/>
        </w:rPr>
        <w:t>采购</w:t>
      </w:r>
      <w:r>
        <w:rPr>
          <w:rFonts w:hint="eastAsia" w:ascii="仿宋" w:hAnsi="仿宋" w:eastAsia="仿宋" w:cs="仿宋"/>
          <w:b/>
          <w:color w:val="auto"/>
          <w:sz w:val="36"/>
          <w:szCs w:val="36"/>
          <w:highlight w:val="none"/>
          <w:lang w:val="en-US" w:eastAsia="zh-CN"/>
        </w:rPr>
        <w:t>代理机构：</w:t>
      </w:r>
      <w:r>
        <w:rPr>
          <w:rFonts w:hint="eastAsia" w:ascii="仿宋" w:hAnsi="仿宋" w:eastAsia="仿宋" w:cs="仿宋"/>
          <w:b/>
          <w:color w:val="auto"/>
          <w:sz w:val="36"/>
          <w:szCs w:val="36"/>
          <w:highlight w:val="none"/>
        </w:rPr>
        <w:t>融汇项目管理有限公司</w:t>
      </w:r>
    </w:p>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color w:val="auto"/>
          <w:sz w:val="36"/>
          <w:szCs w:val="36"/>
          <w:highlight w:val="none"/>
          <w:lang w:val="zh-CN" w:eastAsia="zh-CN"/>
        </w:rPr>
      </w:pPr>
      <w:r>
        <w:rPr>
          <w:rFonts w:hint="eastAsia" w:ascii="仿宋" w:hAnsi="仿宋" w:eastAsia="仿宋" w:cs="仿宋"/>
          <w:b/>
          <w:color w:val="auto"/>
          <w:sz w:val="36"/>
          <w:szCs w:val="36"/>
          <w:highlight w:val="none"/>
          <w:lang w:val="zh-CN" w:eastAsia="zh-CN"/>
        </w:rPr>
        <w:t>文件编制：采购人与采购代理机构共同编制</w:t>
      </w:r>
    </w:p>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2023年06月</w:t>
      </w:r>
      <w:bookmarkEnd w:id="2"/>
    </w:p>
    <w:p>
      <w:pPr>
        <w:pageBreakBefore w:val="0"/>
        <w:widowControl/>
        <w:kinsoku/>
        <w:overflowPunct/>
        <w:topLinePunct w:val="0"/>
        <w:bidi w:val="0"/>
        <w:spacing w:line="360" w:lineRule="auto"/>
        <w:ind w:left="0" w:leftChars="0" w:right="0" w:rightChars="0"/>
        <w:jc w:val="center"/>
        <w:textAlignment w:val="auto"/>
        <w:rPr>
          <w:rFonts w:hint="eastAsia" w:ascii="仿宋" w:hAnsi="仿宋" w:eastAsia="仿宋" w:cs="仿宋"/>
          <w:b w:val="0"/>
          <w:color w:val="000000"/>
          <w:sz w:val="24"/>
          <w:szCs w:val="21"/>
        </w:rPr>
        <w:sectPr>
          <w:pgSz w:w="11850" w:h="16783"/>
          <w:pgMar w:top="1134" w:right="1134" w:bottom="1134" w:left="1134" w:header="720" w:footer="720" w:gutter="0"/>
          <w:pgBorders>
            <w:top w:val="none" w:sz="0" w:space="0"/>
            <w:left w:val="none" w:sz="0" w:space="0"/>
            <w:bottom w:val="none" w:sz="0" w:space="0"/>
            <w:right w:val="none" w:sz="0" w:space="0"/>
          </w:pgBorders>
          <w:pgNumType w:fmt="decimal" w:start="1"/>
          <w:cols w:space="720" w:num="1"/>
          <w:rtlGutter w:val="0"/>
          <w:docGrid w:linePitch="312" w:charSpace="0"/>
        </w:sectPr>
      </w:pPr>
      <w:bookmarkStart w:id="3" w:name="【Bobole_目录】"/>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b/>
          <w:bCs/>
          <w:color w:val="000000"/>
          <w:sz w:val="40"/>
          <w:szCs w:val="32"/>
        </w:rPr>
      </w:pPr>
      <w:r>
        <w:rPr>
          <w:rFonts w:hint="eastAsia" w:ascii="仿宋" w:hAnsi="仿宋" w:eastAsia="仿宋" w:cs="仿宋"/>
          <w:b/>
          <w:bCs/>
          <w:color w:val="000000"/>
          <w:sz w:val="40"/>
          <w:szCs w:val="32"/>
        </w:rPr>
        <w:t>目</w:t>
      </w:r>
      <w:r>
        <w:rPr>
          <w:rFonts w:hint="eastAsia" w:ascii="仿宋" w:hAnsi="仿宋" w:eastAsia="仿宋" w:cs="仿宋"/>
          <w:b/>
          <w:bCs/>
          <w:color w:val="000000"/>
          <w:sz w:val="40"/>
          <w:szCs w:val="32"/>
          <w:lang w:val="en-US" w:eastAsia="zh-CN"/>
        </w:rPr>
        <w:t xml:space="preserve">   </w:t>
      </w:r>
      <w:r>
        <w:rPr>
          <w:rFonts w:hint="eastAsia" w:ascii="仿宋" w:hAnsi="仿宋" w:eastAsia="仿宋" w:cs="仿宋"/>
          <w:b/>
          <w:bCs/>
          <w:color w:val="000000"/>
          <w:sz w:val="40"/>
          <w:szCs w:val="32"/>
        </w:rPr>
        <w:t>录</w:t>
      </w:r>
    </w:p>
    <w:p>
      <w:pPr>
        <w:pStyle w:val="11"/>
        <w:tabs>
          <w:tab w:val="right" w:leader="dot" w:pos="9582"/>
        </w:tabs>
        <w:spacing w:line="360" w:lineRule="auto"/>
        <w:jc w:val="distribute"/>
        <w:rPr>
          <w:rFonts w:hint="eastAsia" w:ascii="仿宋" w:hAnsi="仿宋" w:eastAsia="仿宋" w:cs="仿宋"/>
        </w:rPr>
      </w:pPr>
      <w:r>
        <w:rPr>
          <w:rFonts w:hint="eastAsia" w:ascii="仿宋" w:hAnsi="仿宋" w:eastAsia="仿宋" w:cs="仿宋"/>
          <w:b w:val="0"/>
          <w:color w:val="000000"/>
          <w:sz w:val="24"/>
          <w:szCs w:val="21"/>
        </w:rPr>
        <w:fldChar w:fldCharType="begin"/>
      </w:r>
      <w:r>
        <w:rPr>
          <w:rFonts w:hint="eastAsia" w:ascii="仿宋" w:hAnsi="仿宋" w:eastAsia="仿宋" w:cs="仿宋"/>
          <w:b w:val="0"/>
          <w:color w:val="000000"/>
          <w:sz w:val="24"/>
          <w:szCs w:val="21"/>
        </w:rPr>
        <w:instrText xml:space="preserve">TOC \o "1-3" \h \z \u</w:instrText>
      </w:r>
      <w:r>
        <w:rPr>
          <w:rFonts w:hint="eastAsia" w:ascii="仿宋" w:hAnsi="仿宋" w:eastAsia="仿宋" w:cs="仿宋"/>
          <w:b w:val="0"/>
          <w:color w:val="000000"/>
          <w:sz w:val="24"/>
          <w:szCs w:val="21"/>
        </w:rPr>
        <w:fldChar w:fldCharType="separate"/>
      </w: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_Toc31644 </w:instrText>
      </w:r>
      <w:r>
        <w:rPr>
          <w:rFonts w:hint="eastAsia" w:ascii="仿宋" w:hAnsi="仿宋" w:eastAsia="仿宋" w:cs="仿宋"/>
          <w:szCs w:val="21"/>
        </w:rPr>
        <w:fldChar w:fldCharType="separate"/>
      </w:r>
      <w:r>
        <w:rPr>
          <w:rFonts w:hint="eastAsia" w:ascii="仿宋" w:hAnsi="仿宋" w:eastAsia="仿宋" w:cs="仿宋"/>
          <w:bCs/>
          <w:szCs w:val="36"/>
          <w:lang w:val="en-US" w:eastAsia="zh-CN"/>
        </w:rPr>
        <w:t xml:space="preserve">第一章 </w:t>
      </w:r>
      <w:r>
        <w:rPr>
          <w:rFonts w:hint="eastAsia" w:ascii="仿宋" w:hAnsi="仿宋" w:eastAsia="仿宋" w:cs="仿宋"/>
          <w:bCs/>
          <w:szCs w:val="36"/>
        </w:rPr>
        <w:t>磋商邀请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_Toc31644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1"/>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_Toc12869 </w:instrText>
      </w:r>
      <w:r>
        <w:rPr>
          <w:rFonts w:hint="eastAsia" w:ascii="仿宋" w:hAnsi="仿宋" w:eastAsia="仿宋" w:cs="仿宋"/>
          <w:szCs w:val="21"/>
        </w:rPr>
        <w:fldChar w:fldCharType="separate"/>
      </w:r>
      <w:r>
        <w:rPr>
          <w:rFonts w:hint="eastAsia" w:ascii="仿宋" w:hAnsi="仿宋" w:eastAsia="仿宋" w:cs="仿宋"/>
        </w:rPr>
        <w:t>第二章  磋商须知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_Toc12869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2"/>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_Toc24889 </w:instrText>
      </w:r>
      <w:r>
        <w:rPr>
          <w:rFonts w:hint="eastAsia" w:ascii="仿宋" w:hAnsi="仿宋" w:eastAsia="仿宋" w:cs="仿宋"/>
          <w:szCs w:val="21"/>
        </w:rPr>
        <w:fldChar w:fldCharType="separate"/>
      </w:r>
      <w:r>
        <w:rPr>
          <w:rFonts w:hint="eastAsia" w:ascii="仿宋" w:hAnsi="仿宋" w:eastAsia="仿宋" w:cs="仿宋"/>
        </w:rPr>
        <w:t>一、供应商须知附表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_Toc24889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2"/>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_Toc25733 </w:instrText>
      </w:r>
      <w:r>
        <w:rPr>
          <w:rFonts w:hint="eastAsia" w:ascii="仿宋" w:hAnsi="仿宋" w:eastAsia="仿宋" w:cs="仿宋"/>
          <w:szCs w:val="21"/>
        </w:rPr>
        <w:fldChar w:fldCharType="separate"/>
      </w:r>
      <w:r>
        <w:rPr>
          <w:rFonts w:hint="eastAsia" w:ascii="仿宋" w:hAnsi="仿宋" w:eastAsia="仿宋" w:cs="仿宋"/>
          <w:bCs/>
        </w:rPr>
        <w:t>二、总则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_Toc25733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2"/>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_Toc22313 </w:instrText>
      </w:r>
      <w:r>
        <w:rPr>
          <w:rFonts w:hint="eastAsia" w:ascii="仿宋" w:hAnsi="仿宋" w:eastAsia="仿宋" w:cs="仿宋"/>
          <w:szCs w:val="21"/>
        </w:rPr>
        <w:fldChar w:fldCharType="separate"/>
      </w:r>
      <w:r>
        <w:rPr>
          <w:rFonts w:hint="eastAsia" w:ascii="仿宋" w:hAnsi="仿宋" w:eastAsia="仿宋" w:cs="仿宋"/>
          <w:bCs/>
          <w:lang w:val="en-US" w:eastAsia="zh-CN"/>
        </w:rPr>
        <w:t>三</w:t>
      </w:r>
      <w:r>
        <w:rPr>
          <w:rFonts w:hint="eastAsia" w:ascii="仿宋" w:hAnsi="仿宋" w:eastAsia="仿宋" w:cs="仿宋"/>
          <w:bCs/>
        </w:rPr>
        <w:t>、响应文件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_Toc22313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2"/>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_Toc7985 </w:instrText>
      </w:r>
      <w:r>
        <w:rPr>
          <w:rFonts w:hint="eastAsia" w:ascii="仿宋" w:hAnsi="仿宋" w:eastAsia="仿宋" w:cs="仿宋"/>
          <w:szCs w:val="21"/>
        </w:rPr>
        <w:fldChar w:fldCharType="separate"/>
      </w:r>
      <w:r>
        <w:rPr>
          <w:rFonts w:hint="eastAsia" w:ascii="仿宋" w:hAnsi="仿宋" w:eastAsia="仿宋" w:cs="仿宋"/>
          <w:bCs/>
          <w:lang w:val="en-US" w:eastAsia="zh-CN"/>
        </w:rPr>
        <w:t>四</w:t>
      </w:r>
      <w:r>
        <w:rPr>
          <w:rFonts w:hint="eastAsia" w:ascii="仿宋" w:hAnsi="仿宋" w:eastAsia="仿宋" w:cs="仿宋"/>
          <w:bCs/>
        </w:rPr>
        <w:t>、磋商程序和成交标准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_Toc7985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2"/>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_Toc17992 </w:instrText>
      </w:r>
      <w:r>
        <w:rPr>
          <w:rFonts w:hint="eastAsia" w:ascii="仿宋" w:hAnsi="仿宋" w:eastAsia="仿宋" w:cs="仿宋"/>
          <w:szCs w:val="21"/>
        </w:rPr>
        <w:fldChar w:fldCharType="separate"/>
      </w:r>
      <w:r>
        <w:rPr>
          <w:rFonts w:hint="eastAsia" w:ascii="仿宋" w:hAnsi="仿宋" w:eastAsia="仿宋" w:cs="仿宋"/>
          <w:bCs/>
          <w:lang w:val="en-US" w:eastAsia="zh-CN"/>
        </w:rPr>
        <w:t>五</w:t>
      </w:r>
      <w:r>
        <w:rPr>
          <w:rFonts w:hint="eastAsia" w:ascii="仿宋" w:hAnsi="仿宋" w:eastAsia="仿宋" w:cs="仿宋"/>
          <w:bCs/>
        </w:rPr>
        <w:t>、政府采购合同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_Toc17992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2"/>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_Toc4010 </w:instrText>
      </w:r>
      <w:r>
        <w:rPr>
          <w:rFonts w:hint="eastAsia" w:ascii="仿宋" w:hAnsi="仿宋" w:eastAsia="仿宋" w:cs="仿宋"/>
          <w:szCs w:val="21"/>
        </w:rPr>
        <w:fldChar w:fldCharType="separate"/>
      </w:r>
      <w:r>
        <w:rPr>
          <w:rFonts w:hint="eastAsia" w:ascii="仿宋" w:hAnsi="仿宋" w:eastAsia="仿宋" w:cs="仿宋"/>
          <w:bCs/>
          <w:lang w:val="en-US" w:eastAsia="zh-CN"/>
        </w:rPr>
        <w:t>六</w:t>
      </w:r>
      <w:r>
        <w:rPr>
          <w:rFonts w:hint="eastAsia" w:ascii="仿宋" w:hAnsi="仿宋" w:eastAsia="仿宋" w:cs="仿宋"/>
          <w:bCs/>
        </w:rPr>
        <w:t>、信用记录的查询和使用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_Toc4010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2"/>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_Toc29798 </w:instrText>
      </w:r>
      <w:r>
        <w:rPr>
          <w:rFonts w:hint="eastAsia" w:ascii="仿宋" w:hAnsi="仿宋" w:eastAsia="仿宋" w:cs="仿宋"/>
          <w:szCs w:val="21"/>
        </w:rPr>
        <w:fldChar w:fldCharType="separate"/>
      </w:r>
      <w:r>
        <w:rPr>
          <w:rFonts w:hint="eastAsia" w:ascii="仿宋" w:hAnsi="仿宋" w:eastAsia="仿宋" w:cs="仿宋"/>
          <w:bCs/>
          <w:lang w:val="en-US" w:eastAsia="zh-CN"/>
        </w:rPr>
        <w:t>七</w:t>
      </w:r>
      <w:r>
        <w:rPr>
          <w:rFonts w:hint="eastAsia" w:ascii="仿宋" w:hAnsi="仿宋" w:eastAsia="仿宋" w:cs="仿宋"/>
          <w:bCs/>
        </w:rPr>
        <w:t>、行贿犯罪档案查询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_Toc29798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2"/>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_Toc29930 </w:instrText>
      </w:r>
      <w:r>
        <w:rPr>
          <w:rFonts w:hint="eastAsia" w:ascii="仿宋" w:hAnsi="仿宋" w:eastAsia="仿宋" w:cs="仿宋"/>
          <w:szCs w:val="21"/>
        </w:rPr>
        <w:fldChar w:fldCharType="separate"/>
      </w:r>
      <w:r>
        <w:rPr>
          <w:rFonts w:hint="eastAsia" w:ascii="仿宋" w:hAnsi="仿宋" w:eastAsia="仿宋" w:cs="仿宋"/>
          <w:bCs/>
          <w:lang w:val="en-US" w:eastAsia="zh-CN"/>
        </w:rPr>
        <w:t>八</w:t>
      </w:r>
      <w:r>
        <w:rPr>
          <w:rFonts w:hint="eastAsia" w:ascii="仿宋" w:hAnsi="仿宋" w:eastAsia="仿宋" w:cs="仿宋"/>
          <w:bCs/>
        </w:rPr>
        <w:t>、强制采购政策要求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_Toc29930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2"/>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_Toc3353 </w:instrText>
      </w:r>
      <w:r>
        <w:rPr>
          <w:rFonts w:hint="eastAsia" w:ascii="仿宋" w:hAnsi="仿宋" w:eastAsia="仿宋" w:cs="仿宋"/>
          <w:szCs w:val="21"/>
        </w:rPr>
        <w:fldChar w:fldCharType="separate"/>
      </w:r>
      <w:r>
        <w:rPr>
          <w:rFonts w:hint="eastAsia" w:ascii="仿宋" w:hAnsi="仿宋" w:eastAsia="仿宋" w:cs="仿宋"/>
          <w:bCs/>
          <w:lang w:val="en-US" w:eastAsia="zh-CN"/>
        </w:rPr>
        <w:t>九</w:t>
      </w:r>
      <w:r>
        <w:rPr>
          <w:rFonts w:hint="eastAsia" w:ascii="仿宋" w:hAnsi="仿宋" w:eastAsia="仿宋" w:cs="仿宋"/>
          <w:bCs/>
        </w:rPr>
        <w:t>、供应商的禁止性行为要求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_Toc3353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2"/>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_Toc21767 </w:instrText>
      </w:r>
      <w:r>
        <w:rPr>
          <w:rFonts w:hint="eastAsia" w:ascii="仿宋" w:hAnsi="仿宋" w:eastAsia="仿宋" w:cs="仿宋"/>
          <w:szCs w:val="21"/>
        </w:rPr>
        <w:fldChar w:fldCharType="separate"/>
      </w:r>
      <w:r>
        <w:rPr>
          <w:rFonts w:hint="eastAsia" w:ascii="仿宋" w:hAnsi="仿宋" w:eastAsia="仿宋" w:cs="仿宋"/>
          <w:bCs/>
        </w:rPr>
        <w:t>十、询问、质疑和投诉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_Toc21767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2"/>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_Toc29366 </w:instrText>
      </w:r>
      <w:r>
        <w:rPr>
          <w:rFonts w:hint="eastAsia" w:ascii="仿宋" w:hAnsi="仿宋" w:eastAsia="仿宋" w:cs="仿宋"/>
          <w:szCs w:val="21"/>
        </w:rPr>
        <w:fldChar w:fldCharType="separate"/>
      </w:r>
      <w:r>
        <w:rPr>
          <w:rFonts w:hint="eastAsia" w:ascii="仿宋" w:hAnsi="仿宋" w:eastAsia="仿宋" w:cs="仿宋"/>
          <w:bCs/>
        </w:rPr>
        <w:t>十</w:t>
      </w:r>
      <w:r>
        <w:rPr>
          <w:rFonts w:hint="eastAsia" w:ascii="仿宋" w:hAnsi="仿宋" w:eastAsia="仿宋" w:cs="仿宋"/>
          <w:bCs/>
          <w:lang w:val="en-US" w:eastAsia="zh-CN"/>
        </w:rPr>
        <w:t>一</w:t>
      </w:r>
      <w:r>
        <w:rPr>
          <w:rFonts w:hint="eastAsia" w:ascii="仿宋" w:hAnsi="仿宋" w:eastAsia="仿宋" w:cs="仿宋"/>
          <w:bCs/>
        </w:rPr>
        <w:t>、将导致投标被拒绝或无效的情形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_Toc29366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1"/>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_Toc1135 </w:instrText>
      </w:r>
      <w:r>
        <w:rPr>
          <w:rFonts w:hint="eastAsia" w:ascii="仿宋" w:hAnsi="仿宋" w:eastAsia="仿宋" w:cs="仿宋"/>
          <w:szCs w:val="21"/>
        </w:rPr>
        <w:fldChar w:fldCharType="separate"/>
      </w:r>
      <w:r>
        <w:rPr>
          <w:rFonts w:hint="eastAsia" w:ascii="仿宋" w:hAnsi="仿宋" w:eastAsia="仿宋" w:cs="仿宋"/>
          <w:bCs/>
          <w:szCs w:val="36"/>
        </w:rPr>
        <w:t>第三章 资格条件要求以及应当提供的资格证明材料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_Toc1135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1"/>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_Toc28007 </w:instrText>
      </w:r>
      <w:r>
        <w:rPr>
          <w:rFonts w:hint="eastAsia" w:ascii="仿宋" w:hAnsi="仿宋" w:eastAsia="仿宋" w:cs="仿宋"/>
          <w:szCs w:val="21"/>
        </w:rPr>
        <w:fldChar w:fldCharType="separate"/>
      </w:r>
      <w:r>
        <w:rPr>
          <w:rFonts w:hint="eastAsia" w:ascii="仿宋" w:hAnsi="仿宋" w:eastAsia="仿宋" w:cs="仿宋"/>
          <w:bCs/>
          <w:szCs w:val="36"/>
        </w:rPr>
        <w:t xml:space="preserve">第四章 </w:t>
      </w:r>
      <w:r>
        <w:rPr>
          <w:rFonts w:hint="eastAsia" w:ascii="仿宋" w:hAnsi="仿宋" w:eastAsia="仿宋" w:cs="仿宋"/>
          <w:szCs w:val="36"/>
        </w:rPr>
        <w:t>采购需求及其技术、服务及其他要求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_Toc28007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2"/>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_Toc31946 </w:instrText>
      </w:r>
      <w:r>
        <w:rPr>
          <w:rFonts w:hint="eastAsia" w:ascii="仿宋" w:hAnsi="仿宋" w:eastAsia="仿宋" w:cs="仿宋"/>
          <w:szCs w:val="21"/>
        </w:rPr>
        <w:fldChar w:fldCharType="separate"/>
      </w:r>
      <w:r>
        <w:rPr>
          <w:rFonts w:hint="eastAsia" w:ascii="仿宋" w:hAnsi="仿宋" w:eastAsia="仿宋" w:cs="仿宋"/>
          <w:szCs w:val="28"/>
          <w:highlight w:val="none"/>
          <w:lang w:val="en-US" w:eastAsia="zh-CN"/>
        </w:rPr>
        <w:t>一、项目概述</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_Toc31946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2"/>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_Toc16814 </w:instrText>
      </w:r>
      <w:r>
        <w:rPr>
          <w:rFonts w:hint="eastAsia" w:ascii="仿宋" w:hAnsi="仿宋" w:eastAsia="仿宋" w:cs="仿宋"/>
          <w:szCs w:val="21"/>
        </w:rPr>
        <w:fldChar w:fldCharType="separate"/>
      </w:r>
      <w:r>
        <w:rPr>
          <w:rFonts w:hint="eastAsia" w:ascii="仿宋" w:hAnsi="仿宋" w:eastAsia="仿宋" w:cs="仿宋"/>
          <w:bCs/>
          <w:szCs w:val="28"/>
          <w:lang w:val="en-US" w:eastAsia="zh-CN"/>
        </w:rPr>
        <w:t>二、项目所属行业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_Toc16814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2"/>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_Toc25611 </w:instrText>
      </w:r>
      <w:r>
        <w:rPr>
          <w:rFonts w:hint="eastAsia" w:ascii="仿宋" w:hAnsi="仿宋" w:eastAsia="仿宋" w:cs="仿宋"/>
          <w:szCs w:val="21"/>
        </w:rPr>
        <w:fldChar w:fldCharType="separate"/>
      </w:r>
      <w:r>
        <w:rPr>
          <w:rFonts w:hint="eastAsia" w:ascii="仿宋" w:hAnsi="仿宋" w:eastAsia="仿宋" w:cs="仿宋"/>
          <w:bCs/>
          <w:szCs w:val="28"/>
          <w:lang w:val="en-US" w:eastAsia="zh-CN"/>
        </w:rPr>
        <w:t>三、服务内容及要求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_Toc25611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2"/>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_Toc2887 </w:instrText>
      </w:r>
      <w:r>
        <w:rPr>
          <w:rFonts w:hint="eastAsia" w:ascii="仿宋" w:hAnsi="仿宋" w:eastAsia="仿宋" w:cs="仿宋"/>
          <w:szCs w:val="21"/>
        </w:rPr>
        <w:fldChar w:fldCharType="separate"/>
      </w:r>
      <w:r>
        <w:rPr>
          <w:rFonts w:hint="eastAsia" w:ascii="仿宋" w:hAnsi="仿宋" w:eastAsia="仿宋" w:cs="仿宋"/>
          <w:szCs w:val="28"/>
          <w:highlight w:val="none"/>
          <w:lang w:val="en-US" w:eastAsia="zh-CN"/>
        </w:rPr>
        <w:t>四、商务要求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_Toc2887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1"/>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_Toc1611 </w:instrText>
      </w:r>
      <w:r>
        <w:rPr>
          <w:rFonts w:hint="eastAsia" w:ascii="仿宋" w:hAnsi="仿宋" w:eastAsia="仿宋" w:cs="仿宋"/>
          <w:szCs w:val="21"/>
        </w:rPr>
        <w:fldChar w:fldCharType="separate"/>
      </w:r>
      <w:r>
        <w:rPr>
          <w:rFonts w:hint="eastAsia" w:ascii="仿宋" w:hAnsi="仿宋" w:eastAsia="仿宋" w:cs="仿宋"/>
          <w:bCs/>
          <w:szCs w:val="36"/>
        </w:rPr>
        <w:t>第五章 供应商响应文件相关文书格式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_Toc1611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1"/>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_Toc12733 </w:instrText>
      </w:r>
      <w:r>
        <w:rPr>
          <w:rFonts w:hint="eastAsia" w:ascii="仿宋" w:hAnsi="仿宋" w:eastAsia="仿宋" w:cs="仿宋"/>
          <w:szCs w:val="21"/>
        </w:rPr>
        <w:fldChar w:fldCharType="separate"/>
      </w:r>
      <w:r>
        <w:rPr>
          <w:rFonts w:hint="eastAsia" w:ascii="仿宋" w:hAnsi="仿宋" w:eastAsia="仿宋" w:cs="仿宋"/>
          <w:bCs/>
          <w:szCs w:val="36"/>
        </w:rPr>
        <w:t>第六章  磋商程序和成交标准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_Toc12733 \h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8"/>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_Toc1595 </w:instrText>
      </w:r>
      <w:r>
        <w:rPr>
          <w:rFonts w:hint="eastAsia" w:ascii="仿宋" w:hAnsi="仿宋" w:eastAsia="仿宋" w:cs="仿宋"/>
          <w:szCs w:val="21"/>
        </w:rPr>
        <w:fldChar w:fldCharType="separate"/>
      </w:r>
      <w:r>
        <w:rPr>
          <w:rFonts w:hint="eastAsia" w:ascii="仿宋" w:hAnsi="仿宋" w:eastAsia="仿宋" w:cs="仿宋"/>
        </w:rPr>
        <w:t>一、磋商程序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_Toc1595 \h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8"/>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_Toc28485 </w:instrText>
      </w:r>
      <w:r>
        <w:rPr>
          <w:rFonts w:hint="eastAsia" w:ascii="仿宋" w:hAnsi="仿宋" w:eastAsia="仿宋" w:cs="仿宋"/>
          <w:szCs w:val="21"/>
        </w:rPr>
        <w:fldChar w:fldCharType="separate"/>
      </w:r>
      <w:r>
        <w:rPr>
          <w:rFonts w:hint="eastAsia" w:ascii="仿宋" w:hAnsi="仿宋" w:eastAsia="仿宋" w:cs="仿宋"/>
        </w:rPr>
        <w:t>二、成立磋商小组</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_Toc28485 \h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8"/>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_Toc5580 </w:instrText>
      </w:r>
      <w:r>
        <w:rPr>
          <w:rFonts w:hint="eastAsia" w:ascii="仿宋" w:hAnsi="仿宋" w:eastAsia="仿宋" w:cs="仿宋"/>
          <w:szCs w:val="21"/>
        </w:rPr>
        <w:fldChar w:fldCharType="separate"/>
      </w:r>
      <w:r>
        <w:rPr>
          <w:rFonts w:hint="eastAsia" w:ascii="仿宋" w:hAnsi="仿宋" w:eastAsia="仿宋" w:cs="仿宋"/>
        </w:rPr>
        <w:t>三、熟悉磋商文件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_Toc5580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8"/>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_Toc32182 </w:instrText>
      </w:r>
      <w:r>
        <w:rPr>
          <w:rFonts w:hint="eastAsia" w:ascii="仿宋" w:hAnsi="仿宋" w:eastAsia="仿宋" w:cs="仿宋"/>
          <w:szCs w:val="21"/>
        </w:rPr>
        <w:fldChar w:fldCharType="separate"/>
      </w:r>
      <w:r>
        <w:rPr>
          <w:rFonts w:hint="eastAsia" w:ascii="仿宋" w:hAnsi="仿宋" w:eastAsia="仿宋" w:cs="仿宋"/>
        </w:rPr>
        <w:t>四、书面审查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_Toc32182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8"/>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_Toc29223 </w:instrText>
      </w:r>
      <w:r>
        <w:rPr>
          <w:rFonts w:hint="eastAsia" w:ascii="仿宋" w:hAnsi="仿宋" w:eastAsia="仿宋" w:cs="仿宋"/>
          <w:szCs w:val="21"/>
        </w:rPr>
        <w:fldChar w:fldCharType="separate"/>
      </w:r>
      <w:r>
        <w:rPr>
          <w:rFonts w:hint="eastAsia" w:ascii="仿宋" w:hAnsi="仿宋" w:eastAsia="仿宋" w:cs="仿宋"/>
        </w:rPr>
        <w:t>五、磋商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_Toc29223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8"/>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_Toc5172 </w:instrText>
      </w:r>
      <w:r>
        <w:rPr>
          <w:rFonts w:hint="eastAsia" w:ascii="仿宋" w:hAnsi="仿宋" w:eastAsia="仿宋" w:cs="仿宋"/>
          <w:szCs w:val="21"/>
        </w:rPr>
        <w:fldChar w:fldCharType="separate"/>
      </w:r>
      <w:r>
        <w:rPr>
          <w:rFonts w:hint="eastAsia" w:ascii="仿宋" w:hAnsi="仿宋" w:eastAsia="仿宋" w:cs="仿宋"/>
        </w:rPr>
        <w:t>六、多轮报价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_Toc5172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8"/>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_Toc25632 </w:instrText>
      </w:r>
      <w:r>
        <w:rPr>
          <w:rFonts w:hint="eastAsia" w:ascii="仿宋" w:hAnsi="仿宋" w:eastAsia="仿宋" w:cs="仿宋"/>
          <w:szCs w:val="21"/>
        </w:rPr>
        <w:fldChar w:fldCharType="separate"/>
      </w:r>
      <w:r>
        <w:rPr>
          <w:rFonts w:hint="eastAsia" w:ascii="仿宋" w:hAnsi="仿宋" w:eastAsia="仿宋" w:cs="仿宋"/>
        </w:rPr>
        <w:t>七、比较与评价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_Toc25632 \h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8"/>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_Toc30102 </w:instrText>
      </w:r>
      <w:r>
        <w:rPr>
          <w:rFonts w:hint="eastAsia" w:ascii="仿宋" w:hAnsi="仿宋" w:eastAsia="仿宋" w:cs="仿宋"/>
          <w:szCs w:val="21"/>
        </w:rPr>
        <w:fldChar w:fldCharType="separate"/>
      </w:r>
      <w:r>
        <w:rPr>
          <w:rFonts w:hint="eastAsia" w:ascii="仿宋" w:hAnsi="仿宋" w:eastAsia="仿宋" w:cs="仿宋"/>
        </w:rPr>
        <w:t>八、评审结果复核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_Toc30102 \h </w:instrText>
      </w:r>
      <w:r>
        <w:rPr>
          <w:rFonts w:hint="eastAsia" w:ascii="仿宋" w:hAnsi="仿宋" w:eastAsia="仿宋" w:cs="仿宋"/>
        </w:rPr>
        <w:fldChar w:fldCharType="separate"/>
      </w:r>
      <w:r>
        <w:rPr>
          <w:rFonts w:hint="eastAsia" w:ascii="仿宋" w:hAnsi="仿宋" w:eastAsia="仿宋" w:cs="仿宋"/>
        </w:rPr>
        <w:t>50</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8"/>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_Toc4918 </w:instrText>
      </w:r>
      <w:r>
        <w:rPr>
          <w:rFonts w:hint="eastAsia" w:ascii="仿宋" w:hAnsi="仿宋" w:eastAsia="仿宋" w:cs="仿宋"/>
          <w:szCs w:val="21"/>
        </w:rPr>
        <w:fldChar w:fldCharType="separate"/>
      </w:r>
      <w:r>
        <w:rPr>
          <w:rFonts w:hint="eastAsia" w:ascii="仿宋" w:hAnsi="仿宋" w:eastAsia="仿宋" w:cs="仿宋"/>
        </w:rPr>
        <w:t>九、供应商澄清、说明、更正</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_Toc4918 \h </w:instrText>
      </w:r>
      <w:r>
        <w:rPr>
          <w:rFonts w:hint="eastAsia" w:ascii="仿宋" w:hAnsi="仿宋" w:eastAsia="仿宋" w:cs="仿宋"/>
        </w:rPr>
        <w:fldChar w:fldCharType="separate"/>
      </w:r>
      <w:r>
        <w:rPr>
          <w:rFonts w:hint="eastAsia" w:ascii="仿宋" w:hAnsi="仿宋" w:eastAsia="仿宋" w:cs="仿宋"/>
        </w:rPr>
        <w:t>51</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8"/>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_Toc829 </w:instrText>
      </w:r>
      <w:r>
        <w:rPr>
          <w:rFonts w:hint="eastAsia" w:ascii="仿宋" w:hAnsi="仿宋" w:eastAsia="仿宋" w:cs="仿宋"/>
          <w:szCs w:val="21"/>
        </w:rPr>
        <w:fldChar w:fldCharType="separate"/>
      </w:r>
      <w:r>
        <w:rPr>
          <w:rFonts w:hint="eastAsia" w:ascii="仿宋" w:hAnsi="仿宋" w:eastAsia="仿宋" w:cs="仿宋"/>
        </w:rPr>
        <w:t>十、推荐成交候选供应商和出具磋商报告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_Toc829 \h </w:instrText>
      </w:r>
      <w:r>
        <w:rPr>
          <w:rFonts w:hint="eastAsia" w:ascii="仿宋" w:hAnsi="仿宋" w:eastAsia="仿宋" w:cs="仿宋"/>
        </w:rPr>
        <w:fldChar w:fldCharType="separate"/>
      </w:r>
      <w:r>
        <w:rPr>
          <w:rFonts w:hint="eastAsia" w:ascii="仿宋" w:hAnsi="仿宋" w:eastAsia="仿宋" w:cs="仿宋"/>
        </w:rPr>
        <w:t>52</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8"/>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_Toc23459 </w:instrText>
      </w:r>
      <w:r>
        <w:rPr>
          <w:rFonts w:hint="eastAsia" w:ascii="仿宋" w:hAnsi="仿宋" w:eastAsia="仿宋" w:cs="仿宋"/>
          <w:szCs w:val="21"/>
        </w:rPr>
        <w:fldChar w:fldCharType="separate"/>
      </w:r>
      <w:r>
        <w:rPr>
          <w:rFonts w:hint="eastAsia" w:ascii="仿宋" w:hAnsi="仿宋" w:eastAsia="仿宋" w:cs="仿宋"/>
        </w:rPr>
        <w:t>十一、评审工作纪律</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_Toc23459 \h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8"/>
        <w:tabs>
          <w:tab w:val="right" w:leader="dot" w:pos="9582"/>
        </w:tabs>
        <w:spacing w:line="360" w:lineRule="auto"/>
        <w:jc w:val="distribute"/>
        <w:rPr>
          <w:rFonts w:hint="eastAsia" w:ascii="仿宋" w:hAnsi="仿宋" w:eastAsia="仿宋" w:cs="仿宋"/>
        </w:rPr>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_Toc3951 </w:instrText>
      </w:r>
      <w:r>
        <w:rPr>
          <w:rFonts w:hint="eastAsia" w:ascii="仿宋" w:hAnsi="仿宋" w:eastAsia="仿宋" w:cs="仿宋"/>
          <w:szCs w:val="21"/>
        </w:rPr>
        <w:fldChar w:fldCharType="separate"/>
      </w:r>
      <w:r>
        <w:rPr>
          <w:rFonts w:hint="eastAsia" w:ascii="仿宋" w:hAnsi="仿宋" w:eastAsia="仿宋" w:cs="仿宋"/>
        </w:rPr>
        <w:t>十二、确定成交供应商、发布成交结果公告和发出成交通知书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_Toc3951 \h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color w:val="000000"/>
          <w:szCs w:val="21"/>
        </w:rPr>
        <w:fldChar w:fldCharType="end"/>
      </w:r>
    </w:p>
    <w:p>
      <w:pPr>
        <w:pStyle w:val="11"/>
        <w:tabs>
          <w:tab w:val="right" w:leader="dot" w:pos="9582"/>
        </w:tabs>
        <w:spacing w:line="360" w:lineRule="auto"/>
        <w:jc w:val="distribute"/>
      </w:pPr>
      <w:r>
        <w:rPr>
          <w:rFonts w:hint="eastAsia" w:ascii="仿宋" w:hAnsi="仿宋" w:eastAsia="仿宋" w:cs="仿宋"/>
          <w:color w:val="000000"/>
          <w:szCs w:val="21"/>
        </w:rPr>
        <w:fldChar w:fldCharType="begin"/>
      </w:r>
      <w:r>
        <w:rPr>
          <w:rFonts w:hint="eastAsia" w:ascii="仿宋" w:hAnsi="仿宋" w:eastAsia="仿宋" w:cs="仿宋"/>
          <w:szCs w:val="21"/>
        </w:rPr>
        <w:instrText xml:space="preserve"> HYPERLINK \l _Toc22973 </w:instrText>
      </w:r>
      <w:r>
        <w:rPr>
          <w:rFonts w:hint="eastAsia" w:ascii="仿宋" w:hAnsi="仿宋" w:eastAsia="仿宋" w:cs="仿宋"/>
          <w:szCs w:val="21"/>
        </w:rPr>
        <w:fldChar w:fldCharType="separate"/>
      </w:r>
      <w:r>
        <w:rPr>
          <w:rFonts w:hint="eastAsia" w:ascii="仿宋" w:hAnsi="仿宋" w:eastAsia="仿宋" w:cs="仿宋"/>
          <w:bCs/>
          <w:szCs w:val="36"/>
        </w:rPr>
        <w:t>第七章 合同草案条款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_Toc22973 \h </w:instrText>
      </w:r>
      <w:r>
        <w:rPr>
          <w:rFonts w:hint="eastAsia" w:ascii="仿宋" w:hAnsi="仿宋" w:eastAsia="仿宋" w:cs="仿宋"/>
        </w:rPr>
        <w:fldChar w:fldCharType="separate"/>
      </w:r>
      <w:r>
        <w:rPr>
          <w:rFonts w:hint="eastAsia" w:ascii="仿宋" w:hAnsi="仿宋" w:eastAsia="仿宋" w:cs="仿宋"/>
        </w:rPr>
        <w:t>55</w:t>
      </w:r>
      <w:r>
        <w:rPr>
          <w:rFonts w:hint="eastAsia" w:ascii="仿宋" w:hAnsi="仿宋" w:eastAsia="仿宋" w:cs="仿宋"/>
        </w:rPr>
        <w:fldChar w:fldCharType="end"/>
      </w:r>
      <w:r>
        <w:rPr>
          <w:rFonts w:hint="eastAsia" w:ascii="仿宋" w:hAnsi="仿宋" w:eastAsia="仿宋" w:cs="仿宋"/>
          <w:color w:val="000000"/>
          <w:szCs w:val="21"/>
        </w:rPr>
        <w:fldChar w:fldCharType="end"/>
      </w:r>
    </w:p>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仿宋" w:hAnsi="仿宋" w:eastAsia="仿宋" w:cs="仿宋"/>
          <w:b w:val="0"/>
          <w:color w:val="000000"/>
          <w:sz w:val="24"/>
          <w:szCs w:val="21"/>
        </w:rPr>
      </w:pPr>
      <w:r>
        <w:rPr>
          <w:rFonts w:hint="eastAsia" w:ascii="仿宋" w:hAnsi="仿宋" w:eastAsia="仿宋" w:cs="仿宋"/>
          <w:color w:val="000000"/>
          <w:szCs w:val="21"/>
        </w:rPr>
        <w:fldChar w:fldCharType="end"/>
      </w:r>
      <w:r>
        <w:rPr>
          <w:rFonts w:hint="eastAsia" w:ascii="仿宋" w:hAnsi="仿宋" w:eastAsia="仿宋" w:cs="仿宋"/>
          <w:b w:val="0"/>
          <w:color w:val="000000"/>
          <w:sz w:val="24"/>
          <w:szCs w:val="21"/>
        </w:rPr>
        <w:br w:type="page"/>
      </w:r>
      <w:bookmarkEnd w:id="3"/>
      <w:bookmarkStart w:id="4" w:name="_Toc471310326"/>
      <w:bookmarkStart w:id="5" w:name="_Toc63765766"/>
      <w:bookmarkStart w:id="6" w:name="_Toc13842"/>
    </w:p>
    <w:p>
      <w:pPr>
        <w:pStyle w:val="2"/>
        <w:pageBreakBefore w:val="0"/>
        <w:numPr>
          <w:ilvl w:val="0"/>
          <w:numId w:val="0"/>
        </w:numPr>
        <w:kinsoku/>
        <w:overflowPunct/>
        <w:topLinePunct w:val="0"/>
        <w:bidi w:val="0"/>
        <w:spacing w:before="0" w:after="0" w:line="360" w:lineRule="auto"/>
        <w:ind w:right="0" w:rightChars="0"/>
        <w:jc w:val="center"/>
        <w:textAlignment w:val="auto"/>
        <w:rPr>
          <w:rFonts w:hint="eastAsia" w:ascii="仿宋" w:hAnsi="仿宋" w:eastAsia="仿宋" w:cs="仿宋"/>
          <w:bCs/>
          <w:color w:val="000000"/>
          <w:sz w:val="36"/>
          <w:szCs w:val="36"/>
          <w:lang w:val="en-US" w:eastAsia="zh-CN"/>
        </w:rPr>
        <w:sectPr>
          <w:footerReference r:id="rId3" w:type="default"/>
          <w:pgSz w:w="11850" w:h="16783"/>
          <w:pgMar w:top="1077" w:right="1134" w:bottom="1077" w:left="1134" w:header="720" w:footer="720" w:gutter="0"/>
          <w:pgBorders>
            <w:top w:val="none" w:sz="0" w:space="0"/>
            <w:left w:val="none" w:sz="0" w:space="0"/>
            <w:bottom w:val="none" w:sz="0" w:space="0"/>
            <w:right w:val="none" w:sz="0" w:space="0"/>
          </w:pgBorders>
          <w:pgNumType w:fmt="decimal" w:start="1"/>
          <w:cols w:space="720" w:num="1"/>
          <w:rtlGutter w:val="0"/>
          <w:docGrid w:linePitch="312" w:charSpace="0"/>
        </w:sectPr>
      </w:pPr>
    </w:p>
    <w:p>
      <w:pPr>
        <w:pStyle w:val="2"/>
        <w:pageBreakBefore w:val="0"/>
        <w:numPr>
          <w:ilvl w:val="0"/>
          <w:numId w:val="0"/>
        </w:numPr>
        <w:kinsoku/>
        <w:overflowPunct/>
        <w:topLinePunct w:val="0"/>
        <w:bidi w:val="0"/>
        <w:spacing w:before="0" w:after="0" w:line="360" w:lineRule="auto"/>
        <w:ind w:right="0" w:rightChars="0"/>
        <w:jc w:val="center"/>
        <w:textAlignment w:val="auto"/>
        <w:rPr>
          <w:rFonts w:hint="eastAsia" w:ascii="仿宋" w:hAnsi="仿宋" w:eastAsia="仿宋" w:cs="仿宋"/>
          <w:bCs/>
          <w:color w:val="000000"/>
          <w:sz w:val="36"/>
          <w:szCs w:val="36"/>
        </w:rPr>
      </w:pPr>
      <w:bookmarkStart w:id="7" w:name="_Toc31644"/>
      <w:r>
        <w:rPr>
          <w:rFonts w:hint="eastAsia" w:ascii="仿宋" w:hAnsi="仿宋" w:eastAsia="仿宋" w:cs="仿宋"/>
          <w:bCs/>
          <w:color w:val="000000"/>
          <w:sz w:val="36"/>
          <w:szCs w:val="36"/>
          <w:lang w:val="en-US" w:eastAsia="zh-CN"/>
        </w:rPr>
        <w:t xml:space="preserve">第一章 </w:t>
      </w:r>
      <w:r>
        <w:rPr>
          <w:rFonts w:hint="eastAsia" w:ascii="仿宋" w:hAnsi="仿宋" w:eastAsia="仿宋" w:cs="仿宋"/>
          <w:bCs/>
          <w:color w:val="000000"/>
          <w:sz w:val="36"/>
          <w:szCs w:val="36"/>
        </w:rPr>
        <w:t>磋商邀请</w:t>
      </w:r>
      <w:bookmarkEnd w:id="4"/>
      <w:bookmarkEnd w:id="5"/>
      <w:bookmarkEnd w:id="6"/>
      <w:bookmarkEnd w:id="7"/>
    </w:p>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rPr>
      </w:pP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各受邀供应商：</w:t>
      </w:r>
    </w:p>
    <w:p>
      <w:pPr>
        <w:pageBreakBefore w:val="0"/>
        <w:kinsoku/>
        <w:overflowPunct/>
        <w:topLinePunct w:val="0"/>
        <w:bidi w:val="0"/>
        <w:spacing w:line="360" w:lineRule="auto"/>
        <w:ind w:left="0" w:leftChars="0" w:right="0" w:rightChars="0" w:firstLine="700" w:firstLineChars="250"/>
        <w:jc w:val="left"/>
        <w:textAlignment w:val="auto"/>
        <w:rPr>
          <w:rFonts w:hint="eastAsia" w:ascii="仿宋" w:hAnsi="仿宋" w:eastAsia="仿宋" w:cs="仿宋"/>
          <w:kern w:val="0"/>
          <w:sz w:val="28"/>
          <w:szCs w:val="28"/>
          <w:u w:val="none"/>
        </w:rPr>
      </w:pPr>
      <w:bookmarkStart w:id="8" w:name="【Bobole_代理机构名称_1】"/>
      <w:r>
        <w:rPr>
          <w:rFonts w:hint="eastAsia" w:ascii="仿宋" w:hAnsi="仿宋" w:eastAsia="仿宋" w:cs="仿宋"/>
          <w:kern w:val="0"/>
          <w:sz w:val="28"/>
          <w:szCs w:val="28"/>
        </w:rPr>
        <w:t>融汇项目管理有限公司</w:t>
      </w:r>
      <w:bookmarkEnd w:id="8"/>
      <w:r>
        <w:rPr>
          <w:rFonts w:hint="eastAsia" w:ascii="仿宋" w:hAnsi="仿宋" w:eastAsia="仿宋" w:cs="仿宋"/>
          <w:kern w:val="0"/>
          <w:sz w:val="28"/>
          <w:szCs w:val="28"/>
        </w:rPr>
        <w:t>受</w:t>
      </w:r>
      <w:bookmarkStart w:id="9" w:name="【Bobole_采购单位名称】"/>
      <w:r>
        <w:rPr>
          <w:rFonts w:hint="eastAsia" w:ascii="仿宋" w:hAnsi="仿宋" w:eastAsia="仿宋" w:cs="仿宋"/>
          <w:kern w:val="0"/>
          <w:sz w:val="28"/>
          <w:szCs w:val="28"/>
        </w:rPr>
        <w:t>巴中市巴州区水土保持服务中心</w:t>
      </w:r>
      <w:bookmarkEnd w:id="9"/>
      <w:r>
        <w:rPr>
          <w:rFonts w:hint="eastAsia" w:ascii="仿宋" w:hAnsi="仿宋" w:eastAsia="仿宋" w:cs="仿宋"/>
          <w:kern w:val="0"/>
          <w:sz w:val="28"/>
          <w:szCs w:val="28"/>
        </w:rPr>
        <w:t>委托，拟对</w:t>
      </w:r>
      <w:r>
        <w:rPr>
          <w:rFonts w:hint="eastAsia" w:ascii="仿宋" w:hAnsi="仿宋" w:eastAsia="仿宋" w:cs="仿宋"/>
          <w:kern w:val="0"/>
          <w:sz w:val="28"/>
          <w:szCs w:val="28"/>
          <w:u w:val="single"/>
        </w:rPr>
        <w:t>“</w:t>
      </w:r>
      <w:bookmarkStart w:id="10" w:name="【Bobole_项目名称_1】"/>
      <w:r>
        <w:rPr>
          <w:rFonts w:hint="eastAsia" w:ascii="仿宋" w:hAnsi="仿宋" w:eastAsia="仿宋" w:cs="仿宋"/>
          <w:kern w:val="0"/>
          <w:sz w:val="28"/>
          <w:szCs w:val="28"/>
          <w:u w:val="single"/>
        </w:rPr>
        <w:t>巴中市巴州区2023年百花溪小流域综合治理提质增效项目(第二次)</w:t>
      </w:r>
      <w:bookmarkEnd w:id="10"/>
      <w:r>
        <w:rPr>
          <w:rFonts w:hint="eastAsia" w:ascii="仿宋" w:hAnsi="仿宋" w:eastAsia="仿宋" w:cs="仿宋"/>
          <w:kern w:val="0"/>
          <w:sz w:val="28"/>
          <w:szCs w:val="28"/>
          <w:u w:val="single"/>
        </w:rPr>
        <w:t>”</w:t>
      </w:r>
      <w:r>
        <w:rPr>
          <w:rFonts w:hint="eastAsia" w:ascii="仿宋" w:hAnsi="仿宋" w:eastAsia="仿宋" w:cs="仿宋"/>
          <w:kern w:val="0"/>
          <w:sz w:val="28"/>
          <w:szCs w:val="28"/>
          <w:u w:val="none"/>
          <w:lang w:val="en-US"/>
        </w:rPr>
        <w:t>实施方案编制及施工图设计服务</w:t>
      </w:r>
      <w:r>
        <w:rPr>
          <w:rFonts w:hint="eastAsia" w:ascii="仿宋" w:hAnsi="仿宋" w:eastAsia="仿宋" w:cs="仿宋"/>
          <w:kern w:val="0"/>
          <w:sz w:val="28"/>
          <w:szCs w:val="28"/>
          <w:u w:val="none"/>
        </w:rPr>
        <w:t>进行竞争性磋商采购，兹邀请符合本次磋商要求的供应商参加磋商。</w:t>
      </w:r>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一、采购项目编号</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kern w:val="0"/>
          <w:sz w:val="28"/>
          <w:szCs w:val="28"/>
        </w:rPr>
      </w:pPr>
      <w:bookmarkStart w:id="11" w:name="【Bobole_项目编号】"/>
      <w:r>
        <w:rPr>
          <w:rFonts w:hint="eastAsia" w:ascii="仿宋" w:hAnsi="仿宋" w:eastAsia="仿宋" w:cs="仿宋"/>
          <w:kern w:val="0"/>
          <w:sz w:val="28"/>
          <w:szCs w:val="28"/>
        </w:rPr>
        <w:t>N5119022023000049</w:t>
      </w:r>
      <w:bookmarkEnd w:id="11"/>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二、采购项目名称</w:t>
      </w:r>
    </w:p>
    <w:p>
      <w:pPr>
        <w:pageBreakBefore w:val="0"/>
        <w:widowControl/>
        <w:kinsoku/>
        <w:overflowPunct/>
        <w:topLinePunct w:val="0"/>
        <w:bidi w:val="0"/>
        <w:spacing w:line="360" w:lineRule="auto"/>
        <w:ind w:left="0" w:leftChars="0" w:right="0" w:rightChars="0" w:firstLine="548" w:firstLineChars="196"/>
        <w:textAlignment w:val="auto"/>
        <w:rPr>
          <w:rFonts w:hint="eastAsia" w:ascii="仿宋" w:hAnsi="仿宋" w:eastAsia="仿宋" w:cs="仿宋"/>
          <w:kern w:val="0"/>
          <w:sz w:val="28"/>
          <w:szCs w:val="28"/>
        </w:rPr>
      </w:pPr>
      <w:bookmarkStart w:id="12" w:name="【Bobole_项目名称_2】"/>
      <w:r>
        <w:rPr>
          <w:rFonts w:hint="eastAsia" w:ascii="仿宋" w:hAnsi="仿宋" w:eastAsia="仿宋" w:cs="仿宋"/>
          <w:kern w:val="0"/>
          <w:sz w:val="28"/>
          <w:szCs w:val="28"/>
        </w:rPr>
        <w:t>巴中市巴州区2023年百花溪小流域综合治理提质增效项目(第二次)</w:t>
      </w:r>
      <w:bookmarkEnd w:id="12"/>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三、磋商项目简介</w:t>
      </w:r>
    </w:p>
    <w:p>
      <w:pPr>
        <w:pageBreakBefore w:val="0"/>
        <w:kinsoku/>
        <w:overflowPunct/>
        <w:topLinePunct w:val="0"/>
        <w:bidi w:val="0"/>
        <w:spacing w:line="360" w:lineRule="auto"/>
        <w:ind w:left="0" w:leftChars="0" w:right="0" w:rightChars="0" w:firstLine="840" w:firstLineChars="300"/>
        <w:textAlignment w:val="auto"/>
        <w:rPr>
          <w:rFonts w:hint="eastAsia" w:ascii="仿宋" w:hAnsi="仿宋" w:eastAsia="仿宋" w:cs="仿宋"/>
          <w:bCs/>
          <w:sz w:val="28"/>
          <w:szCs w:val="28"/>
        </w:rPr>
      </w:pPr>
      <w:r>
        <w:rPr>
          <w:rFonts w:hint="eastAsia" w:ascii="仿宋" w:hAnsi="仿宋" w:eastAsia="仿宋" w:cs="仿宋"/>
          <w:bCs/>
          <w:sz w:val="28"/>
          <w:szCs w:val="28"/>
        </w:rPr>
        <w:t>有关本项目的采购详情见采购文件第四章。</w:t>
      </w:r>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四、供应商参加本次政府采购活动应具备下列条件</w:t>
      </w:r>
    </w:p>
    <w:p>
      <w:pPr>
        <w:pageBreakBefore w:val="0"/>
        <w:kinsoku/>
        <w:overflowPunct/>
        <w:topLinePunct w:val="0"/>
        <w:bidi w:val="0"/>
        <w:spacing w:line="360" w:lineRule="auto"/>
        <w:ind w:left="0" w:leftChars="0" w:right="0" w:rightChars="0" w:firstLine="840" w:firstLineChars="300"/>
        <w:textAlignment w:val="auto"/>
        <w:rPr>
          <w:rFonts w:hint="eastAsia" w:ascii="仿宋" w:hAnsi="仿宋" w:eastAsia="仿宋" w:cs="仿宋"/>
          <w:sz w:val="28"/>
          <w:szCs w:val="28"/>
        </w:rPr>
      </w:pPr>
      <w:bookmarkStart w:id="13" w:name="_Hlk533582570"/>
      <w:r>
        <w:rPr>
          <w:rFonts w:hint="eastAsia" w:ascii="仿宋" w:hAnsi="仿宋" w:eastAsia="仿宋" w:cs="仿宋"/>
          <w:sz w:val="28"/>
          <w:szCs w:val="28"/>
        </w:rPr>
        <w:t>（一）具有独立承担民事责任的能力；</w:t>
      </w:r>
    </w:p>
    <w:p>
      <w:pPr>
        <w:pageBreakBefore w:val="0"/>
        <w:kinsoku/>
        <w:overflowPunct/>
        <w:topLinePunct w:val="0"/>
        <w:bidi w:val="0"/>
        <w:spacing w:line="360" w:lineRule="auto"/>
        <w:ind w:left="0" w:leftChars="0" w:right="0" w:rightChars="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（二）具有良好的商业信誉和健全的财务会计制度；</w:t>
      </w:r>
    </w:p>
    <w:p>
      <w:pPr>
        <w:pageBreakBefore w:val="0"/>
        <w:kinsoku/>
        <w:overflowPunct/>
        <w:topLinePunct w:val="0"/>
        <w:bidi w:val="0"/>
        <w:spacing w:line="360" w:lineRule="auto"/>
        <w:ind w:left="0" w:leftChars="0" w:right="0" w:rightChars="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（三）具有履行合同所必需的设备和专业技术能力；</w:t>
      </w:r>
    </w:p>
    <w:p>
      <w:pPr>
        <w:pageBreakBefore w:val="0"/>
        <w:kinsoku/>
        <w:overflowPunct/>
        <w:topLinePunct w:val="0"/>
        <w:bidi w:val="0"/>
        <w:spacing w:line="360" w:lineRule="auto"/>
        <w:ind w:left="0" w:leftChars="0" w:right="0" w:rightChars="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（四）有依法缴纳税收和社会保障资金的良好记录；</w:t>
      </w:r>
    </w:p>
    <w:p>
      <w:pPr>
        <w:pageBreakBefore w:val="0"/>
        <w:kinsoku/>
        <w:overflowPunct/>
        <w:topLinePunct w:val="0"/>
        <w:bidi w:val="0"/>
        <w:spacing w:line="360" w:lineRule="auto"/>
        <w:ind w:left="0" w:leftChars="0" w:right="0" w:rightChars="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（五）参加本次政府采购活动前三年内，在经营活动中没有重大违法记录；</w:t>
      </w:r>
    </w:p>
    <w:p>
      <w:pPr>
        <w:pageBreakBefore w:val="0"/>
        <w:tabs>
          <w:tab w:val="left" w:pos="6255"/>
        </w:tabs>
        <w:kinsoku/>
        <w:overflowPunct/>
        <w:topLinePunct w:val="0"/>
        <w:bidi w:val="0"/>
        <w:spacing w:line="360" w:lineRule="auto"/>
        <w:ind w:left="0" w:leftChars="0" w:right="0" w:rightChars="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（六）法律、行政法规规定的其他条件；</w:t>
      </w:r>
    </w:p>
    <w:p>
      <w:pPr>
        <w:pageBreakBefore w:val="0"/>
        <w:tabs>
          <w:tab w:val="left" w:pos="6255"/>
        </w:tabs>
        <w:kinsoku/>
        <w:overflowPunct/>
        <w:topLinePunct w:val="0"/>
        <w:bidi w:val="0"/>
        <w:spacing w:line="360" w:lineRule="auto"/>
        <w:ind w:left="0" w:leftChars="0" w:right="0" w:rightChars="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（七）落实政府采购政策需满足的资格要求:</w:t>
      </w:r>
    </w:p>
    <w:p>
      <w:pPr>
        <w:pageBreakBefore w:val="0"/>
        <w:kinsoku/>
        <w:overflowPunct/>
        <w:topLinePunct w:val="0"/>
        <w:bidi w:val="0"/>
        <w:spacing w:line="360" w:lineRule="auto"/>
        <w:ind w:left="0" w:leftChars="0" w:right="0" w:rightChars="0" w:firstLine="1047" w:firstLineChars="374"/>
        <w:textAlignment w:val="auto"/>
        <w:rPr>
          <w:rFonts w:hint="eastAsia" w:ascii="仿宋" w:hAnsi="仿宋" w:eastAsia="仿宋" w:cs="仿宋"/>
          <w:sz w:val="28"/>
          <w:szCs w:val="28"/>
          <w:lang w:bidi="ar"/>
        </w:rPr>
      </w:pPr>
      <w:bookmarkStart w:id="14" w:name="【Bobole_资格要求_120】"/>
      <w:r>
        <w:rPr>
          <w:rFonts w:hint="eastAsia" w:ascii="仿宋" w:hAnsi="仿宋" w:eastAsia="仿宋" w:cs="仿宋"/>
          <w:sz w:val="28"/>
          <w:szCs w:val="28"/>
          <w:lang w:bidi="ar"/>
        </w:rPr>
        <w:t>属于专门面向中小企业采购的项目,供应商应为中小微企业、监狱企业、残疾人福利性单位;</w:t>
      </w:r>
      <w:bookmarkEnd w:id="14"/>
    </w:p>
    <w:p>
      <w:pPr>
        <w:pageBreakBefore w:val="0"/>
        <w:tabs>
          <w:tab w:val="left" w:pos="6255"/>
        </w:tabs>
        <w:kinsoku/>
        <w:overflowPunct/>
        <w:topLinePunct w:val="0"/>
        <w:bidi w:val="0"/>
        <w:spacing w:line="360" w:lineRule="auto"/>
        <w:ind w:left="0" w:leftChars="0" w:right="0" w:rightChars="0" w:firstLine="840" w:firstLineChars="300"/>
        <w:textAlignment w:val="auto"/>
        <w:rPr>
          <w:rFonts w:hint="eastAsia" w:ascii="仿宋" w:hAnsi="仿宋" w:eastAsia="仿宋" w:cs="仿宋"/>
          <w:sz w:val="24"/>
          <w:lang w:bidi="ar"/>
        </w:rPr>
      </w:pPr>
      <w:r>
        <w:rPr>
          <w:rFonts w:hint="eastAsia" w:ascii="仿宋" w:hAnsi="仿宋" w:eastAsia="仿宋" w:cs="仿宋"/>
          <w:sz w:val="28"/>
          <w:szCs w:val="28"/>
        </w:rPr>
        <w:t>（八）采购项目的特殊要求 :</w:t>
      </w:r>
    </w:p>
    <w:p>
      <w:pPr>
        <w:pageBreakBefore w:val="0"/>
        <w:kinsoku/>
        <w:overflowPunct/>
        <w:topLinePunct w:val="0"/>
        <w:bidi w:val="0"/>
        <w:spacing w:line="360" w:lineRule="auto"/>
        <w:ind w:left="0" w:leftChars="0" w:right="0" w:rightChars="0" w:firstLine="1047" w:firstLineChars="374"/>
        <w:textAlignment w:val="auto"/>
        <w:rPr>
          <w:rFonts w:hint="eastAsia" w:ascii="仿宋" w:hAnsi="仿宋" w:eastAsia="仿宋" w:cs="仿宋"/>
          <w:sz w:val="28"/>
          <w:szCs w:val="28"/>
          <w:lang w:bidi="ar"/>
        </w:rPr>
      </w:pPr>
      <w:bookmarkStart w:id="15" w:name="【Bobole_资格要求_130】"/>
      <w:r>
        <w:rPr>
          <w:rFonts w:hint="eastAsia" w:ascii="仿宋" w:hAnsi="仿宋" w:eastAsia="仿宋" w:cs="仿宋"/>
          <w:sz w:val="28"/>
          <w:szCs w:val="28"/>
          <w:lang w:bidi="ar"/>
        </w:rPr>
        <w:t>供应商须具有行政主管部门颁发的工程设计水利行业专业丙级（至少含有水库枢纽及水土保持专业）及以上资质。</w:t>
      </w:r>
      <w:bookmarkEnd w:id="15"/>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五、</w:t>
      </w:r>
      <w:bookmarkEnd w:id="13"/>
      <w:r>
        <w:rPr>
          <w:rFonts w:hint="eastAsia" w:ascii="仿宋" w:hAnsi="仿宋" w:eastAsia="仿宋" w:cs="仿宋"/>
          <w:sz w:val="28"/>
          <w:szCs w:val="28"/>
        </w:rPr>
        <w:t>本项目不接受供应商组成联合体参加政府采购活动。</w:t>
      </w:r>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六、磋商文件获取时间和方式</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采购文件获取时间:自</w:t>
      </w:r>
      <w:bookmarkStart w:id="16" w:name="【Bobole_标书购买开始时间】"/>
      <w:r>
        <w:rPr>
          <w:rFonts w:hint="eastAsia" w:ascii="仿宋" w:hAnsi="仿宋" w:eastAsia="仿宋" w:cs="仿宋"/>
          <w:sz w:val="28"/>
          <w:szCs w:val="28"/>
        </w:rPr>
        <w:t>2023年06月16日 00时00分</w:t>
      </w:r>
      <w:bookmarkEnd w:id="16"/>
      <w:r>
        <w:rPr>
          <w:rFonts w:hint="eastAsia" w:ascii="仿宋" w:hAnsi="仿宋" w:eastAsia="仿宋" w:cs="仿宋"/>
          <w:sz w:val="28"/>
          <w:szCs w:val="28"/>
        </w:rPr>
        <w:t>至</w:t>
      </w:r>
      <w:bookmarkStart w:id="17" w:name="【Bobole_标书购买截止时间】"/>
      <w:r>
        <w:rPr>
          <w:rFonts w:hint="eastAsia" w:ascii="仿宋" w:hAnsi="仿宋" w:eastAsia="仿宋" w:cs="仿宋"/>
          <w:sz w:val="28"/>
          <w:szCs w:val="28"/>
        </w:rPr>
        <w:t>2023年06月26日 23时59分</w:t>
      </w:r>
      <w:bookmarkEnd w:id="17"/>
      <w:r>
        <w:rPr>
          <w:rFonts w:hint="eastAsia" w:ascii="仿宋" w:hAnsi="仿宋" w:eastAsia="仿宋" w:cs="仿宋"/>
          <w:sz w:val="28"/>
          <w:szCs w:val="28"/>
        </w:rPr>
        <w:t>（北京时间）。</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采购文件获取方式:1.供应商应当通过四川政府采购网（https://zfcg.scsczt.cn/）依法获取采购文件，未通过四川政府采购网获取采购文件的自行承担不利后果。</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参与巴中政府采购项目投标活动的供应商在四川政府采购网获取采购文件后，应当在获取采购文件的有效期内登录巴中政府采购网（http://www.bzzfcgw.cn/)在供应商用户中心获取用于响应文件编制的采购文件数据包（BBL格式），然后按采购文件要求编制及上传响应文件。否则，由此导致的不能参加巴中政府采购项目电子化交易自行承担不利后果。（没有在巴中政府采购网上注册的供应商，需要在巴中政府采购网上注册后，使用注册账号登陆巴中政府采购网进行相关操作）。</w:t>
      </w:r>
    </w:p>
    <w:p>
      <w:pPr>
        <w:pageBreakBefore w:val="0"/>
        <w:kinsoku/>
        <w:wordWrap w:val="0"/>
        <w:overflowPunct/>
        <w:topLinePunct w:val="0"/>
        <w:bidi w:val="0"/>
        <w:spacing w:line="360" w:lineRule="auto"/>
        <w:ind w:left="0" w:leftChars="0" w:right="0" w:rightChars="0" w:firstLine="420"/>
        <w:textAlignment w:val="auto"/>
        <w:rPr>
          <w:rFonts w:hint="eastAsia" w:ascii="仿宋" w:hAnsi="仿宋" w:eastAsia="仿宋" w:cs="仿宋"/>
          <w:sz w:val="28"/>
          <w:szCs w:val="28"/>
        </w:rPr>
      </w:pPr>
      <w:r>
        <w:rPr>
          <w:rFonts w:hint="eastAsia" w:ascii="仿宋" w:hAnsi="仿宋" w:eastAsia="仿宋" w:cs="仿宋"/>
          <w:sz w:val="28"/>
          <w:szCs w:val="28"/>
        </w:rPr>
        <w:t>3.四川省政府采购网技术支持4001600900，巴中政府采购网注册技术支持电话：028-82128508转812、814、816。</w:t>
      </w:r>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七、提交首次响应文件的截止时间和磋商时间</w:t>
      </w:r>
    </w:p>
    <w:p>
      <w:pPr>
        <w:pageBreakBefore w:val="0"/>
        <w:kinsoku/>
        <w:wordWrap w:val="0"/>
        <w:overflowPunct/>
        <w:topLinePunct w:val="0"/>
        <w:bidi w:val="0"/>
        <w:spacing w:line="360" w:lineRule="auto"/>
        <w:ind w:left="0" w:leftChars="0" w:right="0" w:rightChars="0" w:firstLine="420"/>
        <w:textAlignment w:val="auto"/>
        <w:rPr>
          <w:rFonts w:hint="eastAsia" w:ascii="仿宋" w:hAnsi="仿宋" w:eastAsia="仿宋" w:cs="仿宋"/>
          <w:kern w:val="0"/>
          <w:sz w:val="28"/>
          <w:szCs w:val="28"/>
        </w:rPr>
      </w:pPr>
      <w:r>
        <w:rPr>
          <w:rFonts w:hint="eastAsia" w:ascii="仿宋" w:hAnsi="仿宋" w:eastAsia="仿宋" w:cs="仿宋"/>
          <w:kern w:val="0"/>
          <w:sz w:val="28"/>
          <w:szCs w:val="28"/>
        </w:rPr>
        <w:t>提交首次响应文件的截止时间：</w:t>
      </w:r>
      <w:bookmarkStart w:id="18" w:name="【Bobole_标书递交截止时间】"/>
      <w:r>
        <w:rPr>
          <w:rFonts w:hint="eastAsia" w:ascii="仿宋" w:hAnsi="仿宋" w:eastAsia="仿宋" w:cs="仿宋"/>
          <w:kern w:val="0"/>
          <w:sz w:val="28"/>
          <w:szCs w:val="28"/>
        </w:rPr>
        <w:t>2023年06月30日 10时00分</w:t>
      </w:r>
      <w:bookmarkEnd w:id="18"/>
    </w:p>
    <w:p>
      <w:pPr>
        <w:pageBreakBefore w:val="0"/>
        <w:kinsoku/>
        <w:wordWrap w:val="0"/>
        <w:overflowPunct/>
        <w:topLinePunct w:val="0"/>
        <w:bidi w:val="0"/>
        <w:spacing w:line="360" w:lineRule="auto"/>
        <w:ind w:left="0" w:leftChars="0" w:right="0" w:rightChars="0" w:firstLine="420"/>
        <w:textAlignment w:val="auto"/>
        <w:rPr>
          <w:rFonts w:hint="eastAsia" w:ascii="仿宋" w:hAnsi="仿宋" w:eastAsia="仿宋" w:cs="仿宋"/>
          <w:kern w:val="0"/>
          <w:sz w:val="28"/>
          <w:szCs w:val="28"/>
        </w:rPr>
      </w:pPr>
      <w:r>
        <w:rPr>
          <w:rFonts w:hint="eastAsia" w:ascii="仿宋" w:hAnsi="仿宋" w:eastAsia="仿宋" w:cs="仿宋"/>
          <w:kern w:val="0"/>
          <w:sz w:val="28"/>
          <w:szCs w:val="28"/>
        </w:rPr>
        <w:t>磋商时间：</w:t>
      </w:r>
      <w:bookmarkStart w:id="19" w:name="【Bobole_开标时间】"/>
      <w:r>
        <w:rPr>
          <w:rFonts w:hint="eastAsia" w:ascii="仿宋" w:hAnsi="仿宋" w:eastAsia="仿宋" w:cs="仿宋"/>
          <w:kern w:val="0"/>
          <w:sz w:val="28"/>
          <w:szCs w:val="28"/>
        </w:rPr>
        <w:t>2023年06月30日 10时00分</w:t>
      </w:r>
      <w:bookmarkEnd w:id="19"/>
    </w:p>
    <w:p>
      <w:pPr>
        <w:pageBreakBefore w:val="0"/>
        <w:kinsoku/>
        <w:overflowPunct/>
        <w:topLinePunct w:val="0"/>
        <w:bidi w:val="0"/>
        <w:spacing w:line="360" w:lineRule="auto"/>
        <w:ind w:left="0" w:leftChars="0" w:right="0" w:rightChars="0" w:firstLine="141" w:firstLineChars="50"/>
        <w:textAlignment w:val="auto"/>
        <w:rPr>
          <w:rFonts w:hint="eastAsia" w:ascii="仿宋" w:hAnsi="仿宋" w:eastAsia="仿宋" w:cs="仿宋"/>
          <w:b/>
          <w:sz w:val="28"/>
          <w:szCs w:val="28"/>
        </w:rPr>
      </w:pPr>
      <w:r>
        <w:rPr>
          <w:rFonts w:hint="eastAsia" w:ascii="仿宋" w:hAnsi="仿宋" w:eastAsia="仿宋" w:cs="仿宋"/>
          <w:b/>
          <w:sz w:val="28"/>
          <w:szCs w:val="28"/>
        </w:rPr>
        <w:t>八、响应文件提交地点和磋商地点</w:t>
      </w:r>
    </w:p>
    <w:p>
      <w:pPr>
        <w:pageBreakBefore w:val="0"/>
        <w:kinsoku/>
        <w:overflowPunct/>
        <w:topLinePunct w:val="0"/>
        <w:bidi w:val="0"/>
        <w:spacing w:line="360" w:lineRule="auto"/>
        <w:ind w:left="0" w:leftChars="0" w:right="0" w:rightChars="0" w:firstLine="974" w:firstLineChars="348"/>
        <w:textAlignment w:val="auto"/>
        <w:rPr>
          <w:rFonts w:hint="eastAsia" w:ascii="仿宋" w:hAnsi="仿宋" w:eastAsia="仿宋" w:cs="仿宋"/>
          <w:sz w:val="28"/>
          <w:szCs w:val="28"/>
        </w:rPr>
      </w:pPr>
      <w:bookmarkStart w:id="20" w:name="【Bobole_招标公告_dljgdz】"/>
      <w:r>
        <w:rPr>
          <w:rFonts w:hint="eastAsia" w:ascii="仿宋" w:hAnsi="仿宋" w:eastAsia="仿宋" w:cs="仿宋"/>
          <w:sz w:val="28"/>
          <w:szCs w:val="28"/>
        </w:rPr>
        <w:t>巴中市巴州区江北大道西段凯悦名城9号楼7楼</w:t>
      </w:r>
      <w:bookmarkEnd w:id="20"/>
    </w:p>
    <w:p>
      <w:pPr>
        <w:pageBreakBefore w:val="0"/>
        <w:kinsoku/>
        <w:overflowPunct/>
        <w:topLinePunct w:val="0"/>
        <w:bidi w:val="0"/>
        <w:spacing w:line="360" w:lineRule="auto"/>
        <w:ind w:left="0" w:leftChars="0" w:right="0" w:rightChars="0" w:firstLine="141" w:firstLineChars="50"/>
        <w:textAlignment w:val="auto"/>
        <w:rPr>
          <w:rFonts w:hint="eastAsia" w:ascii="仿宋" w:hAnsi="仿宋" w:eastAsia="仿宋" w:cs="仿宋"/>
          <w:b/>
          <w:sz w:val="28"/>
          <w:szCs w:val="28"/>
        </w:rPr>
      </w:pPr>
      <w:r>
        <w:rPr>
          <w:rFonts w:hint="eastAsia" w:ascii="仿宋" w:hAnsi="仿宋" w:eastAsia="仿宋" w:cs="仿宋"/>
          <w:b/>
          <w:sz w:val="28"/>
          <w:szCs w:val="28"/>
        </w:rPr>
        <w:t>九、本次磋商的结果公告在以下指定媒体发布</w:t>
      </w:r>
    </w:p>
    <w:p>
      <w:pPr>
        <w:pStyle w:val="20"/>
        <w:pageBreakBefore w:val="0"/>
        <w:kinsoku/>
        <w:overflowPunct/>
        <w:topLinePunct w:val="0"/>
        <w:bidi w:val="0"/>
        <w:spacing w:line="360" w:lineRule="auto"/>
        <w:ind w:left="0" w:leftChars="0" w:right="0" w:rightChars="0" w:firstLine="562"/>
        <w:textAlignment w:val="auto"/>
        <w:rPr>
          <w:rFonts w:hint="eastAsia" w:ascii="仿宋" w:hAnsi="仿宋" w:eastAsia="仿宋" w:cs="仿宋"/>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四川政府采购网：http://www.ccgp-sichuan.gov.cn/</w:t>
      </w:r>
    </w:p>
    <w:p>
      <w:pPr>
        <w:pageBreakBefore w:val="0"/>
        <w:kinsoku/>
        <w:overflowPunct/>
        <w:topLinePunct w:val="0"/>
        <w:bidi w:val="0"/>
        <w:spacing w:line="360" w:lineRule="auto"/>
        <w:ind w:left="0" w:leftChars="0" w:right="0" w:rightChars="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巴中政府采购网(http://www.bzzfcgw.cn/)</w:t>
      </w:r>
    </w:p>
    <w:p>
      <w:pPr>
        <w:pageBreakBefore w:val="0"/>
        <w:kinsoku/>
        <w:overflowPunct/>
        <w:topLinePunct w:val="0"/>
        <w:bidi w:val="0"/>
        <w:spacing w:line="360" w:lineRule="auto"/>
        <w:ind w:left="0" w:leftChars="0" w:right="0" w:rightChars="0" w:firstLine="141" w:firstLineChars="50"/>
        <w:textAlignment w:val="auto"/>
        <w:rPr>
          <w:rFonts w:hint="eastAsia" w:ascii="仿宋" w:hAnsi="仿宋" w:eastAsia="仿宋" w:cs="仿宋"/>
          <w:b/>
          <w:sz w:val="28"/>
          <w:szCs w:val="28"/>
        </w:rPr>
      </w:pPr>
      <w:r>
        <w:rPr>
          <w:rFonts w:hint="eastAsia" w:ascii="仿宋" w:hAnsi="仿宋" w:eastAsia="仿宋" w:cs="仿宋"/>
          <w:b/>
          <w:sz w:val="28"/>
          <w:szCs w:val="28"/>
        </w:rPr>
        <w:t>十、联系方式</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 购 人：</w:t>
      </w:r>
      <w:bookmarkStart w:id="21" w:name="【Bobole_采购单位名称_1】"/>
      <w:r>
        <w:rPr>
          <w:rFonts w:hint="eastAsia" w:ascii="仿宋" w:hAnsi="仿宋" w:eastAsia="仿宋" w:cs="仿宋"/>
          <w:sz w:val="28"/>
          <w:szCs w:val="28"/>
        </w:rPr>
        <w:t>巴中市巴州区水土保持服务中心</w:t>
      </w:r>
      <w:bookmarkEnd w:id="21"/>
      <w:r>
        <w:rPr>
          <w:rFonts w:hint="eastAsia" w:ascii="仿宋" w:hAnsi="仿宋" w:eastAsia="仿宋" w:cs="仿宋"/>
          <w:sz w:val="28"/>
          <w:szCs w:val="28"/>
        </w:rPr>
        <w:t xml:space="preserve"> </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    址：</w:t>
      </w:r>
      <w:bookmarkStart w:id="22" w:name="【Bobole_招标公告_cgrdz】"/>
      <w:r>
        <w:rPr>
          <w:rFonts w:hint="eastAsia" w:ascii="仿宋" w:hAnsi="仿宋" w:eastAsia="仿宋" w:cs="仿宋"/>
          <w:sz w:val="28"/>
          <w:szCs w:val="28"/>
        </w:rPr>
        <w:t>巴州区通佛路118号</w:t>
      </w:r>
      <w:bookmarkEnd w:id="22"/>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联系电话：</w:t>
      </w:r>
      <w:bookmarkStart w:id="23" w:name="【Bobole_采购单位经办人电话】"/>
      <w:r>
        <w:rPr>
          <w:rFonts w:hint="eastAsia" w:ascii="仿宋" w:hAnsi="仿宋" w:eastAsia="仿宋" w:cs="仿宋"/>
          <w:sz w:val="28"/>
          <w:szCs w:val="28"/>
        </w:rPr>
        <w:t>0827-2132332</w:t>
      </w:r>
      <w:bookmarkEnd w:id="23"/>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采购代理机构：</w:t>
      </w:r>
      <w:bookmarkStart w:id="24" w:name="【Bobole_代理机构名称_2】"/>
      <w:r>
        <w:rPr>
          <w:rFonts w:hint="eastAsia" w:ascii="仿宋" w:hAnsi="仿宋" w:eastAsia="仿宋" w:cs="仿宋"/>
          <w:sz w:val="28"/>
          <w:szCs w:val="28"/>
        </w:rPr>
        <w:t>融汇项目管理有限公司</w:t>
      </w:r>
      <w:bookmarkEnd w:id="24"/>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    址：</w:t>
      </w:r>
      <w:bookmarkStart w:id="25" w:name="【Bobole_招标公告_dljgdz_1】"/>
      <w:r>
        <w:rPr>
          <w:rFonts w:hint="eastAsia" w:ascii="仿宋" w:hAnsi="仿宋" w:eastAsia="仿宋" w:cs="仿宋"/>
          <w:sz w:val="28"/>
          <w:szCs w:val="28"/>
        </w:rPr>
        <w:t>巴中市巴州区江北大道西段凯悦名城9号楼7楼</w:t>
      </w:r>
      <w:bookmarkEnd w:id="25"/>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联系电话：</w:t>
      </w:r>
      <w:bookmarkStart w:id="26" w:name="【Bobole_代理机构电话】"/>
      <w:r>
        <w:rPr>
          <w:rFonts w:hint="eastAsia" w:ascii="仿宋" w:hAnsi="仿宋" w:eastAsia="仿宋" w:cs="仿宋"/>
          <w:sz w:val="28"/>
          <w:szCs w:val="28"/>
        </w:rPr>
        <w:t>0827-2222579</w:t>
      </w:r>
      <w:bookmarkEnd w:id="26"/>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系统技术支持：028-82128508  转 812、814、816</w:t>
      </w:r>
    </w:p>
    <w:p>
      <w:pPr>
        <w:pageBreakBefore w:val="0"/>
        <w:kinsoku/>
        <w:overflowPunct/>
        <w:topLinePunct w:val="0"/>
        <w:bidi w:val="0"/>
        <w:spacing w:line="360" w:lineRule="auto"/>
        <w:ind w:left="0" w:leftChars="0" w:right="0" w:rightChars="0" w:firstLine="560" w:firstLineChars="200"/>
        <w:jc w:val="right"/>
        <w:textAlignment w:val="auto"/>
        <w:rPr>
          <w:rFonts w:hint="eastAsia" w:ascii="仿宋" w:hAnsi="仿宋" w:eastAsia="仿宋" w:cs="仿宋"/>
          <w:sz w:val="28"/>
          <w:szCs w:val="28"/>
        </w:rPr>
      </w:pPr>
    </w:p>
    <w:p>
      <w:pPr>
        <w:pageBreakBefore w:val="0"/>
        <w:kinsoku/>
        <w:overflowPunct/>
        <w:topLinePunct w:val="0"/>
        <w:bidi w:val="0"/>
        <w:spacing w:line="360" w:lineRule="auto"/>
        <w:ind w:left="0" w:leftChars="0" w:right="0" w:rightChars="0" w:firstLine="560" w:firstLineChars="200"/>
        <w:jc w:val="right"/>
        <w:textAlignment w:val="auto"/>
        <w:rPr>
          <w:rFonts w:hint="eastAsia" w:ascii="仿宋" w:hAnsi="仿宋" w:eastAsia="仿宋" w:cs="仿宋"/>
          <w:sz w:val="28"/>
          <w:szCs w:val="28"/>
        </w:rPr>
      </w:pPr>
      <w:bookmarkStart w:id="27" w:name="【Bobole_代理机构名称_40】"/>
      <w:r>
        <w:rPr>
          <w:rFonts w:hint="eastAsia" w:ascii="仿宋" w:hAnsi="仿宋" w:eastAsia="仿宋" w:cs="仿宋"/>
          <w:sz w:val="28"/>
          <w:szCs w:val="28"/>
        </w:rPr>
        <w:t>融汇项目管理有限公司</w:t>
      </w:r>
      <w:bookmarkEnd w:id="27"/>
    </w:p>
    <w:p>
      <w:pPr>
        <w:pageBreakBefore w:val="0"/>
        <w:kinsoku/>
        <w:overflowPunct/>
        <w:topLinePunct w:val="0"/>
        <w:bidi w:val="0"/>
        <w:spacing w:line="360" w:lineRule="auto"/>
        <w:ind w:left="0" w:leftChars="0" w:right="0" w:rightChars="0" w:firstLine="560" w:firstLineChars="200"/>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w:t>
      </w:r>
      <w:bookmarkStart w:id="28" w:name="【Bobole_当前年月_1】"/>
      <w:r>
        <w:rPr>
          <w:rFonts w:hint="eastAsia" w:ascii="仿宋" w:hAnsi="仿宋" w:eastAsia="仿宋" w:cs="仿宋"/>
          <w:sz w:val="28"/>
          <w:szCs w:val="28"/>
        </w:rPr>
        <w:t>2023年06月</w:t>
      </w:r>
      <w:bookmarkEnd w:id="28"/>
    </w:p>
    <w:p>
      <w:pPr>
        <w:pageBreakBefore w:val="0"/>
        <w:widowControl/>
        <w:kinsoku/>
        <w:overflowPunct/>
        <w:topLinePunct w:val="0"/>
        <w:bidi w:val="0"/>
        <w:spacing w:line="360" w:lineRule="auto"/>
        <w:ind w:left="0" w:leftChars="0" w:right="0" w:rightChars="0"/>
        <w:jc w:val="left"/>
        <w:textAlignment w:val="auto"/>
        <w:rPr>
          <w:rFonts w:hint="eastAsia" w:ascii="仿宋" w:hAnsi="仿宋" w:eastAsia="仿宋" w:cs="仿宋"/>
          <w:b/>
          <w:color w:val="000000"/>
          <w:sz w:val="44"/>
        </w:rPr>
      </w:pPr>
      <w:r>
        <w:rPr>
          <w:rFonts w:hint="eastAsia" w:ascii="仿宋" w:hAnsi="仿宋" w:eastAsia="仿宋" w:cs="仿宋"/>
          <w:b/>
          <w:color w:val="000000"/>
          <w:sz w:val="44"/>
        </w:rPr>
        <w:br w:type="page"/>
      </w:r>
    </w:p>
    <w:p>
      <w:pPr>
        <w:pStyle w:val="14"/>
        <w:pageBreakBefore w:val="0"/>
        <w:kinsoku/>
        <w:overflowPunct/>
        <w:topLinePunct w:val="0"/>
        <w:bidi w:val="0"/>
        <w:spacing w:before="0" w:after="0" w:line="360" w:lineRule="auto"/>
        <w:ind w:left="0" w:leftChars="0" w:right="0" w:rightChars="0"/>
        <w:textAlignment w:val="auto"/>
        <w:rPr>
          <w:rFonts w:hint="eastAsia" w:ascii="仿宋" w:hAnsi="仿宋" w:eastAsia="仿宋" w:cs="仿宋"/>
        </w:rPr>
      </w:pPr>
      <w:bookmarkStart w:id="29" w:name="_Toc471310327"/>
      <w:bookmarkStart w:id="30" w:name="_Toc16799"/>
      <w:bookmarkStart w:id="31" w:name="_Toc63765767"/>
      <w:bookmarkStart w:id="32" w:name="_Toc12869"/>
      <w:r>
        <w:rPr>
          <w:rFonts w:hint="eastAsia" w:ascii="仿宋" w:hAnsi="仿宋" w:eastAsia="仿宋" w:cs="仿宋"/>
        </w:rPr>
        <w:t>第二章  磋商须知</w:t>
      </w:r>
      <w:bookmarkEnd w:id="29"/>
      <w:bookmarkEnd w:id="30"/>
      <w:bookmarkEnd w:id="31"/>
      <w:bookmarkEnd w:id="32"/>
      <w:bookmarkStart w:id="33" w:name="_Toc184283909"/>
      <w:bookmarkStart w:id="34" w:name="_Toc184274915"/>
    </w:p>
    <w:p>
      <w:pPr>
        <w:pStyle w:val="3"/>
        <w:pageBreakBefore w:val="0"/>
        <w:kinsoku/>
        <w:overflowPunct/>
        <w:topLinePunct w:val="0"/>
        <w:bidi w:val="0"/>
        <w:spacing w:before="0" w:after="0" w:line="360" w:lineRule="auto"/>
        <w:ind w:left="0" w:leftChars="0" w:right="0" w:rightChars="0" w:firstLine="3241" w:firstLineChars="1153"/>
        <w:jc w:val="left"/>
        <w:textAlignment w:val="auto"/>
        <w:rPr>
          <w:rFonts w:hint="eastAsia" w:ascii="仿宋" w:hAnsi="仿宋" w:eastAsia="仿宋" w:cs="仿宋"/>
        </w:rPr>
      </w:pPr>
      <w:bookmarkStart w:id="35" w:name="_Toc217446032"/>
      <w:bookmarkStart w:id="36" w:name="_Toc213396760"/>
      <w:bookmarkStart w:id="37" w:name="_Toc213396946"/>
      <w:bookmarkStart w:id="38" w:name="_Toc189727030"/>
      <w:bookmarkStart w:id="39" w:name="_Toc229393328"/>
      <w:bookmarkStart w:id="40" w:name="_Toc21000"/>
      <w:bookmarkStart w:id="41" w:name="_Toc315962965"/>
      <w:bookmarkStart w:id="42" w:name="_Toc213496268"/>
      <w:bookmarkStart w:id="43" w:name="_Toc442099347"/>
      <w:bookmarkStart w:id="44" w:name="_Toc213397010"/>
      <w:bookmarkStart w:id="45" w:name="_Toc471310328"/>
      <w:bookmarkStart w:id="46" w:name="_Toc63765768"/>
      <w:bookmarkStart w:id="47" w:name="_Toc229393580"/>
      <w:bookmarkStart w:id="48" w:name="_Toc441679459"/>
      <w:bookmarkStart w:id="49" w:name="_Toc256502487"/>
      <w:bookmarkStart w:id="50" w:name="_Toc229393496"/>
      <w:bookmarkStart w:id="51" w:name="_Toc441921235"/>
      <w:bookmarkStart w:id="52" w:name="_Toc389231698"/>
      <w:bookmarkStart w:id="53" w:name="_Toc31568"/>
      <w:bookmarkStart w:id="54" w:name="_Toc24889"/>
      <w:r>
        <w:rPr>
          <w:rFonts w:hint="eastAsia" w:ascii="仿宋" w:hAnsi="仿宋" w:eastAsia="仿宋" w:cs="仿宋"/>
        </w:rPr>
        <w:t>一、供应商须知附表</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tbl>
      <w:tblPr>
        <w:tblStyle w:val="15"/>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1996"/>
        <w:gridCol w:w="649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1012" w:type="dxa"/>
            <w:tcBorders>
              <w:bottom w:val="single" w:color="auto" w:sz="4" w:space="0"/>
            </w:tcBorders>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 xml:space="preserve">序号 </w:t>
            </w:r>
          </w:p>
        </w:tc>
        <w:tc>
          <w:tcPr>
            <w:tcW w:w="1996"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 xml:space="preserve">条款名称 </w:t>
            </w:r>
          </w:p>
        </w:tc>
        <w:tc>
          <w:tcPr>
            <w:tcW w:w="6493"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bottom w:val="single" w:color="auto" w:sz="4" w:space="0"/>
            </w:tcBorders>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1996"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采购预算和</w:t>
            </w:r>
          </w:p>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最高限价</w:t>
            </w:r>
          </w:p>
        </w:tc>
        <w:tc>
          <w:tcPr>
            <w:tcW w:w="6493" w:type="dxa"/>
            <w:vAlign w:val="center"/>
          </w:tcPr>
          <w:p>
            <w:pPr>
              <w:pStyle w:val="24"/>
              <w:pageBreakBefore w:val="0"/>
              <w:kinsoku/>
              <w:overflowPunct/>
              <w:topLinePunct w:val="0"/>
              <w:bidi w:val="0"/>
              <w:spacing w:line="360" w:lineRule="auto"/>
              <w:ind w:left="0" w:leftChars="0" w:right="0" w:rightChars="0" w:firstLine="240" w:firstLineChars="100"/>
              <w:jc w:val="both"/>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）本项目的采购预算为：¥</w:t>
            </w:r>
            <w:bookmarkStart w:id="55" w:name="【Bobole_资金预算_小写_1】"/>
            <w:r>
              <w:rPr>
                <w:rFonts w:hint="eastAsia" w:ascii="仿宋" w:hAnsi="仿宋" w:eastAsia="仿宋" w:cs="仿宋"/>
                <w:sz w:val="24"/>
                <w:szCs w:val="24"/>
                <w:lang w:val="zh-CN"/>
              </w:rPr>
              <w:t>500000</w:t>
            </w:r>
            <w:bookmarkEnd w:id="55"/>
            <w:r>
              <w:rPr>
                <w:rFonts w:hint="eastAsia" w:ascii="仿宋" w:hAnsi="仿宋" w:eastAsia="仿宋" w:cs="仿宋"/>
                <w:sz w:val="24"/>
                <w:szCs w:val="24"/>
                <w:lang w:val="zh-CN"/>
              </w:rPr>
              <w:t>元（大写：</w:t>
            </w:r>
            <w:r>
              <w:rPr>
                <w:rFonts w:hint="eastAsia" w:ascii="仿宋" w:hAnsi="仿宋" w:eastAsia="仿宋" w:cs="仿宋"/>
                <w:sz w:val="24"/>
                <w:szCs w:val="24"/>
                <w:lang w:val="en-US" w:eastAsia="zh-CN"/>
              </w:rPr>
              <w:t>伍拾万元整</w:t>
            </w:r>
            <w:r>
              <w:rPr>
                <w:rFonts w:hint="eastAsia" w:ascii="仿宋" w:hAnsi="仿宋" w:eastAsia="仿宋" w:cs="仿宋"/>
                <w:sz w:val="24"/>
                <w:szCs w:val="24"/>
                <w:lang w:val="zh-CN"/>
              </w:rPr>
              <w:t>）</w:t>
            </w:r>
          </w:p>
          <w:p>
            <w:pPr>
              <w:pStyle w:val="24"/>
              <w:pageBreakBefore w:val="0"/>
              <w:kinsoku/>
              <w:overflowPunct/>
              <w:topLinePunct w:val="0"/>
              <w:bidi w:val="0"/>
              <w:spacing w:line="360" w:lineRule="auto"/>
              <w:ind w:left="0" w:leftChars="0" w:right="0" w:rightChars="0" w:firstLine="240" w:firstLineChars="100"/>
              <w:jc w:val="both"/>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）本项目报价不能超过采购人设定的最高限价：¥</w:t>
            </w:r>
            <w:bookmarkStart w:id="56" w:name="【Bobole_最高限价_小写_1】"/>
            <w:r>
              <w:rPr>
                <w:rFonts w:hint="eastAsia" w:ascii="仿宋" w:hAnsi="仿宋" w:eastAsia="仿宋" w:cs="仿宋"/>
                <w:sz w:val="24"/>
                <w:szCs w:val="24"/>
                <w:lang w:val="zh-CN"/>
              </w:rPr>
              <w:t>500000</w:t>
            </w:r>
            <w:bookmarkEnd w:id="56"/>
            <w:r>
              <w:rPr>
                <w:rFonts w:hint="eastAsia" w:ascii="仿宋" w:hAnsi="仿宋" w:eastAsia="仿宋" w:cs="仿宋"/>
                <w:sz w:val="24"/>
                <w:szCs w:val="24"/>
                <w:lang w:val="zh-CN"/>
              </w:rPr>
              <w:t>元（大写：</w:t>
            </w:r>
            <w:r>
              <w:rPr>
                <w:rFonts w:hint="eastAsia" w:ascii="仿宋" w:hAnsi="仿宋" w:eastAsia="仿宋" w:cs="仿宋"/>
                <w:sz w:val="24"/>
                <w:szCs w:val="24"/>
                <w:lang w:val="en-US" w:eastAsia="zh-CN"/>
              </w:rPr>
              <w:t>伍拾万元整</w:t>
            </w:r>
            <w:r>
              <w:rPr>
                <w:rFonts w:hint="eastAsia" w:ascii="仿宋" w:hAnsi="仿宋" w:eastAsia="仿宋" w:cs="仿宋"/>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tcBorders>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2</w:t>
            </w:r>
          </w:p>
        </w:tc>
        <w:tc>
          <w:tcPr>
            <w:tcW w:w="1996"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低于成本价不正当竞争预防措施</w:t>
            </w:r>
          </w:p>
        </w:tc>
        <w:tc>
          <w:tcPr>
            <w:tcW w:w="6493" w:type="dxa"/>
            <w:vAlign w:val="center"/>
          </w:tcPr>
          <w:p>
            <w:pPr>
              <w:pStyle w:val="24"/>
              <w:pageBreakBefore w:val="0"/>
              <w:kinsoku/>
              <w:overflowPunct/>
              <w:topLinePunct w:val="0"/>
              <w:bidi w:val="0"/>
              <w:spacing w:line="360" w:lineRule="auto"/>
              <w:ind w:left="0" w:leftChars="0" w:right="0" w:rightChars="0"/>
              <w:jc w:val="both"/>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（1）</w:t>
            </w:r>
            <w:r>
              <w:rPr>
                <w:rFonts w:hint="eastAsia" w:ascii="仿宋" w:hAnsi="仿宋" w:eastAsia="仿宋" w:cs="仿宋"/>
                <w:sz w:val="24"/>
                <w:szCs w:val="24"/>
                <w:lang w:val="en-US" w:eastAsia="zh-CN"/>
              </w:rPr>
              <w:t>磋商小组</w:t>
            </w:r>
            <w:r>
              <w:rPr>
                <w:rFonts w:hint="eastAsia" w:ascii="仿宋" w:hAnsi="仿宋" w:eastAsia="仿宋" w:cs="仿宋"/>
                <w:sz w:val="24"/>
                <w:szCs w:val="24"/>
                <w:lang w:val="zh-CN"/>
              </w:rPr>
              <w:t>认为</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rPr>
              <w:t>的报价明显低于其他通过符合性审查</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rPr>
              <w:t>的报价，有可能影响产品质量或者不能诚信履约的，应当要求其在</w:t>
            </w:r>
            <w:r>
              <w:rPr>
                <w:rFonts w:hint="eastAsia" w:ascii="仿宋" w:hAnsi="仿宋" w:eastAsia="仿宋" w:cs="仿宋"/>
                <w:sz w:val="24"/>
                <w:szCs w:val="24"/>
                <w:lang w:val="en-US" w:eastAsia="zh-CN"/>
              </w:rPr>
              <w:t>评审</w:t>
            </w:r>
            <w:r>
              <w:rPr>
                <w:rFonts w:hint="eastAsia" w:ascii="仿宋" w:hAnsi="仿宋" w:eastAsia="仿宋" w:cs="仿宋"/>
                <w:sz w:val="24"/>
                <w:szCs w:val="24"/>
                <w:lang w:val="zh-CN"/>
              </w:rPr>
              <w:t>现场合理的时间内提供书面说明，必要时提交相关证明材料；</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rPr>
              <w:t>不能证明其报价合理性的，</w:t>
            </w:r>
            <w:r>
              <w:rPr>
                <w:rFonts w:hint="eastAsia" w:ascii="仿宋" w:hAnsi="仿宋" w:eastAsia="仿宋" w:cs="仿宋"/>
                <w:sz w:val="24"/>
                <w:szCs w:val="24"/>
                <w:lang w:val="en-US" w:eastAsia="zh-CN"/>
              </w:rPr>
              <w:t>磋商小组</w:t>
            </w:r>
            <w:r>
              <w:rPr>
                <w:rFonts w:hint="eastAsia" w:ascii="仿宋" w:hAnsi="仿宋" w:eastAsia="仿宋" w:cs="仿宋"/>
                <w:sz w:val="24"/>
                <w:szCs w:val="24"/>
                <w:lang w:val="zh-CN"/>
              </w:rPr>
              <w:t>应当将其作为无效</w:t>
            </w:r>
            <w:r>
              <w:rPr>
                <w:rFonts w:hint="eastAsia" w:ascii="仿宋" w:hAnsi="仿宋" w:eastAsia="仿宋" w:cs="仿宋"/>
                <w:sz w:val="24"/>
                <w:szCs w:val="24"/>
                <w:lang w:val="en-US" w:eastAsia="zh-CN"/>
              </w:rPr>
              <w:t>响应</w:t>
            </w:r>
            <w:r>
              <w:rPr>
                <w:rFonts w:hint="eastAsia" w:ascii="仿宋" w:hAnsi="仿宋" w:eastAsia="仿宋" w:cs="仿宋"/>
                <w:sz w:val="24"/>
                <w:szCs w:val="24"/>
                <w:lang w:val="zh-CN"/>
              </w:rPr>
              <w:t>处理。</w:t>
            </w:r>
          </w:p>
          <w:p>
            <w:pPr>
              <w:pStyle w:val="24"/>
              <w:pageBreakBefore w:val="0"/>
              <w:kinsoku/>
              <w:overflowPunct/>
              <w:topLinePunct w:val="0"/>
              <w:bidi w:val="0"/>
              <w:spacing w:line="360" w:lineRule="auto"/>
              <w:ind w:left="0" w:leftChars="0" w:right="0" w:rightChars="0"/>
              <w:jc w:val="both"/>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2）供应商应在澄清通知发出后的90分钟内提交成本构成书面说明，并附相关证明材料；供应商的书面说明应当按照国家财务会计制度的规定要求，逐项就供应商提供的货物、工程和服务的主营业务成本、税金及附加、销售费用、管理费用、财务费用等成本构成事项详细陈述；</w:t>
            </w:r>
          </w:p>
          <w:p>
            <w:pPr>
              <w:pStyle w:val="24"/>
              <w:pageBreakBefore w:val="0"/>
              <w:kinsoku/>
              <w:overflowPunct/>
              <w:topLinePunct w:val="0"/>
              <w:bidi w:val="0"/>
              <w:spacing w:line="360" w:lineRule="auto"/>
              <w:ind w:left="0" w:leftChars="0" w:right="0" w:rightChars="0"/>
              <w:jc w:val="both"/>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（3）磋商小组应当结合采购项目的需求、专业实际情况、供应商财务状况报告、与其他供应商的比较情况等就供应商的书面说明进行评价；</w:t>
            </w:r>
          </w:p>
          <w:p>
            <w:pPr>
              <w:pStyle w:val="24"/>
              <w:pageBreakBefore w:val="0"/>
              <w:kinsoku/>
              <w:overflowPunct/>
              <w:topLinePunct w:val="0"/>
              <w:bidi w:val="0"/>
              <w:spacing w:line="360" w:lineRule="auto"/>
              <w:ind w:left="0" w:leftChars="0" w:right="0" w:rightChars="0"/>
              <w:jc w:val="both"/>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（4）供应商拒绝或者变相拒绝提供有效书面说明或者书面说明不能证明其报价合理性的，磋商小组应将其响应作无效处理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tcBorders>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3</w:t>
            </w:r>
          </w:p>
        </w:tc>
        <w:tc>
          <w:tcPr>
            <w:tcW w:w="1996"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落实政府采购政策进行价格扣除和加成的方法</w:t>
            </w:r>
          </w:p>
        </w:tc>
        <w:tc>
          <w:tcPr>
            <w:tcW w:w="6493" w:type="dxa"/>
            <w:vAlign w:val="center"/>
          </w:tcPr>
          <w:p>
            <w:pPr>
              <w:pageBreakBefore w:val="0"/>
              <w:tabs>
                <w:tab w:val="left" w:pos="700"/>
              </w:tabs>
              <w:kinsoku/>
              <w:overflowPunct/>
              <w:topLinePunct w:val="0"/>
              <w:autoSpaceDE w:val="0"/>
              <w:autoSpaceDN w:val="0"/>
              <w:bidi w:val="0"/>
              <w:adjustRightInd w:val="0"/>
              <w:spacing w:line="360" w:lineRule="auto"/>
              <w:ind w:left="0" w:leftChars="0" w:right="0" w:rightChars="0" w:firstLine="240" w:firstLineChars="1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本项目是专门面向中小企业采购，不再进行价格扣除。参加政府采购活动的中小企业提供《中小企业声明函》原件。</w:t>
            </w:r>
          </w:p>
          <w:p>
            <w:pPr>
              <w:pStyle w:val="24"/>
              <w:pageBreakBefore w:val="0"/>
              <w:kinsoku/>
              <w:overflowPunct/>
              <w:topLinePunct w:val="0"/>
              <w:bidi w:val="0"/>
              <w:spacing w:line="360" w:lineRule="auto"/>
              <w:ind w:left="0" w:leftChars="0" w:right="0" w:rightChars="0"/>
              <w:textAlignment w:val="auto"/>
              <w:rPr>
                <w:rFonts w:hint="eastAsia" w:ascii="仿宋" w:hAnsi="仿宋" w:eastAsia="仿宋" w:cs="仿宋"/>
                <w:sz w:val="24"/>
                <w:szCs w:val="24"/>
                <w:lang w:val="zh-CN"/>
              </w:rPr>
            </w:pPr>
            <w:r>
              <w:rPr>
                <w:rFonts w:hint="eastAsia" w:ascii="仿宋" w:hAnsi="仿宋" w:eastAsia="仿宋" w:cs="仿宋"/>
                <w:color w:val="auto"/>
                <w:sz w:val="24"/>
                <w:szCs w:val="24"/>
                <w:lang w:val="en-US" w:eastAsia="zh-CN"/>
              </w:rPr>
              <w:t xml:space="preserve"> 符合中小企业划分标准的个体工商户，在政府采购活动中视同中小企业。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3</w:t>
            </w:r>
          </w:p>
        </w:tc>
        <w:tc>
          <w:tcPr>
            <w:tcW w:w="1996"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咨询和联系</w:t>
            </w:r>
          </w:p>
        </w:tc>
        <w:tc>
          <w:tcPr>
            <w:tcW w:w="6493" w:type="dxa"/>
            <w:vAlign w:val="center"/>
          </w:tcPr>
          <w:p>
            <w:pPr>
              <w:pStyle w:val="24"/>
              <w:pageBreakBefore w:val="0"/>
              <w:kinsoku/>
              <w:overflowPunct/>
              <w:topLinePunct w:val="0"/>
              <w:bidi w:val="0"/>
              <w:spacing w:line="360" w:lineRule="auto"/>
              <w:ind w:left="0" w:leftChars="0" w:right="0" w:rightChars="0"/>
              <w:jc w:val="both"/>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（1）有关磋商文件获取、响应文件编制、项目质疑相关事宜的联系方式详见磋商文件第一章；</w:t>
            </w:r>
          </w:p>
          <w:p>
            <w:pPr>
              <w:pStyle w:val="24"/>
              <w:pageBreakBefore w:val="0"/>
              <w:kinsoku/>
              <w:overflowPunct/>
              <w:topLinePunct w:val="0"/>
              <w:bidi w:val="0"/>
              <w:spacing w:line="360" w:lineRule="auto"/>
              <w:ind w:left="0" w:leftChars="0" w:right="0" w:rightChars="0"/>
              <w:jc w:val="both"/>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（2）有关项目投诉事宜请联系</w:t>
            </w:r>
            <w:bookmarkStart w:id="57" w:name="【Bobole_其他信息_TSLXR】"/>
            <w:r>
              <w:rPr>
                <w:rFonts w:hint="eastAsia" w:ascii="仿宋" w:hAnsi="仿宋" w:eastAsia="仿宋" w:cs="仿宋"/>
                <w:color w:val="auto"/>
                <w:sz w:val="24"/>
                <w:szCs w:val="24"/>
                <w:lang w:val="zh-CN"/>
              </w:rPr>
              <w:t>巴中市巴州区财政局（0827-5282975）</w:t>
            </w:r>
            <w:bookmarkEnd w:id="5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4</w:t>
            </w:r>
          </w:p>
        </w:tc>
        <w:tc>
          <w:tcPr>
            <w:tcW w:w="1996"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报价方式</w:t>
            </w:r>
          </w:p>
        </w:tc>
        <w:tc>
          <w:tcPr>
            <w:tcW w:w="6493" w:type="dxa"/>
            <w:vAlign w:val="center"/>
          </w:tcPr>
          <w:p>
            <w:pPr>
              <w:pStyle w:val="24"/>
              <w:pageBreakBefore w:val="0"/>
              <w:numPr>
                <w:ilvl w:val="0"/>
                <w:numId w:val="0"/>
              </w:numPr>
              <w:kinsoku/>
              <w:overflowPunct/>
              <w:topLinePunct w:val="0"/>
              <w:bidi w:val="0"/>
              <w:spacing w:line="360" w:lineRule="auto"/>
              <w:ind w:left="0" w:leftChars="0" w:right="0" w:rightChars="0" w:firstLine="240" w:firstLineChars="100"/>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多轮报价；</w:t>
            </w:r>
          </w:p>
          <w:p>
            <w:pPr>
              <w:pStyle w:val="24"/>
              <w:pageBreakBefore w:val="0"/>
              <w:kinsoku/>
              <w:overflowPunct/>
              <w:topLinePunct w:val="0"/>
              <w:bidi w:val="0"/>
              <w:spacing w:line="360" w:lineRule="auto"/>
              <w:ind w:left="0" w:leftChars="0" w:right="0" w:rightChars="0" w:firstLine="240" w:firstLineChars="100"/>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2.报价环节的开启时长由评审专家结合项目的实际情况开启</w:t>
            </w:r>
            <w:r>
              <w:rPr>
                <w:rFonts w:hint="eastAsia" w:ascii="仿宋" w:hAnsi="仿宋" w:eastAsia="仿宋" w:cs="仿宋"/>
                <w:color w:val="auto"/>
                <w:sz w:val="24"/>
                <w:szCs w:val="24"/>
                <w:highlight w:val="none"/>
                <w:lang w:val="zh-CN" w:eastAsia="zh-CN"/>
              </w:rPr>
              <w:t>，除因巴中市电子化政府采购管理系统发生故障导致供应商无法按时</w:t>
            </w: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lang w:val="zh-CN" w:eastAsia="zh-CN"/>
              </w:rPr>
              <w:t>电子</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lang w:val="zh-CN" w:eastAsia="zh-CN"/>
              </w:rPr>
              <w:t>报价外，未按时</w:t>
            </w:r>
            <w:r>
              <w:rPr>
                <w:rFonts w:hint="eastAsia" w:ascii="仿宋" w:hAnsi="仿宋" w:eastAsia="仿宋" w:cs="仿宋"/>
                <w:color w:val="auto"/>
                <w:sz w:val="24"/>
                <w:szCs w:val="24"/>
                <w:highlight w:val="none"/>
                <w:lang w:val="en-US" w:eastAsia="zh-CN"/>
              </w:rPr>
              <w:t>在电子系统上报价</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所产生的后果由供应商自行负责</w:t>
            </w:r>
            <w:r>
              <w:rPr>
                <w:rFonts w:hint="eastAsia" w:ascii="仿宋" w:hAnsi="仿宋" w:eastAsia="仿宋" w:cs="仿宋"/>
                <w:color w:val="auto"/>
                <w:sz w:val="24"/>
                <w:szCs w:val="24"/>
                <w:highlight w:val="none"/>
                <w:lang w:val="zh-CN"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5</w:t>
            </w:r>
          </w:p>
        </w:tc>
        <w:tc>
          <w:tcPr>
            <w:tcW w:w="1996"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联合体响应</w:t>
            </w:r>
          </w:p>
        </w:tc>
        <w:tc>
          <w:tcPr>
            <w:tcW w:w="6493" w:type="dxa"/>
            <w:vAlign w:val="center"/>
          </w:tcPr>
          <w:p>
            <w:pPr>
              <w:pStyle w:val="24"/>
              <w:pageBreakBefore w:val="0"/>
              <w:kinsoku/>
              <w:overflowPunct/>
              <w:topLinePunct w:val="0"/>
              <w:bidi w:val="0"/>
              <w:spacing w:line="360" w:lineRule="auto"/>
              <w:ind w:left="0" w:leftChars="0" w:right="0" w:rightChars="0" w:firstLine="120" w:firstLineChars="50"/>
              <w:jc w:val="both"/>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不接受供应商组成联合体参加政府采购活动。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6</w:t>
            </w:r>
          </w:p>
        </w:tc>
        <w:tc>
          <w:tcPr>
            <w:tcW w:w="1996"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现场踏勘和答疑</w:t>
            </w:r>
          </w:p>
        </w:tc>
        <w:tc>
          <w:tcPr>
            <w:tcW w:w="6493" w:type="dxa"/>
            <w:vAlign w:val="center"/>
          </w:tcPr>
          <w:p>
            <w:pPr>
              <w:pStyle w:val="24"/>
              <w:pageBreakBefore w:val="0"/>
              <w:kinsoku/>
              <w:overflowPunct/>
              <w:topLinePunct w:val="0"/>
              <w:bidi w:val="0"/>
              <w:spacing w:line="360" w:lineRule="auto"/>
              <w:ind w:left="0" w:leftChars="0" w:right="0" w:rightChars="0"/>
              <w:jc w:val="both"/>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不举行。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7</w:t>
            </w:r>
          </w:p>
        </w:tc>
        <w:tc>
          <w:tcPr>
            <w:tcW w:w="1996"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响应有效期</w:t>
            </w:r>
          </w:p>
        </w:tc>
        <w:tc>
          <w:tcPr>
            <w:tcW w:w="6493" w:type="dxa"/>
            <w:vAlign w:val="center"/>
          </w:tcPr>
          <w:p>
            <w:pPr>
              <w:pStyle w:val="24"/>
              <w:pageBreakBefore w:val="0"/>
              <w:kinsoku/>
              <w:overflowPunct/>
              <w:topLinePunct w:val="0"/>
              <w:bidi w:val="0"/>
              <w:spacing w:line="360" w:lineRule="auto"/>
              <w:ind w:left="0" w:leftChars="0" w:right="0" w:rightChars="0"/>
              <w:jc w:val="both"/>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90日，自提交首次响应文件的截止时间起算。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8</w:t>
            </w:r>
          </w:p>
        </w:tc>
        <w:tc>
          <w:tcPr>
            <w:tcW w:w="1996"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磋商担保</w:t>
            </w:r>
          </w:p>
        </w:tc>
        <w:tc>
          <w:tcPr>
            <w:tcW w:w="6493" w:type="dxa"/>
            <w:vAlign w:val="center"/>
          </w:tcPr>
          <w:p>
            <w:pPr>
              <w:pStyle w:val="24"/>
              <w:pageBreakBefore w:val="0"/>
              <w:kinsoku/>
              <w:overflowPunct/>
              <w:topLinePunct w:val="0"/>
              <w:bidi w:val="0"/>
              <w:spacing w:line="360" w:lineRule="auto"/>
              <w:ind w:left="0" w:leftChars="0" w:right="0" w:rightChars="0"/>
              <w:jc w:val="both"/>
              <w:textAlignment w:val="auto"/>
              <w:rPr>
                <w:rFonts w:hint="eastAsia" w:ascii="仿宋" w:hAnsi="仿宋" w:eastAsia="仿宋" w:cs="仿宋"/>
                <w:sz w:val="24"/>
                <w:szCs w:val="24"/>
                <w:lang w:val="zh-CN"/>
              </w:rPr>
            </w:pPr>
            <w:bookmarkStart w:id="58" w:name="_Hlk3457325"/>
            <w:r>
              <w:rPr>
                <w:rFonts w:hint="eastAsia" w:ascii="仿宋" w:hAnsi="仿宋" w:eastAsia="仿宋" w:cs="仿宋"/>
                <w:sz w:val="24"/>
                <w:szCs w:val="24"/>
                <w:lang w:val="zh-CN"/>
              </w:rPr>
              <w:t>本项目不设磋商担保；供应商无需为参与本次政府采购项目提交磋商保证金或保函</w:t>
            </w:r>
            <w:bookmarkEnd w:id="58"/>
            <w:r>
              <w:rPr>
                <w:rFonts w:hint="eastAsia" w:ascii="仿宋" w:hAnsi="仿宋" w:eastAsia="仿宋" w:cs="仿宋"/>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9</w:t>
            </w:r>
          </w:p>
        </w:tc>
        <w:tc>
          <w:tcPr>
            <w:tcW w:w="1996"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本项目拟推荐成交候选人的最小数量</w:t>
            </w:r>
          </w:p>
        </w:tc>
        <w:tc>
          <w:tcPr>
            <w:tcW w:w="6493" w:type="dxa"/>
            <w:vAlign w:val="center"/>
          </w:tcPr>
          <w:p>
            <w:pPr>
              <w:pStyle w:val="24"/>
              <w:pageBreakBefore w:val="0"/>
              <w:kinsoku/>
              <w:overflowPunct/>
              <w:topLinePunct w:val="0"/>
              <w:bidi w:val="0"/>
              <w:spacing w:line="360" w:lineRule="auto"/>
              <w:ind w:left="0" w:leftChars="0" w:right="0" w:rightChars="0" w:firstLine="240" w:firstLineChars="100"/>
              <w:textAlignment w:val="auto"/>
              <w:rPr>
                <w:rFonts w:hint="eastAsia" w:ascii="仿宋" w:hAnsi="仿宋" w:eastAsia="仿宋" w:cs="仿宋"/>
                <w:sz w:val="24"/>
                <w:szCs w:val="24"/>
                <w:lang w:val="zh-CN"/>
              </w:rPr>
            </w:pPr>
            <w:bookmarkStart w:id="59" w:name="【Bobole_其他信息_NTJHXRSL】"/>
            <w:r>
              <w:rPr>
                <w:rFonts w:hint="eastAsia" w:ascii="仿宋" w:hAnsi="仿宋" w:eastAsia="仿宋" w:cs="仿宋"/>
                <w:sz w:val="24"/>
                <w:szCs w:val="24"/>
                <w:lang w:val="zh-CN"/>
              </w:rPr>
              <w:t>3</w:t>
            </w:r>
            <w:bookmarkEnd w:id="59"/>
            <w:r>
              <w:rPr>
                <w:rFonts w:hint="eastAsia" w:ascii="仿宋" w:hAnsi="仿宋" w:eastAsia="仿宋" w:cs="仿宋"/>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10</w:t>
            </w:r>
          </w:p>
        </w:tc>
        <w:tc>
          <w:tcPr>
            <w:tcW w:w="1996"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本项目拟确定的成交人数量</w:t>
            </w:r>
          </w:p>
        </w:tc>
        <w:tc>
          <w:tcPr>
            <w:tcW w:w="6493" w:type="dxa"/>
            <w:vAlign w:val="center"/>
          </w:tcPr>
          <w:p>
            <w:pPr>
              <w:pStyle w:val="24"/>
              <w:pageBreakBefore w:val="0"/>
              <w:kinsoku/>
              <w:overflowPunct/>
              <w:topLinePunct w:val="0"/>
              <w:bidi w:val="0"/>
              <w:spacing w:line="360" w:lineRule="auto"/>
              <w:ind w:left="240" w:leftChars="0" w:right="0" w:rightChars="0" w:hanging="240" w:hangingChars="1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  </w:t>
            </w:r>
            <w:bookmarkStart w:id="60" w:name="【Bobole_其他信息_NQDZBRSL】"/>
            <w:r>
              <w:rPr>
                <w:rFonts w:hint="eastAsia" w:ascii="仿宋" w:hAnsi="仿宋" w:eastAsia="仿宋" w:cs="仿宋"/>
                <w:sz w:val="24"/>
                <w:szCs w:val="24"/>
                <w:lang w:val="zh-CN"/>
              </w:rPr>
              <w:t>1</w:t>
            </w:r>
            <w:bookmarkEnd w:id="60"/>
            <w:r>
              <w:rPr>
                <w:rFonts w:hint="eastAsia" w:ascii="仿宋" w:hAnsi="仿宋" w:eastAsia="仿宋" w:cs="仿宋"/>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11</w:t>
            </w:r>
          </w:p>
        </w:tc>
        <w:tc>
          <w:tcPr>
            <w:tcW w:w="1996"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提交履约担保</w:t>
            </w:r>
          </w:p>
        </w:tc>
        <w:tc>
          <w:tcPr>
            <w:tcW w:w="6493" w:type="dxa"/>
            <w:vAlign w:val="center"/>
          </w:tcPr>
          <w:p>
            <w:pPr>
              <w:pStyle w:val="24"/>
              <w:pageBreakBefore w:val="0"/>
              <w:kinsoku/>
              <w:overflowPunct/>
              <w:topLinePunct w:val="0"/>
              <w:bidi w:val="0"/>
              <w:spacing w:line="360" w:lineRule="auto"/>
              <w:ind w:left="0" w:leftChars="0" w:right="0" w:rightChars="0" w:firstLine="240" w:firstLineChars="100"/>
              <w:jc w:val="both"/>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本项目不设履约担保；中标人无需为履行本项目政府采购合同提供履约保证金或履约保函。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12</w:t>
            </w:r>
          </w:p>
        </w:tc>
        <w:tc>
          <w:tcPr>
            <w:tcW w:w="1996"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政府采购合同分包、转包</w:t>
            </w:r>
          </w:p>
        </w:tc>
        <w:tc>
          <w:tcPr>
            <w:tcW w:w="6493" w:type="dxa"/>
            <w:vAlign w:val="center"/>
          </w:tcPr>
          <w:p>
            <w:pPr>
              <w:pStyle w:val="24"/>
              <w:pageBreakBefore w:val="0"/>
              <w:kinsoku/>
              <w:overflowPunct/>
              <w:topLinePunct w:val="0"/>
              <w:bidi w:val="0"/>
              <w:spacing w:line="360" w:lineRule="auto"/>
              <w:ind w:left="0" w:leftChars="0" w:right="0" w:rightChars="0" w:firstLine="240" w:firstLineChars="100"/>
              <w:textAlignment w:val="auto"/>
              <w:rPr>
                <w:rFonts w:hint="eastAsia" w:ascii="仿宋" w:hAnsi="仿宋" w:eastAsia="仿宋" w:cs="仿宋"/>
                <w:sz w:val="24"/>
                <w:szCs w:val="24"/>
                <w:lang w:val="zh-CN"/>
              </w:rPr>
            </w:pPr>
            <w:bookmarkStart w:id="61" w:name="【Bobole_其他信息_SFYXHTFB】"/>
            <w:r>
              <w:rPr>
                <w:rFonts w:hint="eastAsia" w:ascii="仿宋" w:hAnsi="仿宋" w:eastAsia="仿宋" w:cs="仿宋"/>
                <w:sz w:val="24"/>
                <w:szCs w:val="24"/>
                <w:lang w:val="zh-CN"/>
              </w:rPr>
              <w:t>采购合同不接受分包、转包</w:t>
            </w:r>
            <w:bookmarkEnd w:id="61"/>
            <w:r>
              <w:rPr>
                <w:rFonts w:hint="eastAsia" w:ascii="仿宋" w:hAnsi="仿宋" w:eastAsia="仿宋" w:cs="仿宋"/>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13</w:t>
            </w:r>
          </w:p>
        </w:tc>
        <w:tc>
          <w:tcPr>
            <w:tcW w:w="1996"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项目名称的一致性</w:t>
            </w:r>
          </w:p>
        </w:tc>
        <w:tc>
          <w:tcPr>
            <w:tcW w:w="6493" w:type="dxa"/>
            <w:vAlign w:val="center"/>
          </w:tcPr>
          <w:p>
            <w:pPr>
              <w:pStyle w:val="24"/>
              <w:pageBreakBefore w:val="0"/>
              <w:kinsoku/>
              <w:overflowPunct/>
              <w:topLinePunct w:val="0"/>
              <w:bidi w:val="0"/>
              <w:spacing w:line="360" w:lineRule="auto"/>
              <w:ind w:left="0" w:leftChars="0" w:right="0" w:rightChars="0"/>
              <w:jc w:val="both"/>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因政府采购公告发布网站使用制式填制形式，可能导致政府采购公告页面显示的项目名称与磋商文件所示不一致；为避免混淆，项目名称以磋商文件第一章所示内容为准。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5" w:hRule="atLeast"/>
          <w:jc w:val="center"/>
        </w:trPr>
        <w:tc>
          <w:tcPr>
            <w:tcW w:w="1012"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14</w:t>
            </w:r>
          </w:p>
        </w:tc>
        <w:tc>
          <w:tcPr>
            <w:tcW w:w="1996"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代理服务费收费标准或金额</w:t>
            </w:r>
          </w:p>
        </w:tc>
        <w:tc>
          <w:tcPr>
            <w:tcW w:w="6493" w:type="dxa"/>
            <w:vAlign w:val="center"/>
          </w:tcPr>
          <w:p>
            <w:pPr>
              <w:pStyle w:val="24"/>
              <w:pageBreakBefore w:val="0"/>
              <w:kinsoku/>
              <w:overflowPunct/>
              <w:topLinePunct w:val="0"/>
              <w:bidi w:val="0"/>
              <w:spacing w:line="360" w:lineRule="auto"/>
              <w:ind w:left="0" w:leftChars="0" w:right="0" w:rightChars="0"/>
              <w:jc w:val="both"/>
              <w:textAlignment w:val="auto"/>
              <w:rPr>
                <w:rFonts w:hint="eastAsia" w:ascii="仿宋" w:hAnsi="仿宋" w:eastAsia="仿宋" w:cs="仿宋"/>
                <w:sz w:val="24"/>
                <w:szCs w:val="24"/>
                <w:lang w:val="zh-CN"/>
              </w:rPr>
            </w:pPr>
            <w:bookmarkStart w:id="62" w:name="【Bobole_其他信息_DLFWF_200】"/>
            <w:r>
              <w:rPr>
                <w:rFonts w:hint="eastAsia" w:ascii="仿宋" w:hAnsi="仿宋" w:eastAsia="仿宋" w:cs="仿宋"/>
                <w:sz w:val="24"/>
                <w:szCs w:val="24"/>
                <w:lang w:val="zh-CN"/>
              </w:rPr>
              <w:t>参照国家计委计价格[2002]1980号规定，向成交供应商以转账方式定额收取人民币9,000.00元（大写：玖仟元整）</w:t>
            </w:r>
            <w:bookmarkEnd w:id="62"/>
            <w:r>
              <w:rPr>
                <w:rFonts w:hint="eastAsia" w:ascii="仿宋" w:hAnsi="仿宋" w:eastAsia="仿宋" w:cs="仿宋"/>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5" w:hRule="atLeast"/>
          <w:jc w:val="center"/>
        </w:trPr>
        <w:tc>
          <w:tcPr>
            <w:tcW w:w="1012" w:type="dxa"/>
            <w:vAlign w:val="center"/>
          </w:tcPr>
          <w:p>
            <w:pPr>
              <w:pStyle w:val="24"/>
              <w:pageBreakBefore w:val="0"/>
              <w:tabs>
                <w:tab w:val="left" w:pos="567"/>
              </w:tabs>
              <w:kinsoku/>
              <w:overflowPunct/>
              <w:topLinePunct w:val="0"/>
              <w:bidi w:val="0"/>
              <w:spacing w:line="360" w:lineRule="auto"/>
              <w:ind w:left="0" w:leftChars="0" w:right="0" w:rightChars="0" w:firstLine="240" w:firstLineChars="100"/>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15</w:t>
            </w:r>
          </w:p>
        </w:tc>
        <w:tc>
          <w:tcPr>
            <w:tcW w:w="1996" w:type="dxa"/>
            <w:vAlign w:val="center"/>
          </w:tcPr>
          <w:p>
            <w:pPr>
              <w:pStyle w:val="24"/>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其他</w:t>
            </w:r>
          </w:p>
        </w:tc>
        <w:tc>
          <w:tcPr>
            <w:tcW w:w="6493" w:type="dxa"/>
            <w:vAlign w:val="center"/>
          </w:tcPr>
          <w:p>
            <w:pPr>
              <w:pageBreakBefore w:val="0"/>
              <w:numPr>
                <w:ilvl w:val="0"/>
                <w:numId w:val="1"/>
              </w:numPr>
              <w:kinsoku/>
              <w:overflowPunct/>
              <w:topLinePunct w:val="0"/>
              <w:bidi w:val="0"/>
              <w:spacing w:line="360" w:lineRule="auto"/>
              <w:ind w:left="0" w:leftChars="0" w:right="0"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若供应商在“布络供应商门户端口”获取用于响应文件编制的采购文件数据包（BBL格式）与四川政府采购网和巴中政府采购网发布的采购文件出现不一致时，以巴中政府采购网发布的采购文件为准。</w:t>
            </w:r>
          </w:p>
          <w:p>
            <w:pPr>
              <w:pageBreakBefore w:val="0"/>
              <w:numPr>
                <w:ilvl w:val="0"/>
                <w:numId w:val="1"/>
              </w:numPr>
              <w:kinsoku/>
              <w:overflowPunct/>
              <w:topLinePunct w:val="0"/>
              <w:bidi w:val="0"/>
              <w:spacing w:line="360" w:lineRule="auto"/>
              <w:ind w:left="0" w:leftChars="0" w:right="0"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本项目不接收纸质响应文件。</w:t>
            </w:r>
          </w:p>
          <w:p>
            <w:pPr>
              <w:pStyle w:val="24"/>
              <w:pageBreakBefore w:val="0"/>
              <w:kinsoku/>
              <w:overflowPunct/>
              <w:topLinePunct w:val="0"/>
              <w:bidi w:val="0"/>
              <w:spacing w:line="360" w:lineRule="auto"/>
              <w:ind w:left="0" w:leftChars="0" w:right="0" w:rightChars="0"/>
              <w:jc w:val="both"/>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供应商应于（投标）响应截止时间前，将电子化（投标）响应文件上传到巴中市电子化政府采购管理系统，并在（投标）响应截止时间后30分钟内通过《巴中市电子化政府采购投标（响应）书编制系统》解密电子（投标）响应文件。除因巴中市电子化政府采购管理系统发生故障导致供应商电子（投标）响应文件无法按时解密外，电子（投标）响应文件未按时解密的，所产生的后果由供应商自行负责</w:t>
            </w:r>
            <w:r>
              <w:rPr>
                <w:rFonts w:hint="eastAsia" w:ascii="仿宋" w:hAnsi="仿宋" w:eastAsia="仿宋" w:cs="仿宋"/>
                <w:sz w:val="24"/>
                <w:szCs w:val="24"/>
                <w:highlight w:val="none"/>
                <w:lang w:val="zh-CN" w:eastAsia="zh-CN"/>
              </w:rPr>
              <w:t>。</w:t>
            </w:r>
          </w:p>
        </w:tc>
      </w:tr>
    </w:tbl>
    <w:p>
      <w:pPr>
        <w:pageBreakBefore w:val="0"/>
        <w:kinsoku/>
        <w:overflowPunct/>
        <w:topLinePunct w:val="0"/>
        <w:bidi w:val="0"/>
        <w:spacing w:line="360" w:lineRule="auto"/>
        <w:ind w:left="0" w:leftChars="0" w:right="0" w:rightChars="0"/>
        <w:textAlignment w:val="auto"/>
        <w:rPr>
          <w:rFonts w:hint="eastAsia" w:ascii="仿宋" w:hAnsi="仿宋" w:eastAsia="仿宋" w:cs="仿宋"/>
        </w:rPr>
      </w:pPr>
    </w:p>
    <w:p>
      <w:pPr>
        <w:rPr>
          <w:rFonts w:hint="eastAsia" w:ascii="仿宋" w:hAnsi="仿宋" w:eastAsia="仿宋" w:cs="仿宋"/>
          <w:bCs/>
        </w:rPr>
      </w:pPr>
      <w:bookmarkStart w:id="63" w:name="_Toc471310329"/>
      <w:bookmarkStart w:id="64" w:name="_Toc63765769"/>
      <w:r>
        <w:rPr>
          <w:rFonts w:hint="eastAsia" w:ascii="仿宋" w:hAnsi="仿宋" w:eastAsia="仿宋" w:cs="仿宋"/>
          <w:bCs/>
        </w:rPr>
        <w:br w:type="page"/>
      </w:r>
    </w:p>
    <w:p>
      <w:pPr>
        <w:pStyle w:val="3"/>
        <w:pageBreakBefore w:val="0"/>
        <w:kinsoku/>
        <w:overflowPunct/>
        <w:topLinePunct w:val="0"/>
        <w:bidi w:val="0"/>
        <w:spacing w:before="0" w:after="0" w:line="360" w:lineRule="auto"/>
        <w:ind w:left="0" w:leftChars="0" w:right="0" w:rightChars="0"/>
        <w:jc w:val="center"/>
        <w:textAlignment w:val="auto"/>
        <w:rPr>
          <w:rFonts w:hint="eastAsia" w:ascii="仿宋" w:hAnsi="仿宋" w:eastAsia="仿宋" w:cs="仿宋"/>
          <w:bCs/>
        </w:rPr>
      </w:pPr>
      <w:bookmarkStart w:id="65" w:name="_Toc2822"/>
      <w:bookmarkStart w:id="66" w:name="_Toc25679"/>
      <w:bookmarkStart w:id="67" w:name="_Toc25733"/>
      <w:r>
        <w:rPr>
          <w:rFonts w:hint="eastAsia" w:ascii="仿宋" w:hAnsi="仿宋" w:eastAsia="仿宋" w:cs="仿宋"/>
          <w:bCs/>
        </w:rPr>
        <w:t>二、总则</w:t>
      </w:r>
      <w:bookmarkEnd w:id="63"/>
      <w:bookmarkEnd w:id="64"/>
      <w:bookmarkEnd w:id="65"/>
      <w:bookmarkEnd w:id="66"/>
      <w:bookmarkEnd w:id="67"/>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68" w:name="_Toc240869992"/>
      <w:bookmarkStart w:id="69" w:name="_Toc241204365"/>
      <w:bookmarkStart w:id="70" w:name="_Toc439679215"/>
      <w:bookmarkStart w:id="71" w:name="_Toc229395167"/>
      <w:bookmarkStart w:id="72" w:name="_Toc229475717"/>
      <w:bookmarkStart w:id="73" w:name="_Toc229476046"/>
      <w:bookmarkStart w:id="74" w:name="_Toc241054964"/>
      <w:bookmarkStart w:id="75" w:name="_Toc229393330"/>
      <w:bookmarkStart w:id="76" w:name="_Toc255975659"/>
      <w:bookmarkStart w:id="77" w:name="_Toc255976221"/>
      <w:bookmarkStart w:id="78" w:name="_Toc306711377"/>
      <w:bookmarkStart w:id="79" w:name="_Toc441921237"/>
      <w:bookmarkStart w:id="80" w:name="_Toc229393498"/>
      <w:bookmarkStart w:id="81" w:name="_Toc471310330"/>
      <w:bookmarkStart w:id="82" w:name="_Toc389552482"/>
      <w:bookmarkStart w:id="83" w:name="_Toc389231700"/>
      <w:bookmarkStart w:id="84" w:name="_Toc229393582"/>
      <w:bookmarkStart w:id="85" w:name="_Toc315962967"/>
      <w:bookmarkStart w:id="86" w:name="_Toc390774248"/>
      <w:bookmarkStart w:id="87" w:name="_Toc256000013"/>
      <w:bookmarkStart w:id="88" w:name="_Toc217446034"/>
      <w:bookmarkStart w:id="89" w:name="_Toc255896711"/>
      <w:bookmarkStart w:id="90" w:name="_Toc256000004"/>
      <w:bookmarkStart w:id="91" w:name="_Toc63765770"/>
      <w:bookmarkStart w:id="92" w:name="_Toc442099349"/>
      <w:bookmarkStart w:id="93" w:name="_Toc245441523"/>
      <w:bookmarkStart w:id="94" w:name="_Toc441679461"/>
      <w:bookmarkStart w:id="95" w:name="_Toc307298419"/>
      <w:bookmarkStart w:id="96" w:name="_Toc24258"/>
      <w:bookmarkStart w:id="97" w:name="_Toc3302"/>
      <w:bookmarkStart w:id="98" w:name="_Toc20315"/>
      <w:r>
        <w:rPr>
          <w:rFonts w:hint="eastAsia" w:ascii="仿宋" w:hAnsi="仿宋" w:eastAsia="仿宋" w:cs="仿宋"/>
          <w:sz w:val="24"/>
        </w:rPr>
        <w:t>（一）</w:t>
      </w:r>
      <w:r>
        <w:rPr>
          <w:rFonts w:hint="eastAsia" w:ascii="仿宋" w:hAnsi="仿宋" w:eastAsia="仿宋" w:cs="仿宋"/>
          <w:sz w:val="24"/>
          <w:szCs w:val="24"/>
        </w:rPr>
        <w:t>适用范围</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pageBreakBefore w:val="0"/>
        <w:tabs>
          <w:tab w:val="left" w:pos="7665"/>
        </w:tabs>
        <w:kinsoku/>
        <w:overflowPunct/>
        <w:topLinePunct w:val="0"/>
        <w:bidi w:val="0"/>
        <w:spacing w:line="36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磋商文件仅适用于本次采购项目。</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99" w:name="_Toc63765771"/>
      <w:bookmarkStart w:id="100" w:name="_Toc14095"/>
      <w:bookmarkStart w:id="101" w:name="_Toc9834"/>
      <w:bookmarkStart w:id="102" w:name="_Toc256000005"/>
      <w:bookmarkStart w:id="103" w:name="_Toc256000026"/>
      <w:bookmarkStart w:id="104" w:name="_Toc285"/>
      <w:r>
        <w:rPr>
          <w:rFonts w:hint="eastAsia" w:ascii="仿宋" w:hAnsi="仿宋" w:eastAsia="仿宋" w:cs="仿宋"/>
          <w:sz w:val="24"/>
        </w:rPr>
        <w:t>（二）有关定义</w:t>
      </w:r>
      <w:bookmarkEnd w:id="99"/>
      <w:bookmarkEnd w:id="100"/>
      <w:bookmarkEnd w:id="101"/>
      <w:bookmarkEnd w:id="102"/>
      <w:bookmarkEnd w:id="103"/>
      <w:bookmarkEnd w:id="104"/>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1.“采购人”系指依法进行政府采购的国家机关、事业单位、团体组织。本次磋商的采购人是</w:t>
      </w:r>
      <w:bookmarkStart w:id="105" w:name="【Bobole_采购单位名称_2】"/>
      <w:r>
        <w:rPr>
          <w:rFonts w:hint="eastAsia" w:ascii="仿宋" w:hAnsi="仿宋" w:eastAsia="仿宋" w:cs="仿宋"/>
          <w:sz w:val="28"/>
          <w:szCs w:val="28"/>
          <w:u w:val="single"/>
        </w:rPr>
        <w:t>巴中市巴州区水土保持服务中心</w:t>
      </w:r>
      <w:bookmarkEnd w:id="105"/>
      <w:r>
        <w:rPr>
          <w:rFonts w:hint="eastAsia" w:ascii="仿宋" w:hAnsi="仿宋" w:eastAsia="仿宋" w:cs="仿宋"/>
          <w:sz w:val="28"/>
          <w:szCs w:val="28"/>
        </w:rPr>
        <w:t>。</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2.“采购代理机构”系指根据采购人的委托依法办理招标采购事宜的采购机构。本次磋商的采购代理机构为</w:t>
      </w:r>
      <w:bookmarkStart w:id="106" w:name="【Bobole_代理机构名称_3】"/>
      <w:r>
        <w:rPr>
          <w:rFonts w:hint="eastAsia" w:ascii="仿宋" w:hAnsi="仿宋" w:eastAsia="仿宋" w:cs="仿宋"/>
          <w:sz w:val="28"/>
          <w:szCs w:val="28"/>
          <w:u w:val="single"/>
        </w:rPr>
        <w:t>融汇项目管理有限公司</w:t>
      </w:r>
      <w:bookmarkEnd w:id="106"/>
      <w:r>
        <w:rPr>
          <w:rFonts w:hint="eastAsia" w:ascii="仿宋" w:hAnsi="仿宋" w:eastAsia="仿宋" w:cs="仿宋"/>
          <w:sz w:val="28"/>
          <w:szCs w:val="28"/>
        </w:rPr>
        <w:t>。</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3.“采购组织单位”系指“采购人”和“采购代理机构”的统称。</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4.“供应商”系指按照规定获取了磋商文件拟参加磋商和向采购人提供货物及相应服务的供应商。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5.“供应商代表”，是指供应商是自然人时的自然人本人，供应商是法人时的法定代表人或其授权代表，供应商是其他组织时的组织负责人或其授权代表。</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6.“签章”，是指使用数字证书的电子印章进行盖章。</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107" w:name="_Toc17974"/>
      <w:bookmarkStart w:id="108" w:name="_Toc25742"/>
      <w:bookmarkStart w:id="109" w:name="_Toc256000006"/>
      <w:bookmarkStart w:id="110" w:name="_Toc63765772"/>
      <w:bookmarkStart w:id="111" w:name="_Toc256000027"/>
      <w:bookmarkStart w:id="112" w:name="_Toc25531"/>
      <w:r>
        <w:rPr>
          <w:rFonts w:hint="eastAsia" w:ascii="仿宋" w:hAnsi="仿宋" w:eastAsia="仿宋" w:cs="仿宋"/>
          <w:sz w:val="24"/>
        </w:rPr>
        <w:t>（三）合格的供应商</w:t>
      </w:r>
      <w:bookmarkEnd w:id="107"/>
      <w:bookmarkEnd w:id="108"/>
      <w:bookmarkEnd w:id="109"/>
      <w:bookmarkEnd w:id="110"/>
      <w:bookmarkEnd w:id="111"/>
      <w:bookmarkEnd w:id="112"/>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合格的供应商应具备以下条件：</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1.遵守国家有关的法律、法规、规章和其他政策制度；</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2.符合磋商文件第一章第四条规定的条件；</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3.按照磋商文件第一章第六条的规定获取了采购文件。</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113" w:name="_Toc256000007"/>
      <w:bookmarkStart w:id="114" w:name="_Toc63765773"/>
      <w:bookmarkStart w:id="115" w:name="_Toc256000036"/>
      <w:bookmarkStart w:id="116" w:name="_Toc4539"/>
      <w:bookmarkStart w:id="117" w:name="_Toc17294"/>
      <w:bookmarkStart w:id="118" w:name="_Toc10274"/>
      <w:r>
        <w:rPr>
          <w:rFonts w:hint="eastAsia" w:ascii="仿宋" w:hAnsi="仿宋" w:eastAsia="仿宋" w:cs="仿宋"/>
          <w:sz w:val="24"/>
        </w:rPr>
        <w:t>（四）参与政府采购活动的费用</w:t>
      </w:r>
      <w:bookmarkEnd w:id="113"/>
      <w:bookmarkEnd w:id="114"/>
      <w:bookmarkEnd w:id="115"/>
      <w:bookmarkEnd w:id="116"/>
      <w:bookmarkEnd w:id="117"/>
      <w:bookmarkEnd w:id="118"/>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供应商参加竞争性磋商采购活动的一切费用由供应商自行承担。</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119" w:name="_Toc63765774"/>
      <w:bookmarkStart w:id="120" w:name="_Toc7833"/>
      <w:bookmarkStart w:id="121" w:name="_Toc256000008"/>
      <w:bookmarkStart w:id="122" w:name="_Toc256000039"/>
      <w:bookmarkStart w:id="123" w:name="_Toc4113"/>
      <w:bookmarkStart w:id="124" w:name="_Toc23123"/>
      <w:r>
        <w:rPr>
          <w:rFonts w:hint="eastAsia" w:ascii="仿宋" w:hAnsi="仿宋" w:eastAsia="仿宋" w:cs="仿宋"/>
          <w:sz w:val="24"/>
        </w:rPr>
        <w:t>（五）充分、公平竞争保障措施</w:t>
      </w:r>
      <w:bookmarkEnd w:id="119"/>
      <w:bookmarkEnd w:id="120"/>
      <w:bookmarkEnd w:id="121"/>
      <w:bookmarkEnd w:id="122"/>
      <w:bookmarkEnd w:id="123"/>
      <w:bookmarkEnd w:id="124"/>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.利害关系供应商处理。单位负责人为同一人或者存在直接控股、管理关系的不同供应商，不得参加同一合同项下的政府采购活动，否则，其响应文件作为无效</w:t>
      </w:r>
      <w:r>
        <w:rPr>
          <w:rFonts w:hint="eastAsia" w:ascii="仿宋" w:hAnsi="仿宋" w:eastAsia="仿宋" w:cs="仿宋"/>
          <w:sz w:val="28"/>
          <w:szCs w:val="28"/>
        </w:rPr>
        <w:t>处理。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.利害关系授权代表处理。两家以上的供应商不得在同一合同项下的采购项目中，委托同一个自然人、同一家庭的人员、同一单位的人员作为其授权代表，否则，其响应文件作为无效处理。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.回避。政府采购活动中，采购人员及相关人员与供应商有下列利害关系之一的，应当回避：</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（1）参加采购活动前3年内与供应商存在劳动关系；</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（2）参加采购活动前3年内担任供应商的董事、监事；</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（3）参加采购活动前3年内是供应商的控股股东或者实际控制人；</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（4）与供应商的法定代表人或者负责人有夫妻、直系血亲、三代以内旁系血亲或者近姻亲关系；</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（5）与供应商有其他可能影响政府采购活动公平、公正进行的关系。</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上述“采购人员”是指采购人内部负责采购项目的具体经办工作人员和直接分管采购项目的负责人，以及采购代理机构负责采购项目的具体经办工作人员和直接分管采购活动的负责人。上述“相关人员”是指磋商小组成员。</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color w:val="auto"/>
          <w:sz w:val="24"/>
          <w:highlight w:val="none"/>
        </w:rPr>
      </w:pPr>
      <w:bookmarkStart w:id="125" w:name="_Toc6463"/>
      <w:bookmarkStart w:id="126" w:name="_Toc256000040"/>
      <w:bookmarkStart w:id="127" w:name="_Toc256000009"/>
      <w:bookmarkStart w:id="128" w:name="_Toc19991"/>
      <w:bookmarkStart w:id="129" w:name="_Toc63765775"/>
      <w:bookmarkStart w:id="130" w:name="_Toc14590"/>
      <w:r>
        <w:rPr>
          <w:rFonts w:hint="eastAsia" w:ascii="仿宋" w:hAnsi="仿宋" w:eastAsia="仿宋" w:cs="仿宋"/>
          <w:color w:val="auto"/>
          <w:sz w:val="24"/>
          <w:highlight w:val="none"/>
        </w:rPr>
        <w:t>（六）中小企业优惠政策</w:t>
      </w:r>
      <w:bookmarkEnd w:id="125"/>
      <w:bookmarkEnd w:id="126"/>
      <w:bookmarkEnd w:id="127"/>
      <w:bookmarkEnd w:id="128"/>
      <w:bookmarkEnd w:id="129"/>
      <w:bookmarkEnd w:id="130"/>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本项目是专门面向中小企业采购，不再进行价格扣除。</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2.符合扶持政策条件、需享受相关扶持政策的供应商，应当提供《中小企业声明函》（监狱企业提供监狱企业证明材料，残疾人福利性单位提供《残疾人福利性单位声明函》），否则不能享受扶持政策。</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3.供应商提供声明函内容不实的，属于提供虚假材料谋取中标、成交，将依照《中华人民共和国政府采购法》等法律法规追究相应责任。</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4.价格扣除的具体标准按本章供应商须知附表的规定执行。</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131" w:name="_Toc256000010"/>
      <w:bookmarkStart w:id="132" w:name="_Toc256000041"/>
      <w:bookmarkStart w:id="133" w:name="_Toc27194"/>
      <w:bookmarkStart w:id="134" w:name="_Toc63765776"/>
      <w:bookmarkStart w:id="135" w:name="_Toc5573"/>
      <w:bookmarkStart w:id="136" w:name="_Toc8949"/>
      <w:r>
        <w:rPr>
          <w:rFonts w:hint="eastAsia" w:ascii="仿宋" w:hAnsi="仿宋" w:eastAsia="仿宋" w:cs="仿宋"/>
          <w:sz w:val="24"/>
        </w:rPr>
        <w:t>（一）磋商文件的构成</w:t>
      </w:r>
      <w:bookmarkEnd w:id="131"/>
      <w:bookmarkEnd w:id="132"/>
      <w:bookmarkEnd w:id="133"/>
      <w:bookmarkEnd w:id="134"/>
      <w:bookmarkEnd w:id="135"/>
      <w:bookmarkEnd w:id="136"/>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磋商文件是供应商准备响应文件和参加磋商的依据，是评审的重要依据，具有准法律文件性质。磋商文件用以阐明磋商项目所需的资质、技术、服务及报价等要求、磋商程序、有关规定和注意事项以及合同主要条款等。磋商文件包括以下内容：</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（1）磋商邀请；</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（2）磋商须知；</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（3）资格条件要求及应当提供的资格证明材料；</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（4）采购需求及其技术、服务和其他要求；</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（5）供应商响应文件相关文书格式； </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（6）磋商程序和成交标准；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（7）政府采购合同。</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供应商应认真阅读和充分理解磋商文件中所有的事项、格式条款和规范要求。供应商没有对磋商文件全面作出实质性响应是供应商的风险。没有按照磋商文件要求作出实质性响应的响应文件将被拒绝或作无效处理。</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137" w:name="_Toc13358"/>
      <w:bookmarkStart w:id="138" w:name="_Toc256000011"/>
      <w:bookmarkStart w:id="139" w:name="_Toc1653"/>
      <w:bookmarkStart w:id="140" w:name="_Toc63765777"/>
      <w:bookmarkStart w:id="141" w:name="_Toc256000042"/>
      <w:bookmarkStart w:id="142" w:name="_Toc25115"/>
      <w:r>
        <w:rPr>
          <w:rFonts w:hint="eastAsia" w:ascii="仿宋" w:hAnsi="仿宋" w:eastAsia="仿宋" w:cs="仿宋"/>
          <w:sz w:val="24"/>
        </w:rPr>
        <w:t>（二）磋商文件的澄清和修改</w:t>
      </w:r>
      <w:bookmarkEnd w:id="137"/>
      <w:bookmarkEnd w:id="138"/>
      <w:bookmarkEnd w:id="139"/>
      <w:bookmarkEnd w:id="140"/>
      <w:bookmarkEnd w:id="141"/>
      <w:bookmarkEnd w:id="142"/>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采购组织单位可以对已发出的磋商文件进行澄清或者修改。澄清或者修改的内容可能影响响应文件编制的，采购组织单位将在提交首次响应文件的截止时间5日前进行，通过四川政府采购网和巴中政府采购网发布更正公告，该澄清或者修改的内容为磋商文件的组成部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在提交首次响应文件的截止时间前，采购组织单位可以视采购具体情况，延长提交首次响应文件的截止时间，并在磋商文件要求的提交首次响应文件的截止时间5日前，通过四川政府采购网和巴中市政府采购网发布更正公告。</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143" w:name="_Toc20079"/>
      <w:bookmarkStart w:id="144" w:name="_Toc63765778"/>
      <w:bookmarkStart w:id="145" w:name="_Toc256000043"/>
      <w:bookmarkStart w:id="146" w:name="_Toc256000012"/>
      <w:bookmarkStart w:id="147" w:name="_Toc18568"/>
      <w:bookmarkStart w:id="148" w:name="_Toc16566"/>
      <w:r>
        <w:rPr>
          <w:rFonts w:hint="eastAsia" w:ascii="仿宋" w:hAnsi="仿宋" w:eastAsia="仿宋" w:cs="仿宋"/>
          <w:sz w:val="24"/>
        </w:rPr>
        <w:t>（三）其他</w:t>
      </w:r>
      <w:bookmarkEnd w:id="143"/>
      <w:bookmarkEnd w:id="144"/>
      <w:bookmarkEnd w:id="145"/>
      <w:bookmarkEnd w:id="146"/>
      <w:bookmarkEnd w:id="147"/>
      <w:bookmarkEnd w:id="148"/>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1.本文件所称的“以上”、“以下”、“内”、“以内”，包括本数；所称的“不足”，不包括本数。</w:t>
      </w:r>
    </w:p>
    <w:p>
      <w:pPr>
        <w:pStyle w:val="3"/>
        <w:pageBreakBefore w:val="0"/>
        <w:kinsoku/>
        <w:overflowPunct/>
        <w:topLinePunct w:val="0"/>
        <w:bidi w:val="0"/>
        <w:spacing w:before="0" w:after="0" w:line="360" w:lineRule="auto"/>
        <w:ind w:left="0" w:leftChars="0" w:right="0" w:rightChars="0"/>
        <w:jc w:val="center"/>
        <w:textAlignment w:val="auto"/>
        <w:rPr>
          <w:rFonts w:hint="eastAsia" w:ascii="仿宋" w:hAnsi="仿宋" w:eastAsia="仿宋" w:cs="仿宋"/>
          <w:bCs/>
        </w:rPr>
      </w:pPr>
      <w:bookmarkStart w:id="149" w:name="_Toc63765779"/>
      <w:bookmarkStart w:id="150" w:name="_Toc3304"/>
      <w:bookmarkStart w:id="151" w:name="_Toc500"/>
      <w:bookmarkStart w:id="152" w:name="_Toc22313"/>
      <w:r>
        <w:rPr>
          <w:rFonts w:hint="eastAsia" w:ascii="仿宋" w:hAnsi="仿宋" w:eastAsia="仿宋" w:cs="仿宋"/>
          <w:bCs/>
          <w:lang w:val="en-US" w:eastAsia="zh-CN"/>
        </w:rPr>
        <w:t>三</w:t>
      </w:r>
      <w:r>
        <w:rPr>
          <w:rFonts w:hint="eastAsia" w:ascii="仿宋" w:hAnsi="仿宋" w:eastAsia="仿宋" w:cs="仿宋"/>
          <w:bCs/>
        </w:rPr>
        <w:t>、响应文件</w:t>
      </w:r>
      <w:bookmarkEnd w:id="149"/>
      <w:bookmarkEnd w:id="150"/>
      <w:bookmarkEnd w:id="151"/>
      <w:bookmarkEnd w:id="152"/>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153" w:name="_Toc63765780"/>
      <w:bookmarkStart w:id="154" w:name="_Toc256000080"/>
      <w:bookmarkStart w:id="155" w:name="_Toc2802"/>
      <w:bookmarkStart w:id="156" w:name="_Toc256000014"/>
      <w:bookmarkStart w:id="157" w:name="_Toc24763"/>
      <w:bookmarkStart w:id="158" w:name="_Toc10679"/>
      <w:r>
        <w:rPr>
          <w:rFonts w:hint="eastAsia" w:ascii="仿宋" w:hAnsi="仿宋" w:eastAsia="仿宋" w:cs="仿宋"/>
          <w:sz w:val="24"/>
        </w:rPr>
        <w:t>（一）响应文件的语言</w:t>
      </w:r>
      <w:bookmarkEnd w:id="153"/>
      <w:bookmarkEnd w:id="154"/>
      <w:bookmarkEnd w:id="155"/>
      <w:bookmarkEnd w:id="156"/>
      <w:bookmarkEnd w:id="157"/>
      <w:bookmarkEnd w:id="158"/>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供应商提交的响应文件以及供应商与采购单位就有关磋商的所有来往书面文件均应使用中文。响应文件中如附有外文资料，应当逐一对应翻译成中文并加盖供应商公章后附在相关外文资料后面，否则按无效响应处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2.翻译的中文资料与外文资料如果出现差异和矛盾时，以中文为准。但不能故意错误翻译，否则按无效响应处理。</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159" w:name="_Toc265"/>
      <w:bookmarkStart w:id="160" w:name="_Toc256000081"/>
      <w:bookmarkStart w:id="161" w:name="_Toc63765781"/>
      <w:bookmarkStart w:id="162" w:name="_Toc256000015"/>
      <w:bookmarkStart w:id="163" w:name="_Toc17746"/>
      <w:bookmarkStart w:id="164" w:name="_Toc10827"/>
      <w:r>
        <w:rPr>
          <w:rFonts w:hint="eastAsia" w:ascii="仿宋" w:hAnsi="仿宋" w:eastAsia="仿宋" w:cs="仿宋"/>
          <w:sz w:val="24"/>
        </w:rPr>
        <w:t>（二）计量单位</w:t>
      </w:r>
      <w:bookmarkEnd w:id="159"/>
      <w:bookmarkEnd w:id="160"/>
      <w:bookmarkEnd w:id="161"/>
      <w:bookmarkEnd w:id="162"/>
      <w:bookmarkEnd w:id="163"/>
      <w:bookmarkEnd w:id="164"/>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除技术规格及要求中另有规定外，本次采购均采用国家法定的计量单位。</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165" w:name="_Toc63765782"/>
      <w:bookmarkStart w:id="166" w:name="_Toc3577"/>
      <w:bookmarkStart w:id="167" w:name="_Toc6417"/>
      <w:bookmarkStart w:id="168" w:name="_Toc256000082"/>
      <w:bookmarkStart w:id="169" w:name="_Toc256000016"/>
      <w:bookmarkStart w:id="170" w:name="_Toc20997"/>
      <w:r>
        <w:rPr>
          <w:rFonts w:hint="eastAsia" w:ascii="仿宋" w:hAnsi="仿宋" w:eastAsia="仿宋" w:cs="仿宋"/>
          <w:sz w:val="24"/>
        </w:rPr>
        <w:t>（三）投标货币</w:t>
      </w:r>
      <w:bookmarkEnd w:id="165"/>
      <w:bookmarkEnd w:id="166"/>
      <w:bookmarkEnd w:id="167"/>
      <w:bookmarkEnd w:id="168"/>
      <w:bookmarkEnd w:id="169"/>
      <w:bookmarkEnd w:id="170"/>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本次采购项目以人民币报价。</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171" w:name="_Toc256000083"/>
      <w:bookmarkStart w:id="172" w:name="_Toc9525"/>
      <w:bookmarkStart w:id="173" w:name="_Toc63765783"/>
      <w:bookmarkStart w:id="174" w:name="_Toc256000017"/>
      <w:bookmarkStart w:id="175" w:name="_Toc16702"/>
      <w:bookmarkStart w:id="176" w:name="_Toc26604"/>
      <w:r>
        <w:rPr>
          <w:rFonts w:hint="eastAsia" w:ascii="仿宋" w:hAnsi="仿宋" w:eastAsia="仿宋" w:cs="仿宋"/>
          <w:sz w:val="24"/>
        </w:rPr>
        <w:t>（四）联合体响应</w:t>
      </w:r>
      <w:bookmarkEnd w:id="171"/>
      <w:bookmarkEnd w:id="172"/>
      <w:bookmarkEnd w:id="173"/>
      <w:bookmarkEnd w:id="174"/>
      <w:bookmarkEnd w:id="175"/>
      <w:bookmarkEnd w:id="176"/>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本项目不接受供应商组成联合体参加政府采购活动。</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177" w:name="_Toc63765784"/>
      <w:bookmarkStart w:id="178" w:name="_Toc256000084"/>
      <w:bookmarkStart w:id="179" w:name="_Toc6741"/>
      <w:bookmarkStart w:id="180" w:name="_Toc256000018"/>
      <w:bookmarkStart w:id="181" w:name="_Toc20125"/>
      <w:bookmarkStart w:id="182" w:name="_Toc8871"/>
      <w:r>
        <w:rPr>
          <w:rFonts w:hint="eastAsia" w:ascii="仿宋" w:hAnsi="仿宋" w:eastAsia="仿宋" w:cs="仿宋"/>
          <w:sz w:val="24"/>
        </w:rPr>
        <w:t>（五）知识产权</w:t>
      </w:r>
      <w:bookmarkEnd w:id="177"/>
      <w:bookmarkEnd w:id="178"/>
      <w:bookmarkEnd w:id="179"/>
      <w:bookmarkEnd w:id="180"/>
      <w:bookmarkEnd w:id="181"/>
      <w:bookmarkEnd w:id="182"/>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2.采购人享有本项目实施过程中产生的知识成果及知识产权。</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供应商如欲在项目实施过程中采用自有知识成果，应在响应文件中声明，并提供相关知识产权证明文件。使用该知识成果后，供应商需提供开发接口和开发手册等技术文档，并承诺提供无限期技术支持，采购人享有永久使用权。</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4.如采用供应商所不拥有的知识产权，则在报价中必须包括合法获取该知识产权的相关费用。</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183" w:name="_Toc256000085"/>
      <w:bookmarkStart w:id="184" w:name="_Toc29413"/>
      <w:bookmarkStart w:id="185" w:name="_Toc31997"/>
      <w:bookmarkStart w:id="186" w:name="_Toc256000019"/>
      <w:bookmarkStart w:id="187" w:name="_Toc63765785"/>
      <w:bookmarkStart w:id="188" w:name="_Toc21012"/>
      <w:bookmarkStart w:id="189" w:name="_Hlk3798868"/>
      <w:r>
        <w:rPr>
          <w:rFonts w:hint="eastAsia" w:ascii="仿宋" w:hAnsi="仿宋" w:eastAsia="仿宋" w:cs="仿宋"/>
          <w:sz w:val="24"/>
        </w:rPr>
        <w:t>（六）磋商担保</w:t>
      </w:r>
      <w:bookmarkEnd w:id="183"/>
      <w:bookmarkEnd w:id="184"/>
      <w:bookmarkEnd w:id="185"/>
      <w:bookmarkEnd w:id="186"/>
      <w:bookmarkEnd w:id="187"/>
      <w:bookmarkEnd w:id="188"/>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本项目不设磋商担保。</w:t>
      </w:r>
    </w:p>
    <w:bookmarkEnd w:id="189"/>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190" w:name="_Toc29608"/>
      <w:bookmarkStart w:id="191" w:name="_Toc63765786"/>
      <w:bookmarkStart w:id="192" w:name="_Toc256000020"/>
      <w:bookmarkStart w:id="193" w:name="_Toc19014"/>
      <w:bookmarkStart w:id="194" w:name="_Toc256000086"/>
      <w:bookmarkStart w:id="195" w:name="_Toc26147"/>
      <w:r>
        <w:rPr>
          <w:rFonts w:hint="eastAsia" w:ascii="仿宋" w:hAnsi="仿宋" w:eastAsia="仿宋" w:cs="仿宋"/>
          <w:sz w:val="24"/>
        </w:rPr>
        <w:t>（七）响应有效期</w:t>
      </w:r>
      <w:bookmarkEnd w:id="190"/>
      <w:bookmarkEnd w:id="191"/>
      <w:bookmarkEnd w:id="192"/>
      <w:bookmarkEnd w:id="193"/>
      <w:bookmarkEnd w:id="194"/>
      <w:bookmarkEnd w:id="195"/>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1.响应文件所载的响应有效期短于规定期限的，其响应将作无效处理。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2.评审和确定成交人应当在响应有效期结束之日的30个工作日前完成。不能在前述时间期限内完成评审和确定成交人的，</w:t>
      </w:r>
      <w:bookmarkStart w:id="196" w:name="【Bobole_代理机构名称_141】"/>
      <w:r>
        <w:rPr>
          <w:rFonts w:hint="eastAsia" w:ascii="仿宋" w:hAnsi="仿宋" w:eastAsia="仿宋" w:cs="仿宋"/>
          <w:sz w:val="28"/>
          <w:szCs w:val="28"/>
        </w:rPr>
        <w:t>融汇项目管理有限公司</w:t>
      </w:r>
      <w:bookmarkEnd w:id="196"/>
      <w:r>
        <w:rPr>
          <w:rFonts w:hint="eastAsia" w:ascii="仿宋" w:hAnsi="仿宋" w:eastAsia="仿宋" w:cs="仿宋"/>
          <w:sz w:val="28"/>
          <w:szCs w:val="28"/>
        </w:rPr>
        <w:t>将通知所有提交响应文件的供应商延长响应有效期。同意延长响应有效期的供应商不得修改其响应文件的实质性内容。</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197" w:name="_Toc256000087"/>
      <w:bookmarkStart w:id="198" w:name="_Toc256000021"/>
      <w:bookmarkStart w:id="199" w:name="_Toc28729"/>
      <w:bookmarkStart w:id="200" w:name="_Toc4261"/>
      <w:bookmarkStart w:id="201" w:name="_Toc16232"/>
      <w:r>
        <w:rPr>
          <w:rFonts w:hint="eastAsia" w:ascii="仿宋" w:hAnsi="仿宋" w:eastAsia="仿宋" w:cs="仿宋"/>
          <w:sz w:val="24"/>
        </w:rPr>
        <w:t>（八）响应文件的组成</w:t>
      </w:r>
      <w:bookmarkEnd w:id="197"/>
      <w:bookmarkEnd w:id="198"/>
      <w:bookmarkEnd w:id="199"/>
      <w:bookmarkEnd w:id="200"/>
      <w:bookmarkEnd w:id="201"/>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响应文件由资格响应部分、报价部分、技术和服务响应部分组成。</w:t>
      </w:r>
    </w:p>
    <w:p>
      <w:pPr>
        <w:pageBreakBefore w:val="0"/>
        <w:kinsoku/>
        <w:overflowPunct/>
        <w:topLinePunct w:val="0"/>
        <w:bidi w:val="0"/>
        <w:spacing w:line="360" w:lineRule="auto"/>
        <w:ind w:left="0" w:leftChars="0" w:right="0" w:rightChars="0" w:firstLine="482" w:firstLineChars="200"/>
        <w:textAlignment w:val="auto"/>
        <w:rPr>
          <w:rFonts w:hint="eastAsia" w:ascii="仿宋" w:hAnsi="仿宋" w:eastAsia="仿宋" w:cs="仿宋"/>
          <w:b/>
          <w:sz w:val="24"/>
        </w:rPr>
      </w:pPr>
      <w:r>
        <w:rPr>
          <w:rFonts w:hint="eastAsia" w:ascii="仿宋" w:hAnsi="仿宋" w:eastAsia="仿宋" w:cs="仿宋"/>
          <w:b/>
          <w:sz w:val="24"/>
        </w:rPr>
        <w:t>1.资格响应部分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具体内容见本文件第三章。</w:t>
      </w:r>
    </w:p>
    <w:p>
      <w:pPr>
        <w:pageBreakBefore w:val="0"/>
        <w:kinsoku/>
        <w:overflowPunct/>
        <w:topLinePunct w:val="0"/>
        <w:bidi w:val="0"/>
        <w:spacing w:line="360" w:lineRule="auto"/>
        <w:ind w:left="0" w:leftChars="0" w:right="0" w:rightChars="0" w:firstLine="482" w:firstLineChars="200"/>
        <w:textAlignment w:val="auto"/>
        <w:rPr>
          <w:rFonts w:hint="eastAsia" w:ascii="仿宋" w:hAnsi="仿宋" w:eastAsia="仿宋" w:cs="仿宋"/>
          <w:b/>
          <w:sz w:val="24"/>
        </w:rPr>
      </w:pPr>
      <w:r>
        <w:rPr>
          <w:rFonts w:hint="eastAsia" w:ascii="仿宋" w:hAnsi="仿宋" w:eastAsia="仿宋" w:cs="仿宋"/>
          <w:b/>
          <w:sz w:val="24"/>
        </w:rPr>
        <w:t>2.报价部分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（1）供应商以书面形式作出报价。</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bookmarkStart w:id="202" w:name="_Hlk34229070"/>
      <w:r>
        <w:rPr>
          <w:rFonts w:hint="eastAsia" w:ascii="仿宋" w:hAnsi="仿宋" w:eastAsia="仿宋" w:cs="仿宋"/>
          <w:sz w:val="28"/>
          <w:szCs w:val="28"/>
        </w:rPr>
        <w:t>（2）供应商的报价应以本项目采购需求、供应商自身的技术和管理水平、运营成本等因素为依据，是供应商响应采购项目要求的全部工作内容的价格体现，是最终用户验收合格后的总价，包含了供应商完成本项目所需的一切费用，具体包括物料、人工、印制服务、保险、其他服务、税费等及磋商文件规定的其它费用，即“包干价”。</w:t>
      </w:r>
    </w:p>
    <w:bookmarkEnd w:id="202"/>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（3）本项目采取多轮报价方式，以供应商最后一轮报价为其有效报价。供应商的各轮报价均不得高于本项目所设的最高限价。供应商未在响应文件中作出第一轮报价或供应商</w:t>
      </w:r>
      <w:bookmarkStart w:id="203" w:name="_Hlk34662320"/>
      <w:r>
        <w:rPr>
          <w:rFonts w:hint="eastAsia" w:ascii="仿宋" w:hAnsi="仿宋" w:eastAsia="仿宋" w:cs="仿宋"/>
          <w:sz w:val="28"/>
          <w:szCs w:val="28"/>
        </w:rPr>
        <w:t>任意一轮</w:t>
      </w:r>
      <w:bookmarkEnd w:id="203"/>
      <w:r>
        <w:rPr>
          <w:rFonts w:hint="eastAsia" w:ascii="仿宋" w:hAnsi="仿宋" w:eastAsia="仿宋" w:cs="仿宋"/>
          <w:sz w:val="28"/>
          <w:szCs w:val="28"/>
        </w:rPr>
        <w:t>报价高于本项目所设最高限价的，其响应文件作无效处理。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（4）每一轮报价中，每个标的只允许有一个报价，并且在合同履行过程中是固定不变的；任何有选择的报价将不予接受，并按无效响应处理。</w:t>
      </w:r>
    </w:p>
    <w:p>
      <w:pPr>
        <w:pageBreakBefore w:val="0"/>
        <w:kinsoku/>
        <w:overflowPunct/>
        <w:topLinePunct w:val="0"/>
        <w:bidi w:val="0"/>
        <w:spacing w:line="360" w:lineRule="auto"/>
        <w:ind w:left="0" w:leftChars="0" w:right="0" w:rightChars="0" w:firstLine="482" w:firstLineChars="200"/>
        <w:textAlignment w:val="auto"/>
        <w:rPr>
          <w:rFonts w:hint="eastAsia" w:ascii="仿宋" w:hAnsi="仿宋" w:eastAsia="仿宋" w:cs="仿宋"/>
          <w:b/>
          <w:sz w:val="24"/>
        </w:rPr>
      </w:pPr>
      <w:r>
        <w:rPr>
          <w:rFonts w:hint="eastAsia" w:ascii="仿宋" w:hAnsi="仿宋" w:eastAsia="仿宋" w:cs="仿宋"/>
          <w:b/>
          <w:sz w:val="24"/>
        </w:rPr>
        <w:t>3.技术、服务响应部分</w:t>
      </w:r>
      <w:bookmarkStart w:id="204" w:name="_Hlk34232799"/>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sz w:val="28"/>
          <w:szCs w:val="28"/>
        </w:rPr>
        <w:t>供应商按照磋商文件要求作出的技术、服务应答，主要是针对采购项目的技术和</w:t>
      </w:r>
      <w:r>
        <w:rPr>
          <w:rFonts w:hint="eastAsia" w:ascii="仿宋" w:hAnsi="仿宋" w:eastAsia="仿宋" w:cs="仿宋"/>
          <w:color w:val="auto"/>
          <w:sz w:val="28"/>
          <w:szCs w:val="28"/>
        </w:rPr>
        <w:t>服务要求作出的响应和满足，包括下列内容：</w:t>
      </w:r>
      <w:bookmarkEnd w:id="204"/>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color w:val="auto"/>
          <w:sz w:val="28"/>
          <w:szCs w:val="28"/>
        </w:rPr>
      </w:pPr>
      <w:bookmarkStart w:id="205" w:name="【Bobole_投标组成_技术】"/>
      <w:r>
        <w:rPr>
          <w:rFonts w:hint="eastAsia" w:ascii="仿宋" w:hAnsi="仿宋" w:eastAsia="仿宋" w:cs="仿宋"/>
          <w:color w:val="auto"/>
          <w:sz w:val="28"/>
          <w:szCs w:val="28"/>
        </w:rPr>
        <w:t>(一)技术要求应答</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(二) 商务要求应答 </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(三)服务方案或项目实施方案 </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(四)售后服务相关材料</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(五)供应商认为需要提供的文件和资料</w:t>
      </w:r>
      <w:bookmarkEnd w:id="205"/>
      <w:r>
        <w:rPr>
          <w:rFonts w:hint="eastAsia" w:ascii="仿宋" w:hAnsi="仿宋" w:eastAsia="仿宋" w:cs="仿宋"/>
          <w:color w:val="auto"/>
          <w:sz w:val="28"/>
          <w:szCs w:val="28"/>
        </w:rPr>
        <w:t xml:space="preserve">  </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206" w:name="_Toc25447"/>
      <w:bookmarkStart w:id="207" w:name="_Toc256000022"/>
      <w:bookmarkStart w:id="208" w:name="_Toc256000088"/>
      <w:bookmarkStart w:id="209" w:name="_Toc63765787"/>
      <w:bookmarkStart w:id="210" w:name="_Toc19591"/>
      <w:bookmarkStart w:id="211" w:name="_Toc15854"/>
      <w:r>
        <w:rPr>
          <w:rFonts w:hint="eastAsia" w:ascii="仿宋" w:hAnsi="仿宋" w:eastAsia="仿宋" w:cs="仿宋"/>
          <w:color w:val="auto"/>
          <w:sz w:val="24"/>
        </w:rPr>
        <w:t>（九）响应文件</w:t>
      </w:r>
      <w:r>
        <w:rPr>
          <w:rFonts w:hint="eastAsia" w:ascii="仿宋" w:hAnsi="仿宋" w:eastAsia="仿宋" w:cs="仿宋"/>
          <w:sz w:val="24"/>
        </w:rPr>
        <w:t>格式</w:t>
      </w:r>
      <w:bookmarkEnd w:id="206"/>
      <w:bookmarkEnd w:id="207"/>
      <w:bookmarkEnd w:id="208"/>
      <w:bookmarkEnd w:id="209"/>
      <w:bookmarkEnd w:id="210"/>
      <w:bookmarkEnd w:id="211"/>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1.供应商应尽量对照磋商文件提供的格式编制响应文件。除特别明确为“实质性格式”的内容，该格式一律不具备强制性。</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2.磋商文件提供的格式不能满足供应商填制需求的，供应商可自行设计格式填写，但其意思表示应当明确，且不得提出采购人无法接受的要求。</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212" w:name="_Toc256000023"/>
      <w:bookmarkStart w:id="213" w:name="_Toc24299"/>
      <w:bookmarkStart w:id="214" w:name="_Toc63765788"/>
      <w:bookmarkStart w:id="215" w:name="_Toc24274"/>
      <w:bookmarkStart w:id="216" w:name="_Toc256000089"/>
      <w:bookmarkStart w:id="217" w:name="_Toc839"/>
      <w:r>
        <w:rPr>
          <w:rFonts w:hint="eastAsia" w:ascii="仿宋" w:hAnsi="仿宋" w:eastAsia="仿宋" w:cs="仿宋"/>
          <w:sz w:val="24"/>
        </w:rPr>
        <w:t>（十）响应文件的制作和签署</w:t>
      </w:r>
      <w:bookmarkEnd w:id="212"/>
      <w:bookmarkEnd w:id="213"/>
      <w:bookmarkEnd w:id="214"/>
      <w:bookmarkEnd w:id="215"/>
      <w:bookmarkEnd w:id="216"/>
      <w:bookmarkEnd w:id="217"/>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1.响应文件应当使用《</w:t>
      </w:r>
      <w:r>
        <w:rPr>
          <w:rFonts w:hint="eastAsia" w:ascii="仿宋" w:hAnsi="仿宋" w:eastAsia="仿宋" w:cs="仿宋"/>
          <w:color w:val="FF0000"/>
          <w:sz w:val="28"/>
          <w:szCs w:val="28"/>
        </w:rPr>
        <w:t>布络供应商门户系统</w:t>
      </w:r>
      <w:r>
        <w:rPr>
          <w:rFonts w:hint="eastAsia" w:ascii="仿宋" w:hAnsi="仿宋" w:eastAsia="仿宋" w:cs="仿宋"/>
          <w:sz w:val="28"/>
          <w:szCs w:val="28"/>
        </w:rPr>
        <w:t>》制作并使用数字证书（CA）签章，最终生成类型为XXX.BBL,XXX.BZL,XXX.BJL的电子化响应文件。</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2.电子化响应文件的类型不符合上述要求，导致文件提交后系统无法读取导入的，其响应文件将视为无效。</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3.电子化响应文件应按照磋商文件的要求制作。</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4.供应商应就响应文件的特定部分进行纸质文件的签字、盖章，经扫描后导入到《</w:t>
      </w:r>
      <w:r>
        <w:rPr>
          <w:rFonts w:hint="eastAsia" w:ascii="仿宋" w:hAnsi="仿宋" w:eastAsia="仿宋" w:cs="仿宋"/>
          <w:color w:val="FF0000"/>
          <w:sz w:val="28"/>
          <w:szCs w:val="28"/>
        </w:rPr>
        <w:t>布络供应商门户系统</w:t>
      </w:r>
      <w:r>
        <w:rPr>
          <w:rFonts w:hint="eastAsia" w:ascii="仿宋" w:hAnsi="仿宋" w:eastAsia="仿宋" w:cs="仿宋"/>
          <w:sz w:val="28"/>
          <w:szCs w:val="28"/>
        </w:rPr>
        <w:t>》。前述“特定部分”包括但不限于磋商承诺函、授权委托书、关于享受价格扣除所提交的资料。</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szCs w:val="24"/>
        </w:rPr>
      </w:pPr>
      <w:bookmarkStart w:id="218" w:name="_Toc15697"/>
      <w:bookmarkStart w:id="219" w:name="_Toc256000090"/>
      <w:bookmarkStart w:id="220" w:name="_Toc32290"/>
      <w:bookmarkStart w:id="221" w:name="_Toc256000024"/>
      <w:bookmarkStart w:id="222" w:name="_Toc4269"/>
      <w:bookmarkStart w:id="223" w:name="_Toc63765791"/>
      <w:r>
        <w:rPr>
          <w:rFonts w:hint="eastAsia" w:ascii="仿宋" w:hAnsi="仿宋" w:eastAsia="仿宋" w:cs="仿宋"/>
          <w:sz w:val="24"/>
          <w:szCs w:val="24"/>
        </w:rPr>
        <w:t>（十一）响应文件的提交及解密</w:t>
      </w:r>
      <w:bookmarkEnd w:id="218"/>
      <w:bookmarkEnd w:id="219"/>
      <w:bookmarkEnd w:id="220"/>
      <w:bookmarkEnd w:id="221"/>
      <w:bookmarkEnd w:id="222"/>
    </w:p>
    <w:p>
      <w:pPr>
        <w:pageBreakBefore w:val="0"/>
        <w:kinsoku/>
        <w:wordWrap w:val="0"/>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rPr>
        <w:t xml:space="preserve"> </w:t>
      </w:r>
      <w:r>
        <w:rPr>
          <w:rFonts w:hint="eastAsia" w:ascii="仿宋" w:hAnsi="仿宋" w:eastAsia="仿宋" w:cs="仿宋"/>
          <w:sz w:val="28"/>
          <w:szCs w:val="28"/>
        </w:rPr>
        <w:t>供应商应于响应截止时间前，将电子化响应文件上传到巴中市电子化政府采购管理系统，并在</w:t>
      </w:r>
      <w:r>
        <w:rPr>
          <w:rFonts w:hint="eastAsia" w:ascii="仿宋" w:hAnsi="仿宋" w:eastAsia="仿宋" w:cs="仿宋"/>
          <w:b/>
          <w:color w:val="FF0000"/>
          <w:sz w:val="32"/>
          <w:szCs w:val="32"/>
          <w:u w:val="single"/>
        </w:rPr>
        <w:t>响应截止时间后30分钟内通过《布络供应商门户系统》解密电子响应文件</w:t>
      </w:r>
      <w:r>
        <w:rPr>
          <w:rFonts w:hint="eastAsia" w:ascii="仿宋" w:hAnsi="仿宋" w:eastAsia="仿宋" w:cs="仿宋"/>
          <w:sz w:val="28"/>
          <w:szCs w:val="28"/>
        </w:rPr>
        <w:t>。</w:t>
      </w:r>
    </w:p>
    <w:p>
      <w:pPr>
        <w:pageBreakBefore w:val="0"/>
        <w:kinsoku/>
        <w:wordWrap w:val="0"/>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rPr>
        <w:t xml:space="preserve"> </w:t>
      </w:r>
      <w:r>
        <w:rPr>
          <w:rFonts w:hint="eastAsia" w:ascii="仿宋" w:hAnsi="仿宋" w:eastAsia="仿宋" w:cs="仿宋"/>
          <w:sz w:val="28"/>
          <w:szCs w:val="28"/>
        </w:rPr>
        <w:t>除因巴中市电子化政府采购管理系统发生故障导致供应商电子响应文件无法按时解密外，</w:t>
      </w:r>
      <w:r>
        <w:rPr>
          <w:rFonts w:hint="eastAsia" w:ascii="仿宋" w:hAnsi="仿宋" w:eastAsia="仿宋" w:cs="仿宋"/>
          <w:b/>
          <w:sz w:val="28"/>
          <w:szCs w:val="28"/>
        </w:rPr>
        <w:t>电子响应文件未按时解密的，由采购人或采购代理机构作为无效投标处理</w:t>
      </w:r>
      <w:r>
        <w:rPr>
          <w:rFonts w:hint="eastAsia" w:ascii="仿宋" w:hAnsi="仿宋" w:eastAsia="仿宋" w:cs="仿宋"/>
          <w:sz w:val="28"/>
          <w:szCs w:val="28"/>
        </w:rPr>
        <w:t>。</w:t>
      </w:r>
    </w:p>
    <w:p>
      <w:pPr>
        <w:pageBreakBefore w:val="0"/>
        <w:kinsoku/>
        <w:wordWrap w:val="0"/>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rPr>
        <w:t xml:space="preserve"> </w:t>
      </w:r>
      <w:r>
        <w:rPr>
          <w:rFonts w:hint="eastAsia" w:ascii="仿宋" w:hAnsi="仿宋" w:eastAsia="仿宋" w:cs="仿宋"/>
          <w:sz w:val="28"/>
          <w:szCs w:val="28"/>
        </w:rPr>
        <w:t>本次采购为电子化政府采购，不接受供应商以采购文件规定之外的方式提交响应文件。</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 本项目供应商在</w:t>
      </w:r>
      <w:r>
        <w:rPr>
          <w:rFonts w:hint="eastAsia" w:ascii="仿宋" w:hAnsi="仿宋" w:eastAsia="仿宋" w:cs="仿宋"/>
          <w:color w:val="FF0000"/>
          <w:sz w:val="28"/>
          <w:szCs w:val="28"/>
        </w:rPr>
        <w:t>布络供应商门户系统</w:t>
      </w:r>
      <w:r>
        <w:rPr>
          <w:rFonts w:hint="eastAsia" w:ascii="仿宋" w:hAnsi="仿宋" w:eastAsia="仿宋" w:cs="仿宋"/>
          <w:sz w:val="28"/>
          <w:szCs w:val="28"/>
        </w:rPr>
        <w:t>点击“远程交易大厅”按钮进入远程交易大厅，远程参与本项目的文件接收会</w:t>
      </w:r>
      <w:r>
        <w:rPr>
          <w:rFonts w:hint="eastAsia" w:ascii="仿宋" w:hAnsi="仿宋" w:eastAsia="仿宋" w:cs="仿宋"/>
          <w:b/>
          <w:sz w:val="28"/>
          <w:szCs w:val="28"/>
        </w:rPr>
        <w:t>（具体操作见巴中市政府采购电子化管理系统“供应商操作手则远程会商版”）</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szCs w:val="24"/>
        </w:rPr>
      </w:pPr>
      <w:bookmarkStart w:id="224" w:name="_Toc256000091"/>
      <w:bookmarkStart w:id="225" w:name="_Toc30825"/>
      <w:bookmarkStart w:id="226" w:name="_Toc27683"/>
      <w:bookmarkStart w:id="227" w:name="_Toc256000025"/>
      <w:bookmarkStart w:id="228" w:name="_Toc12184"/>
      <w:r>
        <w:rPr>
          <w:rFonts w:hint="eastAsia" w:ascii="仿宋" w:hAnsi="仿宋" w:eastAsia="仿宋" w:cs="仿宋"/>
          <w:sz w:val="24"/>
          <w:szCs w:val="24"/>
        </w:rPr>
        <w:t>（十二）响应文件的修改和撤回</w:t>
      </w:r>
      <w:bookmarkEnd w:id="224"/>
      <w:bookmarkEnd w:id="225"/>
      <w:bookmarkEnd w:id="226"/>
      <w:bookmarkEnd w:id="227"/>
      <w:bookmarkEnd w:id="228"/>
    </w:p>
    <w:p>
      <w:pPr>
        <w:pageBreakBefore w:val="0"/>
        <w:kinsoku/>
        <w:wordWrap w:val="0"/>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 响应截止时间前，成功提交电子响应文件的供应商，可以补充、修改或者撤回已提交的响应文件；</w:t>
      </w:r>
      <w:r>
        <w:rPr>
          <w:rFonts w:hint="eastAsia" w:ascii="仿宋" w:hAnsi="仿宋" w:eastAsia="仿宋" w:cs="仿宋"/>
          <w:b/>
          <w:sz w:val="28"/>
          <w:szCs w:val="28"/>
        </w:rPr>
        <w:t>进行补充、修改的，应当先行撤回已提交的响应文件</w:t>
      </w:r>
      <w:r>
        <w:rPr>
          <w:rFonts w:hint="eastAsia" w:ascii="仿宋" w:hAnsi="仿宋" w:eastAsia="仿宋" w:cs="仿宋"/>
          <w:sz w:val="28"/>
          <w:szCs w:val="28"/>
        </w:rPr>
        <w:t>，通过《</w:t>
      </w:r>
      <w:r>
        <w:rPr>
          <w:rFonts w:hint="eastAsia" w:ascii="仿宋" w:hAnsi="仿宋" w:eastAsia="仿宋" w:cs="仿宋"/>
          <w:color w:val="FF0000"/>
          <w:sz w:val="28"/>
          <w:szCs w:val="28"/>
        </w:rPr>
        <w:t>布络供应商门户系统</w:t>
      </w:r>
      <w:r>
        <w:rPr>
          <w:rFonts w:hint="eastAsia" w:ascii="仿宋" w:hAnsi="仿宋" w:eastAsia="仿宋" w:cs="仿宋"/>
          <w:sz w:val="28"/>
          <w:szCs w:val="28"/>
        </w:rPr>
        <w:t>》补充、修改后重新提交。</w:t>
      </w:r>
    </w:p>
    <w:p>
      <w:pPr>
        <w:pageBreakBefore w:val="0"/>
        <w:kinsoku/>
        <w:wordWrap w:val="0"/>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 在响应截止时间之后，供应商不得对其提交的响应文件做任何修改或撤回投标。</w:t>
      </w:r>
    </w:p>
    <w:p>
      <w:pPr>
        <w:pStyle w:val="3"/>
        <w:pageBreakBefore w:val="0"/>
        <w:kinsoku/>
        <w:overflowPunct/>
        <w:topLinePunct w:val="0"/>
        <w:bidi w:val="0"/>
        <w:spacing w:before="0" w:after="0" w:line="360" w:lineRule="auto"/>
        <w:ind w:left="0" w:leftChars="0" w:right="0" w:rightChars="0"/>
        <w:jc w:val="center"/>
        <w:textAlignment w:val="auto"/>
        <w:rPr>
          <w:rFonts w:hint="eastAsia" w:ascii="仿宋" w:hAnsi="仿宋" w:eastAsia="仿宋" w:cs="仿宋"/>
          <w:bCs/>
        </w:rPr>
      </w:pPr>
      <w:bookmarkStart w:id="229" w:name="_Toc6723"/>
      <w:bookmarkStart w:id="230" w:name="_Toc8557"/>
      <w:bookmarkStart w:id="231" w:name="_Toc7985"/>
      <w:r>
        <w:rPr>
          <w:rFonts w:hint="eastAsia" w:ascii="仿宋" w:hAnsi="仿宋" w:eastAsia="仿宋" w:cs="仿宋"/>
          <w:bCs/>
          <w:lang w:val="en-US" w:eastAsia="zh-CN"/>
        </w:rPr>
        <w:t>四</w:t>
      </w:r>
      <w:r>
        <w:rPr>
          <w:rFonts w:hint="eastAsia" w:ascii="仿宋" w:hAnsi="仿宋" w:eastAsia="仿宋" w:cs="仿宋"/>
          <w:bCs/>
        </w:rPr>
        <w:t>、磋商程序和成交标准</w:t>
      </w:r>
      <w:bookmarkEnd w:id="223"/>
      <w:bookmarkEnd w:id="229"/>
      <w:bookmarkEnd w:id="230"/>
      <w:bookmarkEnd w:id="231"/>
    </w:p>
    <w:p>
      <w:pPr>
        <w:pStyle w:val="4"/>
        <w:pageBreakBefore w:val="0"/>
        <w:kinsoku/>
        <w:overflowPunct/>
        <w:topLinePunct w:val="0"/>
        <w:bidi w:val="0"/>
        <w:spacing w:line="360" w:lineRule="auto"/>
        <w:ind w:left="0" w:leftChars="0" w:right="0" w:rightChars="0" w:firstLine="560"/>
        <w:textAlignment w:val="auto"/>
        <w:rPr>
          <w:rFonts w:hint="eastAsia" w:ascii="仿宋" w:hAnsi="仿宋" w:eastAsia="仿宋" w:cs="仿宋"/>
          <w:sz w:val="28"/>
          <w:szCs w:val="28"/>
        </w:rPr>
      </w:pPr>
      <w:r>
        <w:rPr>
          <w:rFonts w:hint="eastAsia" w:ascii="仿宋" w:hAnsi="仿宋" w:eastAsia="仿宋" w:cs="仿宋"/>
          <w:sz w:val="28"/>
          <w:szCs w:val="28"/>
        </w:rPr>
        <w:t>见本文见第六章。</w:t>
      </w:r>
    </w:p>
    <w:p>
      <w:pPr>
        <w:pStyle w:val="3"/>
        <w:pageBreakBefore w:val="0"/>
        <w:kinsoku/>
        <w:overflowPunct/>
        <w:topLinePunct w:val="0"/>
        <w:bidi w:val="0"/>
        <w:spacing w:before="0" w:after="0" w:line="360" w:lineRule="auto"/>
        <w:ind w:left="0" w:leftChars="0" w:right="0" w:rightChars="0"/>
        <w:jc w:val="center"/>
        <w:textAlignment w:val="auto"/>
        <w:rPr>
          <w:rFonts w:hint="eastAsia" w:ascii="仿宋" w:hAnsi="仿宋" w:eastAsia="仿宋" w:cs="仿宋"/>
          <w:bCs/>
        </w:rPr>
      </w:pPr>
      <w:bookmarkStart w:id="232" w:name="_Toc63765792"/>
      <w:bookmarkStart w:id="233" w:name="_Toc6722"/>
      <w:bookmarkStart w:id="234" w:name="_Toc31067"/>
      <w:bookmarkStart w:id="235" w:name="_Toc17992"/>
      <w:r>
        <w:rPr>
          <w:rFonts w:hint="eastAsia" w:ascii="仿宋" w:hAnsi="仿宋" w:eastAsia="仿宋" w:cs="仿宋"/>
          <w:bCs/>
          <w:lang w:val="en-US" w:eastAsia="zh-CN"/>
        </w:rPr>
        <w:t>五</w:t>
      </w:r>
      <w:r>
        <w:rPr>
          <w:rFonts w:hint="eastAsia" w:ascii="仿宋" w:hAnsi="仿宋" w:eastAsia="仿宋" w:cs="仿宋"/>
          <w:bCs/>
        </w:rPr>
        <w:t>、政府采购合同</w:t>
      </w:r>
      <w:bookmarkEnd w:id="232"/>
      <w:bookmarkEnd w:id="233"/>
      <w:bookmarkEnd w:id="234"/>
      <w:bookmarkEnd w:id="235"/>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236" w:name="_Toc27152"/>
      <w:bookmarkStart w:id="237" w:name="_Toc3031"/>
      <w:bookmarkStart w:id="238" w:name="_Toc256000028"/>
      <w:bookmarkStart w:id="239" w:name="_Toc256000094"/>
      <w:bookmarkStart w:id="240" w:name="_Toc63765793"/>
      <w:bookmarkStart w:id="241" w:name="_Toc7822"/>
      <w:r>
        <w:rPr>
          <w:rFonts w:hint="eastAsia" w:ascii="仿宋" w:hAnsi="仿宋" w:eastAsia="仿宋" w:cs="仿宋"/>
          <w:sz w:val="24"/>
        </w:rPr>
        <w:t>（一）履约担保</w:t>
      </w:r>
      <w:bookmarkEnd w:id="236"/>
      <w:bookmarkEnd w:id="237"/>
      <w:bookmarkEnd w:id="238"/>
      <w:bookmarkEnd w:id="239"/>
      <w:bookmarkEnd w:id="240"/>
      <w:bookmarkEnd w:id="241"/>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本项目不设履约担保。</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242" w:name="_Toc28748"/>
      <w:bookmarkStart w:id="243" w:name="_Toc63765794"/>
      <w:bookmarkStart w:id="244" w:name="_Toc256000095"/>
      <w:bookmarkStart w:id="245" w:name="_Toc6695"/>
      <w:bookmarkStart w:id="246" w:name="_Toc256000029"/>
      <w:bookmarkStart w:id="247" w:name="_Toc24463"/>
      <w:r>
        <w:rPr>
          <w:rFonts w:hint="eastAsia" w:ascii="仿宋" w:hAnsi="仿宋" w:eastAsia="仿宋" w:cs="仿宋"/>
          <w:sz w:val="24"/>
        </w:rPr>
        <w:t>（二）签订政府采购合同</w:t>
      </w:r>
      <w:bookmarkEnd w:id="242"/>
      <w:bookmarkEnd w:id="243"/>
      <w:bookmarkEnd w:id="244"/>
      <w:bookmarkEnd w:id="245"/>
      <w:bookmarkEnd w:id="246"/>
      <w:bookmarkEnd w:id="247"/>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采购人与成交供应商应当在成交通知书发出之日起30日内，按照采购文件确定的合同文本以及采购标的、规格型号、采购金额、采购数量、技术和服务要求等事项签订政府采购合同。由于成交人的原因逾期未与采购人签订采购合同的，将视为放弃成交，采购人在取得有权主体的认定后，有权取消其成交资格并按相关规定进行处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2.采购人不得向成交人提出任何不合理的要求，作为签订合同的条件，不得与成交人私下订立背离合同实质性内容的任何协议，所签订的合同不得对磋商文件和成交人响应文件作实质性修改。</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3.成交人拒绝签订合同或因不可抗力原因不能履行采购合同，采购人可以按照磋商小组推荐的成交候选人名单排序，确定下一候选人为成交供应商，也可以重新开展政府采购活动。</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4.政府采购合同签订之日起2个工作日内，采购人应当将政府采购合同在四川政府采购网上公告（政府采购合同中涉及国家秘密、商业秘密的内容除外）。</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5.政府采购合同签订之日起7个工作日内，采购人应当将政府采购合同通过四川政府采购网报巴中市</w:t>
      </w:r>
      <w:r>
        <w:rPr>
          <w:rFonts w:hint="eastAsia" w:ascii="仿宋" w:hAnsi="仿宋" w:eastAsia="仿宋" w:cs="仿宋"/>
          <w:sz w:val="28"/>
          <w:szCs w:val="28"/>
          <w:lang w:val="en-US" w:eastAsia="zh-CN"/>
        </w:rPr>
        <w:t>巴州区</w:t>
      </w:r>
      <w:r>
        <w:rPr>
          <w:rFonts w:hint="eastAsia" w:ascii="仿宋" w:hAnsi="仿宋" w:eastAsia="仿宋" w:cs="仿宋"/>
          <w:sz w:val="28"/>
          <w:szCs w:val="28"/>
        </w:rPr>
        <w:t>财政局备案，同时报</w:t>
      </w:r>
      <w:bookmarkStart w:id="248" w:name="【Bobole_代理机构名称_142】"/>
      <w:r>
        <w:rPr>
          <w:rFonts w:hint="eastAsia" w:ascii="仿宋" w:hAnsi="仿宋" w:eastAsia="仿宋" w:cs="仿宋"/>
          <w:sz w:val="28"/>
          <w:szCs w:val="28"/>
        </w:rPr>
        <w:t>融汇项目管理有限公司</w:t>
      </w:r>
      <w:bookmarkEnd w:id="248"/>
      <w:r>
        <w:rPr>
          <w:rFonts w:hint="eastAsia" w:ascii="仿宋" w:hAnsi="仿宋" w:eastAsia="仿宋" w:cs="仿宋"/>
          <w:sz w:val="28"/>
          <w:szCs w:val="28"/>
        </w:rPr>
        <w:t>存档。</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249" w:name="_Toc256000096"/>
      <w:bookmarkStart w:id="250" w:name="_Toc16041"/>
      <w:bookmarkStart w:id="251" w:name="_Toc28422"/>
      <w:bookmarkStart w:id="252" w:name="_Toc256000030"/>
      <w:bookmarkStart w:id="253" w:name="_Toc63765795"/>
      <w:bookmarkStart w:id="254" w:name="_Toc26563"/>
      <w:r>
        <w:rPr>
          <w:rFonts w:hint="eastAsia" w:ascii="仿宋" w:hAnsi="仿宋" w:eastAsia="仿宋" w:cs="仿宋"/>
          <w:sz w:val="24"/>
        </w:rPr>
        <w:t>（三）合同分包</w:t>
      </w:r>
      <w:bookmarkEnd w:id="249"/>
      <w:bookmarkEnd w:id="250"/>
      <w:bookmarkEnd w:id="251"/>
      <w:bookmarkEnd w:id="252"/>
      <w:bookmarkEnd w:id="253"/>
      <w:bookmarkEnd w:id="254"/>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详见第二章供应商须知表。</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255" w:name="_Toc256000031"/>
      <w:bookmarkStart w:id="256" w:name="_Toc63765796"/>
      <w:bookmarkStart w:id="257" w:name="_Toc10105"/>
      <w:bookmarkStart w:id="258" w:name="_Toc256000097"/>
      <w:bookmarkStart w:id="259" w:name="_Toc16509"/>
      <w:bookmarkStart w:id="260" w:name="_Toc13165"/>
      <w:r>
        <w:rPr>
          <w:rFonts w:hint="eastAsia" w:ascii="仿宋" w:hAnsi="仿宋" w:eastAsia="仿宋" w:cs="仿宋"/>
          <w:sz w:val="24"/>
        </w:rPr>
        <w:t>（四）办理“政采贷”</w:t>
      </w:r>
      <w:bookmarkEnd w:id="255"/>
      <w:bookmarkEnd w:id="256"/>
      <w:bookmarkEnd w:id="257"/>
      <w:bookmarkEnd w:id="258"/>
      <w:bookmarkEnd w:id="259"/>
      <w:bookmarkEnd w:id="260"/>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为助力解决中小企业、民营企业融资难、融资贵的问题，符合我省“政采贷”办理条件的中标人，可按照规定基于政府采购合同按优惠贷款利率办理“政采贷”，办理渠道见四川省政采贷信息服务平台（http://202.61.88.41:9009/static/login/login.html）。</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261" w:name="_Toc256000032"/>
      <w:bookmarkStart w:id="262" w:name="_Toc30054"/>
      <w:bookmarkStart w:id="263" w:name="_Toc256000098"/>
      <w:bookmarkStart w:id="264" w:name="_Toc998"/>
      <w:bookmarkStart w:id="265" w:name="_Toc63765797"/>
      <w:bookmarkStart w:id="266" w:name="_Toc4557"/>
      <w:r>
        <w:rPr>
          <w:rFonts w:hint="eastAsia" w:ascii="仿宋" w:hAnsi="仿宋" w:eastAsia="仿宋" w:cs="仿宋"/>
          <w:sz w:val="24"/>
        </w:rPr>
        <w:t>（五）采购人增加合同标的权利</w:t>
      </w:r>
      <w:bookmarkEnd w:id="261"/>
      <w:bookmarkEnd w:id="262"/>
      <w:bookmarkEnd w:id="263"/>
      <w:bookmarkEnd w:id="264"/>
      <w:bookmarkEnd w:id="265"/>
      <w:bookmarkEnd w:id="266"/>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采购合同履行过程中，采购人需要追加与合同标的相同的货物或者服务的，在不改变合同其他条款的前提下，可以与中标人协商签订补充合同，但所有补充合同的采购金额不得超过原合同采购金额的10%。</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267" w:name="_Toc63765798"/>
      <w:bookmarkStart w:id="268" w:name="_Toc9792"/>
      <w:bookmarkStart w:id="269" w:name="_Toc23084"/>
      <w:bookmarkStart w:id="270" w:name="_Toc256000033"/>
      <w:bookmarkStart w:id="271" w:name="_Toc256000099"/>
      <w:bookmarkStart w:id="272" w:name="_Toc10241"/>
      <w:r>
        <w:rPr>
          <w:rFonts w:hint="eastAsia" w:ascii="仿宋" w:hAnsi="仿宋" w:eastAsia="仿宋" w:cs="仿宋"/>
          <w:sz w:val="24"/>
        </w:rPr>
        <w:t>（六）履行合同</w:t>
      </w:r>
      <w:bookmarkEnd w:id="267"/>
      <w:bookmarkEnd w:id="268"/>
      <w:bookmarkEnd w:id="269"/>
      <w:bookmarkEnd w:id="270"/>
      <w:bookmarkEnd w:id="271"/>
      <w:bookmarkEnd w:id="272"/>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1.成交人与采购人签订合同后，合同双方应严格执行合同条款，履行合同规定的义务，保证合同的顺利完成。</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2.在合同履行过程中，如发生合同纠纷，合同双方应按照《中华人民共和国民法典》的有关规定进行处理。</w:t>
      </w:r>
    </w:p>
    <w:p>
      <w:pPr>
        <w:pageBreakBefore w:val="0"/>
        <w:kinsoku/>
        <w:overflowPunct/>
        <w:topLinePunct w:val="0"/>
        <w:bidi w:val="0"/>
        <w:spacing w:line="360" w:lineRule="auto"/>
        <w:ind w:left="0" w:leftChars="0" w:right="0" w:rightChars="0" w:firstLine="560" w:firstLineChars="200"/>
        <w:textAlignment w:val="auto"/>
        <w:outlineLvl w:val="9"/>
        <w:rPr>
          <w:rFonts w:hint="eastAsia" w:ascii="仿宋" w:hAnsi="仿宋" w:eastAsia="仿宋" w:cs="仿宋"/>
          <w:b w:val="0"/>
          <w:bCs w:val="0"/>
          <w:sz w:val="28"/>
          <w:szCs w:val="28"/>
        </w:rPr>
      </w:pPr>
      <w:bookmarkStart w:id="273" w:name="_Toc63765799"/>
      <w:r>
        <w:rPr>
          <w:rFonts w:hint="eastAsia" w:ascii="仿宋" w:hAnsi="仿宋" w:eastAsia="仿宋" w:cs="仿宋"/>
          <w:b w:val="0"/>
          <w:bCs w:val="0"/>
          <w:sz w:val="28"/>
          <w:szCs w:val="28"/>
        </w:rPr>
        <w:t>3.在合同履行过程中，成交人的行为违反了政府采购法律法规的，采购人将报告同级财政部门给予行政处罚（处理）。</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color w:val="auto"/>
          <w:sz w:val="24"/>
        </w:rPr>
      </w:pPr>
      <w:bookmarkStart w:id="274" w:name="_Toc17480"/>
      <w:bookmarkStart w:id="275" w:name="_Toc256000034"/>
      <w:bookmarkStart w:id="276" w:name="_Toc641"/>
      <w:bookmarkStart w:id="277" w:name="_Toc256000100"/>
      <w:bookmarkStart w:id="278" w:name="_Toc12569"/>
      <w:r>
        <w:rPr>
          <w:rFonts w:hint="eastAsia" w:ascii="仿宋" w:hAnsi="仿宋" w:eastAsia="仿宋" w:cs="仿宋"/>
          <w:sz w:val="24"/>
        </w:rPr>
        <w:t>（七</w:t>
      </w:r>
      <w:r>
        <w:rPr>
          <w:rFonts w:hint="eastAsia" w:ascii="仿宋" w:hAnsi="仿宋" w:eastAsia="仿宋" w:cs="仿宋"/>
          <w:color w:val="auto"/>
          <w:sz w:val="24"/>
        </w:rPr>
        <w:t>）验收</w:t>
      </w:r>
      <w:bookmarkEnd w:id="273"/>
      <w:bookmarkEnd w:id="274"/>
      <w:bookmarkEnd w:id="275"/>
      <w:bookmarkEnd w:id="276"/>
      <w:bookmarkEnd w:id="277"/>
      <w:bookmarkEnd w:id="278"/>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1.本项目将按照</w:t>
      </w:r>
      <w:r>
        <w:rPr>
          <w:rFonts w:hint="eastAsia" w:ascii="仿宋" w:hAnsi="仿宋" w:eastAsia="仿宋" w:cs="仿宋"/>
          <w:color w:val="auto"/>
          <w:sz w:val="28"/>
          <w:szCs w:val="28"/>
          <w:lang w:eastAsia="zh-CN"/>
        </w:rPr>
        <w:t>《财政部关于进一步加强政府采购需求和履约验收管理的指导意见》（财库〔2016〕205号）</w:t>
      </w:r>
      <w:r>
        <w:rPr>
          <w:rFonts w:hint="eastAsia" w:ascii="仿宋" w:hAnsi="仿宋" w:eastAsia="仿宋" w:cs="仿宋"/>
          <w:color w:val="auto"/>
          <w:sz w:val="28"/>
          <w:szCs w:val="28"/>
        </w:rPr>
        <w:t>的要求进行验收。</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color w:val="auto"/>
          <w:sz w:val="28"/>
          <w:szCs w:val="28"/>
        </w:rPr>
        <w:t>2.采购人应</w:t>
      </w:r>
      <w:r>
        <w:rPr>
          <w:rFonts w:hint="eastAsia" w:ascii="仿宋" w:hAnsi="仿宋" w:eastAsia="仿宋" w:cs="仿宋"/>
          <w:sz w:val="28"/>
          <w:szCs w:val="28"/>
        </w:rPr>
        <w:t>当按照政府采购合同规定的技术服务、安全标准组织对供应商履约情况进行验收，并出具验收报告。验收报告应当包括每一项技术服务、安全标准的履约情况。</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279" w:name="_Toc9535"/>
      <w:bookmarkStart w:id="280" w:name="_Toc256000035"/>
      <w:bookmarkStart w:id="281" w:name="_Toc5083"/>
      <w:bookmarkStart w:id="282" w:name="_Toc256000101"/>
      <w:bookmarkStart w:id="283" w:name="_Toc63765800"/>
      <w:bookmarkStart w:id="284" w:name="_Toc21416"/>
      <w:r>
        <w:rPr>
          <w:rFonts w:hint="eastAsia" w:ascii="仿宋" w:hAnsi="仿宋" w:eastAsia="仿宋" w:cs="仿宋"/>
          <w:sz w:val="24"/>
        </w:rPr>
        <w:t>（八）支付合同价款</w:t>
      </w:r>
      <w:bookmarkEnd w:id="279"/>
      <w:bookmarkEnd w:id="280"/>
      <w:bookmarkEnd w:id="281"/>
      <w:bookmarkEnd w:id="282"/>
      <w:bookmarkEnd w:id="283"/>
      <w:bookmarkEnd w:id="284"/>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1.采购人向财政部门提出支付申请。</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2.财政部门根据采购人的支付申请，并对采购合同进行审核后，直接将合同价款集中支付给成交人。</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3.采购人的自有资金，由采购人直接支付给成交人或者按照有关规定执行。</w:t>
      </w:r>
    </w:p>
    <w:p>
      <w:pPr>
        <w:pStyle w:val="3"/>
        <w:pageBreakBefore w:val="0"/>
        <w:kinsoku/>
        <w:overflowPunct/>
        <w:topLinePunct w:val="0"/>
        <w:bidi w:val="0"/>
        <w:spacing w:before="0" w:after="0" w:line="360" w:lineRule="auto"/>
        <w:ind w:left="0" w:leftChars="0" w:right="0" w:rightChars="0"/>
        <w:jc w:val="center"/>
        <w:textAlignment w:val="auto"/>
        <w:rPr>
          <w:rFonts w:hint="eastAsia" w:ascii="仿宋" w:hAnsi="仿宋" w:eastAsia="仿宋" w:cs="仿宋"/>
          <w:bCs/>
        </w:rPr>
      </w:pPr>
      <w:bookmarkStart w:id="285" w:name="_Toc19127"/>
      <w:bookmarkStart w:id="286" w:name="_Toc15709"/>
      <w:bookmarkStart w:id="287" w:name="_Toc63765801"/>
      <w:bookmarkStart w:id="288" w:name="_Toc4010"/>
      <w:r>
        <w:rPr>
          <w:rFonts w:hint="eastAsia" w:ascii="仿宋" w:hAnsi="仿宋" w:eastAsia="仿宋" w:cs="仿宋"/>
          <w:bCs/>
          <w:lang w:val="en-US" w:eastAsia="zh-CN"/>
        </w:rPr>
        <w:t>六</w:t>
      </w:r>
      <w:r>
        <w:rPr>
          <w:rFonts w:hint="eastAsia" w:ascii="仿宋" w:hAnsi="仿宋" w:eastAsia="仿宋" w:cs="仿宋"/>
          <w:bCs/>
        </w:rPr>
        <w:t>、信用记录的查询和使用</w:t>
      </w:r>
      <w:bookmarkEnd w:id="285"/>
      <w:bookmarkEnd w:id="286"/>
      <w:bookmarkEnd w:id="287"/>
      <w:bookmarkEnd w:id="288"/>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289" w:name="_Toc256000103"/>
      <w:bookmarkStart w:id="290" w:name="_Toc21673"/>
      <w:bookmarkStart w:id="291" w:name="_Toc256000037"/>
      <w:bookmarkStart w:id="292" w:name="_Toc63765802"/>
      <w:bookmarkStart w:id="293" w:name="_Toc29276"/>
      <w:bookmarkStart w:id="294" w:name="_Toc6405"/>
      <w:r>
        <w:rPr>
          <w:rFonts w:hint="eastAsia" w:ascii="仿宋" w:hAnsi="仿宋" w:eastAsia="仿宋" w:cs="仿宋"/>
          <w:sz w:val="24"/>
        </w:rPr>
        <w:t>（一）信用记录的查询内容及渠道</w:t>
      </w:r>
      <w:bookmarkEnd w:id="289"/>
      <w:bookmarkEnd w:id="290"/>
      <w:bookmarkEnd w:id="291"/>
      <w:bookmarkEnd w:id="292"/>
      <w:bookmarkEnd w:id="293"/>
      <w:bookmarkEnd w:id="294"/>
    </w:p>
    <w:p>
      <w:pPr>
        <w:pageBreakBefore w:val="0"/>
        <w:kinsoku/>
        <w:overflowPunct/>
        <w:topLinePunct w:val="0"/>
        <w:bidi w:val="0"/>
        <w:spacing w:line="360" w:lineRule="auto"/>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1.失信被执行人（www.creditchina.gov.cn/xinyongfuwu/shixinbeizhixingrenchaxun/?navPage）；</w:t>
      </w:r>
    </w:p>
    <w:p>
      <w:pPr>
        <w:pageBreakBefore w:val="0"/>
        <w:kinsoku/>
        <w:overflowPunct/>
        <w:topLinePunct w:val="0"/>
        <w:bidi w:val="0"/>
        <w:spacing w:line="360" w:lineRule="auto"/>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2.重大税收违法案件当事人名单（www.creditchina.gov.cn/xinyongfuwu/zhongdashuishouweifaanjian/?navPage）；</w:t>
      </w:r>
    </w:p>
    <w:p>
      <w:pPr>
        <w:pageBreakBefore w:val="0"/>
        <w:kinsoku/>
        <w:overflowPunct/>
        <w:topLinePunct w:val="0"/>
        <w:bidi w:val="0"/>
        <w:spacing w:line="360" w:lineRule="auto"/>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3.政府采购严重违法失信行为记录名单（www.ccgp.gov.cn/search/cr/）。</w:t>
      </w:r>
    </w:p>
    <w:p>
      <w:pPr>
        <w:pStyle w:val="5"/>
        <w:pageBreakBefore w:val="0"/>
        <w:kinsoku/>
        <w:overflowPunct/>
        <w:topLinePunct w:val="0"/>
        <w:bidi w:val="0"/>
        <w:spacing w:before="0" w:after="0" w:line="360" w:lineRule="auto"/>
        <w:ind w:left="0" w:leftChars="0" w:right="0" w:rightChars="0" w:firstLine="482" w:firstLineChars="200"/>
        <w:textAlignment w:val="auto"/>
        <w:rPr>
          <w:rFonts w:hint="eastAsia" w:ascii="仿宋" w:hAnsi="仿宋" w:eastAsia="仿宋" w:cs="仿宋"/>
          <w:sz w:val="24"/>
        </w:rPr>
      </w:pPr>
      <w:bookmarkStart w:id="295" w:name="_Toc7540"/>
      <w:bookmarkStart w:id="296" w:name="_Toc63765803"/>
      <w:bookmarkStart w:id="297" w:name="_Toc256000038"/>
      <w:bookmarkStart w:id="298" w:name="_Toc4157"/>
      <w:bookmarkStart w:id="299" w:name="_Toc256000104"/>
      <w:bookmarkStart w:id="300" w:name="_Toc2942"/>
      <w:r>
        <w:rPr>
          <w:rFonts w:hint="eastAsia" w:ascii="仿宋" w:hAnsi="仿宋" w:eastAsia="仿宋" w:cs="仿宋"/>
          <w:sz w:val="24"/>
        </w:rPr>
        <w:t>（二）信用记录的使用</w:t>
      </w:r>
      <w:bookmarkEnd w:id="295"/>
      <w:bookmarkEnd w:id="296"/>
      <w:bookmarkEnd w:id="297"/>
      <w:bookmarkEnd w:id="298"/>
      <w:bookmarkEnd w:id="299"/>
      <w:bookmarkEnd w:id="300"/>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1.本项目进行资格审查时，采购人对各供应商就上述内容进行现场查询，打印信用信息查询记录，交由谈判小组。</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2.本项目确定成交人时，采购人对拟确定为成交人的候选人就上述内容进行查询，打印信用信息查询记录。</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3.本项目政府采购合同签订时，采购人对成交人就上述内容进行查询，打印信用信息查询记录。</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本项目进行资格审查时，查得供应商具备上述失信行为的，其资格审查不予通过。本项目确定成交人时，查得拟确定为成交人的候选人具备上述失信行为的，不予确定其为成交人。本项目政府采购合同签订时，查得成交人具备上述失信行为的，不予签订政府采购合同。</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p>
    <w:p>
      <w:pPr>
        <w:pStyle w:val="3"/>
        <w:pageBreakBefore w:val="0"/>
        <w:kinsoku/>
        <w:overflowPunct/>
        <w:topLinePunct w:val="0"/>
        <w:bidi w:val="0"/>
        <w:spacing w:before="0" w:after="0" w:line="360" w:lineRule="auto"/>
        <w:ind w:left="0" w:leftChars="0" w:right="0" w:rightChars="0"/>
        <w:jc w:val="center"/>
        <w:textAlignment w:val="auto"/>
        <w:rPr>
          <w:rFonts w:hint="eastAsia" w:ascii="仿宋" w:hAnsi="仿宋" w:eastAsia="仿宋" w:cs="仿宋"/>
          <w:bCs/>
        </w:rPr>
      </w:pPr>
      <w:bookmarkStart w:id="301" w:name="_Toc19373"/>
      <w:bookmarkStart w:id="302" w:name="_Toc63765804"/>
      <w:bookmarkStart w:id="303" w:name="_Toc19996"/>
      <w:bookmarkStart w:id="304" w:name="_Toc29798"/>
      <w:r>
        <w:rPr>
          <w:rFonts w:hint="eastAsia" w:ascii="仿宋" w:hAnsi="仿宋" w:eastAsia="仿宋" w:cs="仿宋"/>
          <w:bCs/>
          <w:lang w:val="en-US" w:eastAsia="zh-CN"/>
        </w:rPr>
        <w:t>七</w:t>
      </w:r>
      <w:r>
        <w:rPr>
          <w:rFonts w:hint="eastAsia" w:ascii="仿宋" w:hAnsi="仿宋" w:eastAsia="仿宋" w:cs="仿宋"/>
          <w:bCs/>
        </w:rPr>
        <w:t>、行贿犯罪档案查询</w:t>
      </w:r>
      <w:bookmarkEnd w:id="301"/>
      <w:bookmarkEnd w:id="302"/>
      <w:bookmarkEnd w:id="303"/>
      <w:bookmarkEnd w:id="304"/>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（一）采购人组织对供应商的行贿犯罪档案查询。</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供应商单位及其现任法定代表人、主要负责人被查实有行贿犯罪记录的，供应商响应文件应当认定为无效；成交后未签订政府采购合同的，应当认定成交无效；成交后签订政府采购合同未履行的，应当认定成交无效，同时撤销政府采购合同；成交后签订政府采购合同且已经履行的，应当认定采购活动违法，由相关当事人承担赔偿责任。</w:t>
      </w:r>
    </w:p>
    <w:p>
      <w:pPr>
        <w:pStyle w:val="3"/>
        <w:pageBreakBefore w:val="0"/>
        <w:kinsoku/>
        <w:overflowPunct/>
        <w:topLinePunct w:val="0"/>
        <w:bidi w:val="0"/>
        <w:spacing w:before="0" w:after="0" w:line="360" w:lineRule="auto"/>
        <w:ind w:left="0" w:leftChars="0" w:right="0" w:rightChars="0"/>
        <w:jc w:val="center"/>
        <w:textAlignment w:val="auto"/>
        <w:rPr>
          <w:rFonts w:hint="eastAsia" w:ascii="仿宋" w:hAnsi="仿宋" w:eastAsia="仿宋" w:cs="仿宋"/>
          <w:bCs/>
        </w:rPr>
      </w:pPr>
      <w:bookmarkStart w:id="305" w:name="_Toc63765805"/>
      <w:bookmarkStart w:id="306" w:name="_Toc7741"/>
      <w:bookmarkStart w:id="307" w:name="_Toc14101"/>
      <w:bookmarkStart w:id="308" w:name="_Toc29930"/>
      <w:bookmarkStart w:id="309" w:name="_Hlk517358847"/>
      <w:r>
        <w:rPr>
          <w:rFonts w:hint="eastAsia" w:ascii="仿宋" w:hAnsi="仿宋" w:eastAsia="仿宋" w:cs="仿宋"/>
          <w:bCs/>
          <w:lang w:val="en-US" w:eastAsia="zh-CN"/>
        </w:rPr>
        <w:t>八</w:t>
      </w:r>
      <w:r>
        <w:rPr>
          <w:rFonts w:hint="eastAsia" w:ascii="仿宋" w:hAnsi="仿宋" w:eastAsia="仿宋" w:cs="仿宋"/>
          <w:bCs/>
        </w:rPr>
        <w:t>、强制采购政策要求</w:t>
      </w:r>
      <w:bookmarkEnd w:id="305"/>
      <w:bookmarkEnd w:id="306"/>
      <w:bookmarkEnd w:id="307"/>
      <w:bookmarkEnd w:id="308"/>
    </w:p>
    <w:bookmarkEnd w:id="309"/>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按照政府采购强制采购政策的规定，强制采购的品目在节能产品政府采购品目清单内以“★”在标注。</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本项目的采购内容涉及强制采购品目的，供应商对应的报价产品应通过中国政府采购网“节能产品查询”（http://www.ccgp.gov.cn/search/jnqdchaxun.htm）可查。</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本项目提交响应文件的截止之日时，国家关于强制采购政策有新规定的，按照新规定执行。</w:t>
      </w:r>
    </w:p>
    <w:p>
      <w:pPr>
        <w:pStyle w:val="3"/>
        <w:pageBreakBefore w:val="0"/>
        <w:kinsoku/>
        <w:overflowPunct/>
        <w:topLinePunct w:val="0"/>
        <w:bidi w:val="0"/>
        <w:spacing w:before="0" w:after="0" w:line="360" w:lineRule="auto"/>
        <w:ind w:left="0" w:leftChars="0" w:right="0" w:rightChars="0"/>
        <w:jc w:val="center"/>
        <w:textAlignment w:val="auto"/>
        <w:rPr>
          <w:rFonts w:hint="eastAsia" w:ascii="仿宋" w:hAnsi="仿宋" w:eastAsia="仿宋" w:cs="仿宋"/>
          <w:bCs/>
        </w:rPr>
      </w:pPr>
      <w:bookmarkStart w:id="310" w:name="_Toc63765806"/>
      <w:bookmarkStart w:id="311" w:name="_Toc15866"/>
      <w:bookmarkStart w:id="312" w:name="_Toc17635"/>
      <w:bookmarkStart w:id="313" w:name="_Toc3353"/>
      <w:r>
        <w:rPr>
          <w:rFonts w:hint="eastAsia" w:ascii="仿宋" w:hAnsi="仿宋" w:eastAsia="仿宋" w:cs="仿宋"/>
          <w:bCs/>
          <w:lang w:val="en-US" w:eastAsia="zh-CN"/>
        </w:rPr>
        <w:t>九</w:t>
      </w:r>
      <w:r>
        <w:rPr>
          <w:rFonts w:hint="eastAsia" w:ascii="仿宋" w:hAnsi="仿宋" w:eastAsia="仿宋" w:cs="仿宋"/>
          <w:bCs/>
        </w:rPr>
        <w:t>、供应商的禁止性行为要求</w:t>
      </w:r>
      <w:bookmarkEnd w:id="310"/>
      <w:bookmarkEnd w:id="311"/>
      <w:bookmarkEnd w:id="312"/>
      <w:bookmarkEnd w:id="313"/>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（一）供应商有下列情形之一的，取消其参加谈判或者成交资格，并将有关情况反映至财政部门或者有关监督部门依法处理：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1.提供虚假材料参加采购活动的；</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2.谈判过程中作出虚假承诺的；</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3.采取零报价或变相零报价、低于成本价、诋毁其他供应商及其他不正当手段竞争的；</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4.与采购人、采购代理机构、谈判小组成员或者其他供应商串通的；</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5.不依法签订政府采购合同的；</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6.不按照政府采购合同约定和响应文件承诺履约的；</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7.向采购人、采购代理机构、谈判小组成员行贿或者提供不正当好处的。</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供应商出现本款第1至6项情形，给采购人、其他供应商造成损失的，应当承担赔偿责任。</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通过书面审查的供应商拒绝参加谈判的，将对其给予通报批评。</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（二）供应商派出的代表应在本项目评审活动结束前保持通讯畅通。因通讯不畅导致供应商无法有效参与采购活动的后果由供应商独自承担。</w:t>
      </w:r>
    </w:p>
    <w:p>
      <w:pPr>
        <w:pStyle w:val="3"/>
        <w:pageBreakBefore w:val="0"/>
        <w:kinsoku/>
        <w:overflowPunct/>
        <w:topLinePunct w:val="0"/>
        <w:bidi w:val="0"/>
        <w:spacing w:before="0" w:after="0" w:line="360" w:lineRule="auto"/>
        <w:ind w:left="0" w:leftChars="0" w:right="0" w:rightChars="0"/>
        <w:jc w:val="center"/>
        <w:textAlignment w:val="auto"/>
        <w:rPr>
          <w:rFonts w:hint="eastAsia" w:ascii="仿宋" w:hAnsi="仿宋" w:eastAsia="仿宋" w:cs="仿宋"/>
          <w:bCs/>
        </w:rPr>
      </w:pPr>
      <w:bookmarkStart w:id="314" w:name="_Toc63765807"/>
      <w:bookmarkStart w:id="315" w:name="_Toc19221"/>
      <w:bookmarkStart w:id="316" w:name="_Toc28631"/>
      <w:bookmarkStart w:id="317" w:name="_Toc21767"/>
      <w:r>
        <w:rPr>
          <w:rFonts w:hint="eastAsia" w:ascii="仿宋" w:hAnsi="仿宋" w:eastAsia="仿宋" w:cs="仿宋"/>
          <w:bCs/>
        </w:rPr>
        <w:t>十、询问、质疑和投诉</w:t>
      </w:r>
      <w:bookmarkEnd w:id="314"/>
      <w:bookmarkEnd w:id="315"/>
      <w:bookmarkEnd w:id="316"/>
      <w:bookmarkEnd w:id="317"/>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（一）办理依据</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询问、质疑、投诉的接收和处理按照《中华人民共和国政府采购法》、《中华人民共和国政府采购法实施条例》、《政府采购货物和服务非招标采购方式管理办法》、《政府采购质疑和投诉办法》等规定办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（二）关于质疑事宜的主体、范围、时限和处理方式</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1.提出质疑的供应商应当是参与所质疑项目采购活动的供应商。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2.供应商认为采购文件、采购过程、成交结果使自己的权益受到损害的，可以在知道或者应知其权益受到损害之日起7个工作日内，以书面形式向采购人、采购代理机构提出质疑，并现场提交。</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3.按照采购人和</w:t>
      </w:r>
      <w:bookmarkStart w:id="318" w:name="【Bobole_代理机构名称_143】"/>
      <w:r>
        <w:rPr>
          <w:rFonts w:hint="eastAsia" w:ascii="仿宋" w:hAnsi="仿宋" w:eastAsia="仿宋" w:cs="仿宋"/>
          <w:sz w:val="28"/>
          <w:szCs w:val="28"/>
        </w:rPr>
        <w:t>融汇项目管理有限公司</w:t>
      </w:r>
      <w:bookmarkEnd w:id="318"/>
      <w:r>
        <w:rPr>
          <w:rFonts w:hint="eastAsia" w:ascii="仿宋" w:hAnsi="仿宋" w:eastAsia="仿宋" w:cs="仿宋"/>
          <w:sz w:val="28"/>
          <w:szCs w:val="28"/>
        </w:rPr>
        <w:t>的《委托协议》，供应商关于采购文件资格条件、技术和服务要求询问和质疑，应当向采购人提出；除前述范围外的询问和质疑，应当向</w:t>
      </w:r>
      <w:bookmarkStart w:id="319" w:name="【Bobole_代理机构名称_144】"/>
      <w:r>
        <w:rPr>
          <w:rFonts w:hint="eastAsia" w:ascii="仿宋" w:hAnsi="仿宋" w:eastAsia="仿宋" w:cs="仿宋"/>
          <w:sz w:val="28"/>
          <w:szCs w:val="28"/>
        </w:rPr>
        <w:t>融汇项目管理有限公司</w:t>
      </w:r>
      <w:bookmarkEnd w:id="319"/>
      <w:r>
        <w:rPr>
          <w:rFonts w:hint="eastAsia" w:ascii="仿宋" w:hAnsi="仿宋" w:eastAsia="仿宋" w:cs="仿宋"/>
          <w:sz w:val="28"/>
          <w:szCs w:val="28"/>
        </w:rPr>
        <w:t>提出。</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4.本项目要求供应商在法定质疑期内针对同一采购程序环节的质疑应当一次性提出。</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5.质疑函应当包括以下内容，并由供应商签章：</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（1）供应商的姓名或者名称、地址、邮编、联系人及联系电话；</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（2）质疑项目的名称、编号；</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（3）具体、明确的质疑事项和与质疑事项相关的请求；</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（4）事实依据；</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（5）必要的法律依据；</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（6）提出质疑的日期。</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6.采购人、采购代理机构应当在收到质疑函后7个工作日内作出答复，并以书面形式通知质疑供应商和其他有关供应商。质疑答复的内容不得涉及商业秘密。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7.采购人、采购代理机构认为供应商质疑不成立，或者成立但未对成交结果构成影响的，继续开展采购活动；认为供应商质疑成立且影响或者可能影响成交结果的，按照下列情况处理：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（1）对采购文件提出的质疑，依法通过澄清或者修改可以继续开展采购活动的，澄清或者修改采购文件后继续开展采购活动；否则应当修改采购文件后重新开展采购活动。</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（2）对采购过程、成交或者成交结果提出的质疑，合格供应商符合法定数量时，可以从合格的成交或者成交候选人中另行确定成交供应商的，应当依法另行确定成交供应商；否则应当重新开展采购活动。</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质疑答复导致成交结果改变的，采购人或者采购代理机构应当将有关情况书面报告本级财政部门。</w:t>
      </w:r>
    </w:p>
    <w:p>
      <w:pPr>
        <w:pStyle w:val="3"/>
        <w:pageBreakBefore w:val="0"/>
        <w:kinsoku/>
        <w:overflowPunct/>
        <w:topLinePunct w:val="0"/>
        <w:bidi w:val="0"/>
        <w:spacing w:before="0" w:after="0" w:line="360" w:lineRule="auto"/>
        <w:ind w:left="0" w:leftChars="0" w:right="0" w:rightChars="0"/>
        <w:jc w:val="center"/>
        <w:textAlignment w:val="auto"/>
        <w:rPr>
          <w:rFonts w:hint="eastAsia" w:ascii="仿宋" w:hAnsi="仿宋" w:eastAsia="仿宋" w:cs="仿宋"/>
          <w:bCs/>
        </w:rPr>
      </w:pPr>
      <w:bookmarkStart w:id="320" w:name="_Toc25749"/>
      <w:bookmarkStart w:id="321" w:name="_Toc18624"/>
      <w:bookmarkStart w:id="322" w:name="_Toc63765808"/>
      <w:bookmarkStart w:id="323" w:name="_Toc29366"/>
      <w:r>
        <w:rPr>
          <w:rFonts w:hint="eastAsia" w:ascii="仿宋" w:hAnsi="仿宋" w:eastAsia="仿宋" w:cs="仿宋"/>
          <w:bCs/>
        </w:rPr>
        <w:t>十</w:t>
      </w:r>
      <w:r>
        <w:rPr>
          <w:rFonts w:hint="eastAsia" w:ascii="仿宋" w:hAnsi="仿宋" w:eastAsia="仿宋" w:cs="仿宋"/>
          <w:bCs/>
          <w:lang w:val="en-US" w:eastAsia="zh-CN"/>
        </w:rPr>
        <w:t>一</w:t>
      </w:r>
      <w:r>
        <w:rPr>
          <w:rFonts w:hint="eastAsia" w:ascii="仿宋" w:hAnsi="仿宋" w:eastAsia="仿宋" w:cs="仿宋"/>
          <w:bCs/>
        </w:rPr>
        <w:t>、将导致投标被拒绝或无效的情形</w:t>
      </w:r>
      <w:bookmarkEnd w:id="320"/>
      <w:bookmarkEnd w:id="321"/>
      <w:bookmarkEnd w:id="322"/>
      <w:bookmarkEnd w:id="323"/>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7286"/>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sz w:val="22"/>
              </w:rPr>
            </w:pPr>
            <w:bookmarkStart w:id="324" w:name="_Hlk34665817"/>
            <w:r>
              <w:rPr>
                <w:rFonts w:hint="eastAsia" w:ascii="仿宋" w:hAnsi="仿宋" w:eastAsia="仿宋" w:cs="仿宋"/>
                <w:b/>
                <w:sz w:val="22"/>
              </w:rPr>
              <w:t>序号</w:t>
            </w:r>
          </w:p>
        </w:tc>
        <w:tc>
          <w:tcPr>
            <w:tcW w:w="6337"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sz w:val="22"/>
              </w:rPr>
            </w:pPr>
            <w:r>
              <w:rPr>
                <w:rFonts w:hint="eastAsia" w:ascii="仿宋" w:hAnsi="仿宋" w:eastAsia="仿宋" w:cs="仿宋"/>
                <w:b/>
                <w:sz w:val="22"/>
              </w:rPr>
              <w:t>情形</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sz w:val="22"/>
              </w:rPr>
            </w:pPr>
            <w:r>
              <w:rPr>
                <w:rFonts w:hint="eastAsia" w:ascii="仿宋" w:hAnsi="仿宋" w:eastAsia="仿宋" w:cs="仿宋"/>
                <w:b/>
                <w:sz w:val="22"/>
              </w:rPr>
              <w:t>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1</w:t>
            </w:r>
          </w:p>
        </w:tc>
        <w:tc>
          <w:tcPr>
            <w:tcW w:w="6337" w:type="dxa"/>
            <w:shd w:val="clear" w:color="auto" w:fill="auto"/>
            <w:noWrap/>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sz w:val="22"/>
              </w:rPr>
            </w:pPr>
            <w:r>
              <w:rPr>
                <w:rFonts w:hint="eastAsia" w:ascii="仿宋" w:hAnsi="仿宋" w:eastAsia="仿宋" w:cs="仿宋"/>
                <w:sz w:val="22"/>
              </w:rPr>
              <w:t>供应商未按照磋商邀请规定的方式获取磋商文件</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响应被拒绝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2</w:t>
            </w:r>
          </w:p>
        </w:tc>
        <w:tc>
          <w:tcPr>
            <w:tcW w:w="6337" w:type="dxa"/>
            <w:shd w:val="clear" w:color="auto" w:fill="auto"/>
            <w:noWrap/>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sz w:val="22"/>
              </w:rPr>
            </w:pPr>
            <w:r>
              <w:rPr>
                <w:rFonts w:hint="eastAsia" w:ascii="仿宋" w:hAnsi="仿宋" w:eastAsia="仿宋" w:cs="仿宋"/>
                <w:sz w:val="22"/>
              </w:rPr>
              <w:t>供应商未在提交首次响应文件的截止时间前有效提交响应文件</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响应被拒绝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3</w:t>
            </w:r>
          </w:p>
        </w:tc>
        <w:tc>
          <w:tcPr>
            <w:tcW w:w="6337" w:type="dxa"/>
            <w:shd w:val="clear" w:color="auto" w:fill="auto"/>
            <w:noWrap/>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sz w:val="22"/>
              </w:rPr>
            </w:pPr>
            <w:r>
              <w:rPr>
                <w:rFonts w:hint="eastAsia" w:ascii="仿宋" w:hAnsi="仿宋" w:eastAsia="仿宋" w:cs="仿宋"/>
                <w:sz w:val="22"/>
              </w:rPr>
              <w:t>供应商不符合磋商文件第二章“充分、公平竞争保障措施”</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4</w:t>
            </w:r>
          </w:p>
        </w:tc>
        <w:tc>
          <w:tcPr>
            <w:tcW w:w="6337" w:type="dxa"/>
            <w:shd w:val="clear" w:color="auto" w:fill="auto"/>
            <w:noWrap/>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sz w:val="22"/>
              </w:rPr>
            </w:pPr>
            <w:r>
              <w:rPr>
                <w:rFonts w:hint="eastAsia" w:ascii="仿宋" w:hAnsi="仿宋" w:eastAsia="仿宋" w:cs="仿宋"/>
                <w:sz w:val="22"/>
              </w:rPr>
              <w:t>供应商未在首次提交的响应文件中作出第一轮报价或供应商的任意一轮报价高于本项目所设最高限价的</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5</w:t>
            </w:r>
          </w:p>
        </w:tc>
        <w:tc>
          <w:tcPr>
            <w:tcW w:w="6337" w:type="dxa"/>
            <w:shd w:val="clear" w:color="auto" w:fill="auto"/>
            <w:noWrap/>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color w:val="auto"/>
                <w:sz w:val="22"/>
                <w:highlight w:val="none"/>
              </w:rPr>
            </w:pPr>
            <w:r>
              <w:rPr>
                <w:rFonts w:hint="eastAsia" w:ascii="仿宋" w:hAnsi="仿宋" w:eastAsia="仿宋" w:cs="仿宋"/>
                <w:color w:val="auto"/>
                <w:highlight w:val="none"/>
              </w:rPr>
              <w:t>评</w:t>
            </w:r>
            <w:r>
              <w:rPr>
                <w:rFonts w:hint="eastAsia" w:ascii="仿宋" w:hAnsi="仿宋" w:eastAsia="仿宋" w:cs="仿宋"/>
                <w:color w:val="auto"/>
                <w:highlight w:val="none"/>
                <w:lang w:val="en-US" w:eastAsia="zh-CN"/>
              </w:rPr>
              <w:t>审</w:t>
            </w:r>
            <w:r>
              <w:rPr>
                <w:rFonts w:hint="eastAsia" w:ascii="仿宋" w:hAnsi="仿宋" w:eastAsia="仿宋" w:cs="仿宋"/>
                <w:color w:val="auto"/>
                <w:highlight w:val="none"/>
              </w:rPr>
              <w:t>委员会认为</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rPr>
              <w:t>的报价</w:t>
            </w:r>
            <w:r>
              <w:rPr>
                <w:rFonts w:hint="eastAsia" w:ascii="仿宋" w:hAnsi="仿宋" w:eastAsia="仿宋" w:cs="仿宋"/>
                <w:color w:val="auto"/>
                <w:highlight w:val="none"/>
                <w:lang w:val="en-US" w:eastAsia="zh-CN"/>
              </w:rPr>
              <w:t>明显低于本项目其他有效供应商报价的，</w:t>
            </w:r>
            <w:r>
              <w:rPr>
                <w:rFonts w:hint="eastAsia" w:ascii="仿宋" w:hAnsi="仿宋" w:eastAsia="仿宋" w:cs="仿宋"/>
                <w:color w:val="auto"/>
                <w:sz w:val="22"/>
                <w:highlight w:val="none"/>
              </w:rPr>
              <w:t>有可能影响采购项目的实施质量或者不能诚信履约，供应商按磋商小组要求作出的澄清、说明、补正材料未获磋商小组采信</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6</w:t>
            </w:r>
          </w:p>
        </w:tc>
        <w:tc>
          <w:tcPr>
            <w:tcW w:w="6337" w:type="dxa"/>
            <w:shd w:val="clear" w:color="auto" w:fill="auto"/>
            <w:noWrap/>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color w:val="auto"/>
                <w:sz w:val="22"/>
              </w:rPr>
            </w:pPr>
            <w:r>
              <w:rPr>
                <w:rFonts w:hint="eastAsia" w:ascii="仿宋" w:hAnsi="仿宋" w:eastAsia="仿宋" w:cs="仿宋"/>
                <w:color w:val="auto"/>
                <w:sz w:val="22"/>
              </w:rPr>
              <w:t>供应商对同一标的存在不同的报价，且在本项目报价修正规定之外</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7</w:t>
            </w:r>
          </w:p>
        </w:tc>
        <w:tc>
          <w:tcPr>
            <w:tcW w:w="6337" w:type="dxa"/>
            <w:shd w:val="clear" w:color="auto" w:fill="auto"/>
            <w:noWrap/>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color w:val="auto"/>
                <w:sz w:val="22"/>
              </w:rPr>
            </w:pPr>
            <w:r>
              <w:rPr>
                <w:rFonts w:hint="eastAsia" w:ascii="仿宋" w:hAnsi="仿宋" w:eastAsia="仿宋" w:cs="仿宋"/>
                <w:color w:val="auto"/>
                <w:sz w:val="22"/>
              </w:rPr>
              <w:t>响应报价不是固定不变的，包含有选择或可调整的报价</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8</w:t>
            </w:r>
          </w:p>
        </w:tc>
        <w:tc>
          <w:tcPr>
            <w:tcW w:w="6337" w:type="dxa"/>
            <w:shd w:val="clear" w:color="auto" w:fill="auto"/>
            <w:noWrap/>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sz w:val="22"/>
              </w:rPr>
            </w:pPr>
            <w:r>
              <w:rPr>
                <w:rFonts w:hint="eastAsia" w:ascii="仿宋" w:hAnsi="仿宋" w:eastAsia="仿宋" w:cs="仿宋"/>
                <w:sz w:val="22"/>
              </w:rPr>
              <w:t>供应商报价被修正，但供应商不予确认</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9</w:t>
            </w:r>
          </w:p>
        </w:tc>
        <w:tc>
          <w:tcPr>
            <w:tcW w:w="6337" w:type="dxa"/>
            <w:shd w:val="clear" w:color="auto" w:fill="auto"/>
            <w:noWrap/>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sz w:val="22"/>
              </w:rPr>
            </w:pPr>
            <w:r>
              <w:rPr>
                <w:rFonts w:hint="eastAsia" w:ascii="仿宋" w:hAnsi="仿宋" w:eastAsia="仿宋" w:cs="仿宋"/>
                <w:sz w:val="22"/>
              </w:rPr>
              <w:t>在未提高响应文件中承诺的产品及其服务质量的情况下，供应商的最后报价高于对该项目之前的报价</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10</w:t>
            </w:r>
          </w:p>
        </w:tc>
        <w:tc>
          <w:tcPr>
            <w:tcW w:w="6337" w:type="dxa"/>
            <w:shd w:val="clear" w:color="auto" w:fill="auto"/>
            <w:noWrap/>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sz w:val="22"/>
              </w:rPr>
            </w:pPr>
            <w:r>
              <w:rPr>
                <w:rFonts w:hint="eastAsia" w:ascii="仿宋" w:hAnsi="仿宋" w:eastAsia="仿宋" w:cs="仿宋"/>
                <w:sz w:val="22"/>
              </w:rPr>
              <w:t>采购项目不允许分包、转包，供应商在响应文件中载明了将政府采购合同约定的部分工作交由他人完成</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11</w:t>
            </w:r>
          </w:p>
        </w:tc>
        <w:tc>
          <w:tcPr>
            <w:tcW w:w="6337" w:type="dxa"/>
            <w:shd w:val="clear" w:color="auto" w:fill="auto"/>
            <w:noWrap/>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sz w:val="22"/>
              </w:rPr>
            </w:pPr>
            <w:r>
              <w:rPr>
                <w:rFonts w:hint="eastAsia" w:ascii="仿宋" w:hAnsi="仿宋" w:eastAsia="仿宋" w:cs="仿宋"/>
                <w:sz w:val="22"/>
              </w:rPr>
              <w:t>响应文件组成明显不符合磋商文件的规定要求，影响磋商小组评判的</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12</w:t>
            </w:r>
          </w:p>
        </w:tc>
        <w:tc>
          <w:tcPr>
            <w:tcW w:w="6337" w:type="dxa"/>
            <w:shd w:val="clear" w:color="auto" w:fill="auto"/>
            <w:noWrap/>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sz w:val="22"/>
              </w:rPr>
            </w:pPr>
            <w:r>
              <w:rPr>
                <w:rFonts w:hint="eastAsia" w:ascii="仿宋" w:hAnsi="仿宋" w:eastAsia="仿宋" w:cs="仿宋"/>
                <w:sz w:val="22"/>
              </w:rPr>
              <w:t>响应文件的格式、语言、计量单位、报价货币、知识产权或响应有效期不符合磋商文件的规定</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13</w:t>
            </w:r>
          </w:p>
        </w:tc>
        <w:tc>
          <w:tcPr>
            <w:tcW w:w="6337" w:type="dxa"/>
            <w:shd w:val="clear" w:color="auto" w:fill="auto"/>
            <w:noWrap/>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sz w:val="22"/>
              </w:rPr>
            </w:pPr>
            <w:r>
              <w:rPr>
                <w:rFonts w:hint="eastAsia" w:ascii="仿宋" w:hAnsi="仿宋" w:eastAsia="仿宋" w:cs="仿宋"/>
                <w:sz w:val="22"/>
              </w:rPr>
              <w:t>磋商文件提出了实质性格式，但响应文件未予遵照的</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14</w:t>
            </w:r>
          </w:p>
        </w:tc>
        <w:tc>
          <w:tcPr>
            <w:tcW w:w="6337" w:type="dxa"/>
            <w:shd w:val="clear" w:color="auto" w:fill="auto"/>
            <w:noWrap/>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sz w:val="22"/>
              </w:rPr>
            </w:pPr>
            <w:r>
              <w:rPr>
                <w:rFonts w:hint="eastAsia" w:ascii="仿宋" w:hAnsi="仿宋" w:eastAsia="仿宋" w:cs="仿宋"/>
                <w:sz w:val="22"/>
              </w:rPr>
              <w:t>响应文件未通过资格审查的</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15</w:t>
            </w:r>
          </w:p>
        </w:tc>
        <w:tc>
          <w:tcPr>
            <w:tcW w:w="6337" w:type="dxa"/>
            <w:shd w:val="clear" w:color="auto" w:fill="auto"/>
            <w:noWrap/>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sz w:val="22"/>
              </w:rPr>
            </w:pPr>
            <w:r>
              <w:rPr>
                <w:rFonts w:hint="eastAsia" w:ascii="仿宋" w:hAnsi="仿宋" w:eastAsia="仿宋" w:cs="仿宋"/>
                <w:sz w:val="22"/>
              </w:rPr>
              <w:t>除资格响应部分外的响应文件存在负偏离，磋商小组认为供应商的负偏离对本项目政府采购合同履行构成实质性影响的</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16</w:t>
            </w:r>
          </w:p>
        </w:tc>
        <w:tc>
          <w:tcPr>
            <w:tcW w:w="6337" w:type="dxa"/>
            <w:shd w:val="clear" w:color="auto" w:fill="auto"/>
            <w:noWrap/>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sz w:val="22"/>
              </w:rPr>
            </w:pPr>
            <w:r>
              <w:rPr>
                <w:rFonts w:hint="eastAsia" w:ascii="仿宋" w:hAnsi="仿宋" w:eastAsia="仿宋" w:cs="仿宋"/>
                <w:sz w:val="22"/>
              </w:rPr>
              <w:t>响应文件附有采购人不能接受的条件或者不符合磋商文件规定的其他实质性要求</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17</w:t>
            </w:r>
          </w:p>
        </w:tc>
        <w:tc>
          <w:tcPr>
            <w:tcW w:w="6337" w:type="dxa"/>
            <w:shd w:val="clear" w:color="auto" w:fill="auto"/>
            <w:noWrap/>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sz w:val="22"/>
              </w:rPr>
            </w:pPr>
            <w:r>
              <w:rPr>
                <w:rFonts w:hint="eastAsia" w:ascii="仿宋" w:hAnsi="仿宋" w:eastAsia="仿宋" w:cs="仿宋"/>
                <w:sz w:val="22"/>
              </w:rPr>
              <w:t>磋商结束后，供应商响应文件仍未实质性响应磋商文件的，或者磋商过程中，磋商小组发现或者知晓供应商存在违法、违规行为的</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18</w:t>
            </w:r>
          </w:p>
        </w:tc>
        <w:tc>
          <w:tcPr>
            <w:tcW w:w="6337" w:type="dxa"/>
            <w:shd w:val="clear" w:color="auto" w:fill="auto"/>
            <w:noWrap/>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sz w:val="22"/>
              </w:rPr>
            </w:pPr>
            <w:r>
              <w:rPr>
                <w:rFonts w:hint="eastAsia" w:ascii="仿宋" w:hAnsi="仿宋" w:eastAsia="仿宋" w:cs="仿宋"/>
                <w:sz w:val="22"/>
              </w:rPr>
              <w:t>供应商违反了“供应商的禁止性行为要求”的</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19</w:t>
            </w:r>
          </w:p>
        </w:tc>
        <w:tc>
          <w:tcPr>
            <w:tcW w:w="6337" w:type="dxa"/>
            <w:shd w:val="clear" w:color="auto" w:fill="auto"/>
            <w:noWrap/>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sz w:val="22"/>
              </w:rPr>
            </w:pPr>
            <w:r>
              <w:rPr>
                <w:rFonts w:hint="eastAsia" w:ascii="仿宋" w:hAnsi="仿宋" w:eastAsia="仿宋" w:cs="仿宋"/>
                <w:sz w:val="22"/>
              </w:rPr>
              <w:t>法律法规、磋商文件规定的其他响应无效情形</w:t>
            </w:r>
          </w:p>
        </w:tc>
        <w:tc>
          <w:tcPr>
            <w:tcW w:w="1413" w:type="dxa"/>
            <w:shd w:val="clear" w:color="auto" w:fill="auto"/>
            <w:noWrap/>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2"/>
              </w:rPr>
            </w:pPr>
            <w:r>
              <w:rPr>
                <w:rFonts w:hint="eastAsia" w:ascii="仿宋" w:hAnsi="仿宋" w:eastAsia="仿宋" w:cs="仿宋"/>
                <w:sz w:val="22"/>
              </w:rPr>
              <w:t>响应无效</w:t>
            </w:r>
          </w:p>
        </w:tc>
      </w:tr>
      <w:bookmarkEnd w:id="324"/>
    </w:tbl>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p>
    <w:p>
      <w:pPr>
        <w:pageBreakBefore w:val="0"/>
        <w:widowControl/>
        <w:kinsoku/>
        <w:overflowPunct/>
        <w:topLinePunct w:val="0"/>
        <w:bidi w:val="0"/>
        <w:spacing w:line="360" w:lineRule="auto"/>
        <w:ind w:left="0" w:leftChars="0" w:right="0" w:rightChars="0"/>
        <w:jc w:val="left"/>
        <w:textAlignment w:val="auto"/>
        <w:rPr>
          <w:rFonts w:hint="eastAsia" w:ascii="仿宋" w:hAnsi="仿宋" w:eastAsia="仿宋" w:cs="仿宋"/>
          <w:b/>
          <w:color w:val="000000"/>
          <w:sz w:val="44"/>
        </w:rPr>
      </w:pPr>
      <w:r>
        <w:rPr>
          <w:rFonts w:hint="eastAsia" w:ascii="仿宋" w:hAnsi="仿宋" w:eastAsia="仿宋" w:cs="仿宋"/>
          <w:b/>
          <w:color w:val="000000"/>
          <w:sz w:val="44"/>
        </w:rPr>
        <w:br w:type="page"/>
      </w:r>
    </w:p>
    <w:p>
      <w:pPr>
        <w:pStyle w:val="2"/>
        <w:pageBreakBefore w:val="0"/>
        <w:kinsoku/>
        <w:overflowPunct/>
        <w:topLinePunct w:val="0"/>
        <w:bidi w:val="0"/>
        <w:spacing w:before="0" w:after="0" w:line="360" w:lineRule="auto"/>
        <w:ind w:left="0" w:leftChars="0" w:right="0" w:rightChars="0" w:hanging="1485"/>
        <w:jc w:val="center"/>
        <w:textAlignment w:val="auto"/>
        <w:rPr>
          <w:rFonts w:hint="eastAsia" w:ascii="仿宋" w:hAnsi="仿宋" w:eastAsia="仿宋" w:cs="仿宋"/>
          <w:bCs/>
          <w:color w:val="000000"/>
          <w:sz w:val="36"/>
          <w:szCs w:val="36"/>
        </w:rPr>
      </w:pPr>
      <w:bookmarkStart w:id="325" w:name="_Toc20234161"/>
      <w:bookmarkStart w:id="326" w:name="_Toc63765809"/>
      <w:bookmarkStart w:id="327" w:name="_Toc3455"/>
      <w:bookmarkStart w:id="328" w:name="_Toc1135"/>
      <w:r>
        <w:rPr>
          <w:rFonts w:hint="eastAsia" w:ascii="仿宋" w:hAnsi="仿宋" w:eastAsia="仿宋" w:cs="仿宋"/>
          <w:bCs/>
          <w:color w:val="000000"/>
          <w:sz w:val="36"/>
          <w:szCs w:val="36"/>
        </w:rPr>
        <w:t>第三章 资格条件要求以及应当提供的资格证明材料</w:t>
      </w:r>
      <w:bookmarkEnd w:id="325"/>
      <w:bookmarkEnd w:id="326"/>
      <w:bookmarkEnd w:id="327"/>
      <w:bookmarkEnd w:id="328"/>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9"/>
        <w:gridCol w:w="5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bCs/>
                <w:sz w:val="24"/>
                <w:szCs w:val="28"/>
              </w:rPr>
            </w:pPr>
            <w:r>
              <w:rPr>
                <w:rFonts w:hint="eastAsia" w:ascii="仿宋" w:hAnsi="仿宋" w:eastAsia="仿宋" w:cs="仿宋"/>
                <w:b/>
                <w:bCs/>
                <w:sz w:val="24"/>
                <w:szCs w:val="28"/>
              </w:rPr>
              <w:t>资格要求</w:t>
            </w:r>
          </w:p>
        </w:tc>
        <w:tc>
          <w:tcPr>
            <w:tcW w:w="300"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bCs/>
                <w:sz w:val="24"/>
                <w:szCs w:val="28"/>
              </w:rPr>
            </w:pPr>
            <w:r>
              <w:rPr>
                <w:rFonts w:hint="eastAsia" w:ascii="仿宋" w:hAnsi="仿宋" w:eastAsia="仿宋" w:cs="仿宋"/>
                <w:b/>
                <w:bCs/>
                <w:sz w:val="24"/>
                <w:szCs w:val="28"/>
              </w:rPr>
              <w:t>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rPr>
            </w:pPr>
            <w:r>
              <w:rPr>
                <w:rFonts w:hint="eastAsia" w:ascii="仿宋" w:hAnsi="仿宋" w:eastAsia="仿宋" w:cs="仿宋"/>
                <w:b w:val="0"/>
                <w:bCs/>
                <w:sz w:val="24"/>
                <w:szCs w:val="28"/>
              </w:rPr>
              <w:t>具有独立承担民事责任的能力</w:t>
            </w:r>
          </w:p>
        </w:tc>
        <w:tc>
          <w:tcPr>
            <w:tcW w:w="300"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rPr>
            </w:pPr>
            <w:r>
              <w:rPr>
                <w:rFonts w:hint="eastAsia" w:ascii="仿宋" w:hAnsi="仿宋" w:eastAsia="仿宋" w:cs="仿宋"/>
                <w:b w:val="0"/>
                <w:bCs/>
                <w:sz w:val="24"/>
                <w:szCs w:val="28"/>
              </w:rPr>
              <w:t>①供应商若为企业法人：提供“统一社会信用代码营业执照”复印件；</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rPr>
            </w:pPr>
            <w:r>
              <w:rPr>
                <w:rFonts w:hint="eastAsia" w:ascii="仿宋" w:hAnsi="仿宋" w:eastAsia="仿宋" w:cs="仿宋"/>
                <w:b w:val="0"/>
                <w:bCs/>
                <w:sz w:val="24"/>
                <w:szCs w:val="28"/>
              </w:rPr>
              <w:t>②若为事业法人：提供“统一社会信用代码法人登记证书”复印件；</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rPr>
            </w:pPr>
            <w:r>
              <w:rPr>
                <w:rFonts w:hint="eastAsia" w:ascii="仿宋" w:hAnsi="仿宋" w:eastAsia="仿宋" w:cs="仿宋"/>
                <w:b w:val="0"/>
                <w:bCs/>
                <w:sz w:val="24"/>
                <w:szCs w:val="28"/>
              </w:rPr>
              <w:t>③若为其他组织：提供“对应主管部门颁发的准许执业证明文件或营业执照”复印件；</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rPr>
            </w:pPr>
            <w:r>
              <w:rPr>
                <w:rFonts w:hint="eastAsia" w:ascii="仿宋" w:hAnsi="仿宋" w:eastAsia="仿宋" w:cs="仿宋"/>
                <w:b w:val="0"/>
                <w:bCs/>
                <w:sz w:val="24"/>
                <w:szCs w:val="28"/>
              </w:rPr>
              <w:t>④供应商若为自然人：提供“身份证明材料”复印件。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rPr>
            </w:pPr>
            <w:r>
              <w:rPr>
                <w:rFonts w:hint="eastAsia" w:ascii="仿宋" w:hAnsi="仿宋" w:eastAsia="仿宋" w:cs="仿宋"/>
                <w:b w:val="0"/>
                <w:bCs/>
                <w:sz w:val="24"/>
                <w:szCs w:val="28"/>
              </w:rPr>
              <w:t>具有良好的商业信誉和健全的财务会计制度</w:t>
            </w:r>
          </w:p>
        </w:tc>
        <w:tc>
          <w:tcPr>
            <w:tcW w:w="300"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rPr>
            </w:pPr>
            <w:r>
              <w:rPr>
                <w:rFonts w:hint="eastAsia" w:ascii="仿宋" w:hAnsi="仿宋" w:eastAsia="仿宋" w:cs="仿宋"/>
                <w:b w:val="0"/>
                <w:bCs/>
                <w:sz w:val="24"/>
                <w:szCs w:val="28"/>
              </w:rPr>
              <w:t>（1）具有良好的商业信誉：提供具有良好的商业信誉承诺。</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rPr>
            </w:pPr>
            <w:r>
              <w:rPr>
                <w:rFonts w:hint="eastAsia" w:ascii="仿宋" w:hAnsi="仿宋" w:eastAsia="仿宋" w:cs="仿宋"/>
                <w:b w:val="0"/>
                <w:bCs/>
                <w:sz w:val="24"/>
                <w:szCs w:val="28"/>
              </w:rPr>
              <w:t>（2）具有健全的财务会计制度：提供①可提供近三年（任意一年）供应商经审计的完整有效的财务报告复印件；②也可提供近三年（任意一年）供应商内部的财务报表复印件（至少应包含资产负债表、现金流量表、利润表）；③也可提供距文件递交截止日一年内银行出具的资信证明（复印件）；④供应商注册时间至文件递交截止日不足一年的，也可提供在市场监督管理部门备案的公司章程（复印件）；⑤非营利性单位或者社会团体或者其他机关事业单位以符合财务会计制度为准。⑥供应商为自然人时提供承诺函原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rPr>
            </w:pPr>
            <w:r>
              <w:rPr>
                <w:rFonts w:hint="eastAsia" w:ascii="仿宋" w:hAnsi="仿宋" w:eastAsia="仿宋" w:cs="仿宋"/>
                <w:b w:val="0"/>
                <w:bCs/>
                <w:sz w:val="24"/>
                <w:szCs w:val="28"/>
              </w:rPr>
              <w:t>具有履行合同所必需的设备和专业技术能力</w:t>
            </w:r>
          </w:p>
        </w:tc>
        <w:tc>
          <w:tcPr>
            <w:tcW w:w="300"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rPr>
            </w:pPr>
            <w:r>
              <w:rPr>
                <w:rFonts w:hint="eastAsia" w:ascii="仿宋" w:hAnsi="仿宋" w:eastAsia="仿宋" w:cs="仿宋"/>
                <w:b w:val="0"/>
                <w:bCs/>
                <w:sz w:val="24"/>
                <w:szCs w:val="28"/>
              </w:rPr>
              <w:t>提供供应商能力情况说明或同等效力的其他证明材料或声明函（格式自拟）。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rPr>
            </w:pPr>
            <w:r>
              <w:rPr>
                <w:rFonts w:hint="eastAsia" w:ascii="仿宋" w:hAnsi="仿宋" w:eastAsia="仿宋" w:cs="仿宋"/>
                <w:b w:val="0"/>
                <w:bCs/>
                <w:sz w:val="24"/>
                <w:szCs w:val="28"/>
              </w:rPr>
              <w:t>有依法缴纳税收和社会保障资金的良好记录</w:t>
            </w:r>
          </w:p>
        </w:tc>
        <w:tc>
          <w:tcPr>
            <w:tcW w:w="300"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rPr>
            </w:pPr>
            <w:r>
              <w:rPr>
                <w:rFonts w:hint="eastAsia" w:ascii="仿宋" w:hAnsi="仿宋" w:eastAsia="仿宋" w:cs="仿宋"/>
                <w:b w:val="0"/>
                <w:bCs/>
                <w:sz w:val="24"/>
                <w:szCs w:val="28"/>
              </w:rPr>
              <w:t>提供依法缴纳税收和社会保障资金的承诺函原件或者近三个月依法缴纳税收和社会保障资金的证明材料复印件。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rPr>
            </w:pPr>
            <w:r>
              <w:rPr>
                <w:rFonts w:hint="eastAsia" w:ascii="仿宋" w:hAnsi="仿宋" w:eastAsia="仿宋" w:cs="仿宋"/>
                <w:b w:val="0"/>
                <w:bCs/>
                <w:sz w:val="24"/>
                <w:szCs w:val="28"/>
              </w:rPr>
              <w:t>参加本次政府采购活动前三年内，在经营活动中没有重大违法记录</w:t>
            </w:r>
          </w:p>
        </w:tc>
        <w:tc>
          <w:tcPr>
            <w:tcW w:w="300"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rPr>
            </w:pPr>
            <w:r>
              <w:rPr>
                <w:rFonts w:hint="eastAsia" w:ascii="仿宋" w:hAnsi="仿宋" w:eastAsia="仿宋" w:cs="仿宋"/>
                <w:b w:val="0"/>
                <w:bCs/>
                <w:sz w:val="24"/>
                <w:szCs w:val="28"/>
              </w:rPr>
              <w:t>提供参加本次政府采购活动前三年内，在经营活动中没有重大违法记录的承诺。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rPr>
            </w:pPr>
            <w:r>
              <w:rPr>
                <w:rFonts w:hint="eastAsia" w:ascii="仿宋" w:hAnsi="仿宋" w:eastAsia="仿宋" w:cs="仿宋"/>
                <w:b w:val="0"/>
                <w:bCs/>
                <w:sz w:val="24"/>
                <w:szCs w:val="28"/>
              </w:rPr>
              <w:t>法律、行政法规规定的其他条件</w:t>
            </w:r>
          </w:p>
        </w:tc>
        <w:tc>
          <w:tcPr>
            <w:tcW w:w="300"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rPr>
            </w:pPr>
            <w:r>
              <w:rPr>
                <w:rFonts w:hint="eastAsia" w:ascii="仿宋" w:hAnsi="仿宋" w:eastAsia="仿宋" w:cs="仿宋"/>
                <w:b w:val="0"/>
                <w:bCs/>
                <w:sz w:val="24"/>
                <w:szCs w:val="28"/>
              </w:rPr>
              <w:t>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rPr>
            </w:pPr>
            <w:r>
              <w:rPr>
                <w:rFonts w:hint="eastAsia" w:ascii="仿宋" w:hAnsi="仿宋" w:eastAsia="仿宋" w:cs="仿宋"/>
                <w:b w:val="0"/>
                <w:bCs/>
                <w:sz w:val="24"/>
                <w:szCs w:val="28"/>
              </w:rPr>
              <w:t>属于专门面向中小企业采购的项目,供应商应为中小微企业、监狱企业、残疾人福利性单位</w:t>
            </w:r>
          </w:p>
        </w:tc>
        <w:tc>
          <w:tcPr>
            <w:tcW w:w="300"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lang w:eastAsia="zh-CN"/>
              </w:rPr>
            </w:pPr>
            <w:r>
              <w:rPr>
                <w:rFonts w:hint="eastAsia" w:ascii="仿宋" w:hAnsi="仿宋" w:eastAsia="仿宋" w:cs="仿宋"/>
                <w:b w:val="0"/>
                <w:bCs/>
                <w:sz w:val="24"/>
                <w:szCs w:val="28"/>
              </w:rPr>
              <w:t>提供《中小微企业（监狱企业）声明函》或《残疾人福利性单位声明函》扫描件</w:t>
            </w:r>
            <w:r>
              <w:rPr>
                <w:rFonts w:hint="eastAsia" w:ascii="仿宋" w:hAnsi="仿宋" w:eastAsia="仿宋" w:cs="仿宋"/>
                <w:b w:val="0"/>
                <w:bCs/>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rPr>
            </w:pPr>
            <w:r>
              <w:rPr>
                <w:rFonts w:hint="eastAsia" w:ascii="仿宋" w:hAnsi="仿宋" w:eastAsia="仿宋" w:cs="仿宋"/>
                <w:b w:val="0"/>
                <w:bCs/>
                <w:sz w:val="24"/>
                <w:szCs w:val="28"/>
              </w:rPr>
              <w:t>供应商须具有行政主管部门颁发的工程设计水利行业专业丙级（至少含有水库枢纽及水土保持专业）及以上资质。</w:t>
            </w:r>
          </w:p>
        </w:tc>
        <w:tc>
          <w:tcPr>
            <w:tcW w:w="300"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bCs/>
                <w:sz w:val="24"/>
                <w:szCs w:val="28"/>
              </w:rPr>
            </w:pPr>
            <w:r>
              <w:rPr>
                <w:rFonts w:hint="eastAsia" w:ascii="仿宋" w:hAnsi="仿宋" w:eastAsia="仿宋" w:cs="仿宋"/>
                <w:b w:val="0"/>
                <w:bCs/>
                <w:sz w:val="24"/>
                <w:szCs w:val="28"/>
              </w:rPr>
              <w:t>供应商须</w:t>
            </w:r>
            <w:r>
              <w:rPr>
                <w:rFonts w:hint="eastAsia" w:ascii="仿宋" w:hAnsi="仿宋" w:eastAsia="仿宋" w:cs="仿宋"/>
                <w:b w:val="0"/>
                <w:bCs/>
                <w:sz w:val="24"/>
                <w:szCs w:val="28"/>
                <w:lang w:val="en-US" w:eastAsia="zh-CN"/>
              </w:rPr>
              <w:t>提供</w:t>
            </w:r>
            <w:r>
              <w:rPr>
                <w:rFonts w:hint="eastAsia" w:ascii="仿宋" w:hAnsi="仿宋" w:eastAsia="仿宋" w:cs="仿宋"/>
                <w:b w:val="0"/>
                <w:bCs/>
                <w:sz w:val="24"/>
                <w:szCs w:val="28"/>
              </w:rPr>
              <w:t>行政主管部门颁发的工程设计水利行业专业丙级（至少含有水库枢纽及水土保持专业）及以上资质证书复印件。</w:t>
            </w:r>
          </w:p>
        </w:tc>
      </w:tr>
    </w:tbl>
    <w:p>
      <w:pPr>
        <w:rPr>
          <w:rFonts w:hint="eastAsia" w:ascii="仿宋" w:hAnsi="仿宋" w:eastAsia="仿宋" w:cs="仿宋"/>
        </w:rPr>
      </w:pPr>
    </w:p>
    <w:p>
      <w:pPr>
        <w:pageBreakBefore w:val="0"/>
        <w:kinsoku/>
        <w:overflowPunct/>
        <w:topLinePunct w:val="0"/>
        <w:bidi w:val="0"/>
        <w:spacing w:line="360" w:lineRule="auto"/>
        <w:ind w:left="0" w:leftChars="0" w:right="0" w:rightChars="0"/>
        <w:textAlignment w:val="auto"/>
        <w:rPr>
          <w:rFonts w:hint="eastAsia" w:ascii="仿宋" w:hAnsi="仿宋" w:eastAsia="仿宋" w:cs="仿宋"/>
          <w:bCs/>
          <w:sz w:val="36"/>
          <w:szCs w:val="36"/>
        </w:rPr>
      </w:pPr>
      <w:bookmarkStart w:id="329" w:name="_Toc389231763"/>
      <w:bookmarkStart w:id="330" w:name="_Toc315963028"/>
      <w:bookmarkStart w:id="331" w:name="_Toc471310423"/>
      <w:bookmarkStart w:id="332" w:name="_Toc63765810"/>
      <w:r>
        <w:rPr>
          <w:rFonts w:hint="eastAsia" w:ascii="仿宋" w:hAnsi="仿宋" w:eastAsia="仿宋" w:cs="仿宋"/>
          <w:bCs/>
          <w:sz w:val="36"/>
          <w:szCs w:val="36"/>
        </w:rPr>
        <w:br w:type="page"/>
      </w:r>
    </w:p>
    <w:p>
      <w:pPr>
        <w:pStyle w:val="2"/>
        <w:pageBreakBefore w:val="0"/>
        <w:kinsoku/>
        <w:overflowPunct/>
        <w:topLinePunct w:val="0"/>
        <w:bidi w:val="0"/>
        <w:spacing w:before="0" w:after="0" w:line="360" w:lineRule="auto"/>
        <w:ind w:left="0" w:leftChars="0" w:right="0" w:rightChars="0"/>
        <w:jc w:val="center"/>
        <w:textAlignment w:val="auto"/>
        <w:rPr>
          <w:rFonts w:hint="eastAsia" w:ascii="仿宋" w:hAnsi="仿宋" w:eastAsia="仿宋" w:cs="仿宋"/>
          <w:bCs/>
          <w:sz w:val="36"/>
          <w:szCs w:val="36"/>
        </w:rPr>
      </w:pPr>
      <w:bookmarkStart w:id="333" w:name="_Toc256000045"/>
      <w:bookmarkStart w:id="334" w:name="_Toc1411"/>
      <w:bookmarkStart w:id="335" w:name="_Toc28007"/>
      <w:r>
        <w:rPr>
          <w:rFonts w:hint="eastAsia" w:ascii="仿宋" w:hAnsi="仿宋" w:eastAsia="仿宋" w:cs="仿宋"/>
          <w:bCs/>
          <w:sz w:val="36"/>
          <w:szCs w:val="36"/>
        </w:rPr>
        <w:t xml:space="preserve">第四章 </w:t>
      </w:r>
      <w:bookmarkEnd w:id="329"/>
      <w:bookmarkEnd w:id="330"/>
      <w:bookmarkEnd w:id="331"/>
      <w:r>
        <w:rPr>
          <w:rFonts w:hint="eastAsia" w:ascii="仿宋" w:hAnsi="仿宋" w:eastAsia="仿宋" w:cs="仿宋"/>
          <w:sz w:val="36"/>
          <w:szCs w:val="36"/>
        </w:rPr>
        <w:t>采购需求及其技术、服务及其他要求</w:t>
      </w:r>
      <w:bookmarkEnd w:id="332"/>
      <w:bookmarkEnd w:id="333"/>
      <w:bookmarkEnd w:id="334"/>
      <w:bookmarkEnd w:id="335"/>
    </w:p>
    <w:p>
      <w:pPr>
        <w:pStyle w:val="3"/>
        <w:keepNext/>
        <w:keepLines/>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auto"/>
        <w:ind w:left="0" w:leftChars="0"/>
        <w:jc w:val="left"/>
        <w:textAlignment w:val="auto"/>
        <w:rPr>
          <w:rFonts w:hint="eastAsia" w:ascii="仿宋" w:hAnsi="仿宋" w:eastAsia="仿宋" w:cs="仿宋"/>
          <w:sz w:val="28"/>
          <w:szCs w:val="28"/>
          <w:highlight w:val="none"/>
          <w:lang w:val="en-US" w:eastAsia="zh-CN"/>
        </w:rPr>
      </w:pPr>
      <w:bookmarkStart w:id="336" w:name="_Toc256000046"/>
      <w:bookmarkStart w:id="337" w:name="_Toc27805"/>
      <w:bookmarkStart w:id="338" w:name="_Toc24445"/>
      <w:bookmarkStart w:id="339" w:name="_Toc3673"/>
      <w:bookmarkStart w:id="340" w:name="_Toc31946"/>
      <w:bookmarkStart w:id="341" w:name="【bobole_技术商务要求】"/>
      <w:r>
        <w:rPr>
          <w:rFonts w:hint="eastAsia" w:ascii="仿宋" w:hAnsi="仿宋" w:eastAsia="仿宋" w:cs="仿宋"/>
          <w:sz w:val="28"/>
          <w:szCs w:val="28"/>
          <w:highlight w:val="none"/>
          <w:lang w:val="en-US" w:eastAsia="zh-CN"/>
        </w:rPr>
        <w:t>一、项目概述</w:t>
      </w:r>
      <w:bookmarkEnd w:id="336"/>
      <w:bookmarkEnd w:id="337"/>
      <w:bookmarkEnd w:id="338"/>
      <w:bookmarkEnd w:id="339"/>
      <w:bookmarkEnd w:id="340"/>
      <w:bookmarkStart w:id="342" w:name="_Toc4449"/>
      <w:bookmarkStart w:id="343" w:name="_Toc7061"/>
      <w:bookmarkStart w:id="344" w:name="_Toc217446095"/>
      <w:bookmarkStart w:id="345" w:name="_Toc27651"/>
      <w:bookmarkStart w:id="346" w:name="_Toc13830"/>
      <w:bookmarkStart w:id="347" w:name="_Toc26758"/>
    </w:p>
    <w:bookmarkEnd w:id="342"/>
    <w:bookmarkEnd w:id="343"/>
    <w:bookmarkEnd w:id="344"/>
    <w:bookmarkEnd w:id="345"/>
    <w:bookmarkEnd w:id="346"/>
    <w:bookmarkEnd w:id="347"/>
    <w:p>
      <w:pPr>
        <w:keepNext/>
        <w:keepLines/>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bidi="ar-SA"/>
        </w:rPr>
      </w:pPr>
      <w:bookmarkStart w:id="348" w:name="_Toc30978"/>
      <w:bookmarkStart w:id="349" w:name="_Toc14414"/>
      <w:bookmarkStart w:id="350" w:name="_Toc31745"/>
      <w:r>
        <w:rPr>
          <w:rFonts w:hint="eastAsia" w:ascii="仿宋" w:hAnsi="仿宋" w:eastAsia="仿宋" w:cs="仿宋"/>
          <w:color w:val="000000"/>
          <w:sz w:val="28"/>
          <w:szCs w:val="28"/>
          <w:lang w:val="en-US" w:eastAsia="zh-CN"/>
        </w:rPr>
        <w:t>根据《水利部办公厅关于2023年重点推进小流域综合治理提质增效工作的通知》(办水保[2023]109号)及四川省水利厅召开的小流域综合治理项目专题工作会议要求，巴中市巴州区通过竞争立项被确定为项目重点推进县，三江片区百花溪小流域为项目实施区，</w:t>
      </w:r>
      <w:r>
        <w:rPr>
          <w:rFonts w:hint="eastAsia" w:ascii="仿宋" w:hAnsi="仿宋" w:eastAsia="仿宋" w:cs="仿宋"/>
          <w:color w:val="000000"/>
          <w:sz w:val="28"/>
          <w:szCs w:val="28"/>
          <w:lang w:val="zh-CN" w:eastAsia="zh-CN"/>
        </w:rPr>
        <w:t>巴中市巴州区水土保持服务中心</w:t>
      </w:r>
      <w:r>
        <w:rPr>
          <w:rFonts w:hint="eastAsia" w:ascii="仿宋" w:hAnsi="仿宋" w:eastAsia="仿宋" w:cs="仿宋"/>
          <w:color w:val="000000"/>
          <w:sz w:val="28"/>
          <w:szCs w:val="28"/>
          <w:lang w:val="en-US" w:eastAsia="zh-CN"/>
        </w:rPr>
        <w:t>拟采购巴中市巴州区2023年百花溪小流域综合治理提质增效项目实施方案编制、施工图设计服务</w:t>
      </w:r>
      <w:r>
        <w:rPr>
          <w:rFonts w:hint="eastAsia" w:ascii="仿宋" w:hAnsi="仿宋" w:eastAsia="仿宋" w:cs="仿宋"/>
          <w:color w:val="000000"/>
          <w:sz w:val="28"/>
          <w:szCs w:val="28"/>
        </w:rPr>
        <w:t>供应商一名。</w:t>
      </w:r>
    </w:p>
    <w:p>
      <w:pPr>
        <w:pStyle w:val="7"/>
        <w:pageBreakBefore w:val="0"/>
        <w:wordWrap/>
        <w:overflowPunct/>
        <w:topLinePunct w:val="0"/>
        <w:bidi w:val="0"/>
        <w:spacing w:after="0" w:line="360" w:lineRule="auto"/>
        <w:ind w:left="0" w:leftChars="0"/>
        <w:outlineLvl w:val="1"/>
        <w:rPr>
          <w:rFonts w:hint="eastAsia" w:ascii="仿宋" w:hAnsi="仿宋" w:eastAsia="仿宋" w:cs="仿宋"/>
          <w:b/>
          <w:bCs/>
          <w:color w:val="000000"/>
          <w:sz w:val="28"/>
          <w:szCs w:val="28"/>
        </w:rPr>
      </w:pPr>
      <w:bookmarkStart w:id="351" w:name="_Toc16052"/>
      <w:bookmarkStart w:id="352" w:name="_Toc13369"/>
      <w:bookmarkStart w:id="353" w:name="_Toc21412"/>
      <w:bookmarkStart w:id="354" w:name="_Toc488"/>
      <w:bookmarkStart w:id="355" w:name="_Toc256000047"/>
      <w:bookmarkStart w:id="356" w:name="_Toc5004"/>
      <w:bookmarkStart w:id="357" w:name="_Toc16814"/>
      <w:r>
        <w:rPr>
          <w:rFonts w:hint="eastAsia" w:ascii="仿宋" w:hAnsi="仿宋" w:eastAsia="仿宋" w:cs="仿宋"/>
          <w:b/>
          <w:bCs/>
          <w:color w:val="000000"/>
          <w:sz w:val="28"/>
          <w:szCs w:val="28"/>
          <w:lang w:val="en-US" w:eastAsia="zh-CN"/>
        </w:rPr>
        <w:t>二、项目所属行业</w:t>
      </w:r>
      <w:bookmarkEnd w:id="348"/>
      <w:bookmarkEnd w:id="349"/>
      <w:bookmarkEnd w:id="350"/>
      <w:bookmarkEnd w:id="351"/>
      <w:bookmarkEnd w:id="352"/>
      <w:bookmarkEnd w:id="353"/>
      <w:bookmarkEnd w:id="354"/>
      <w:bookmarkEnd w:id="355"/>
      <w:bookmarkEnd w:id="356"/>
      <w:bookmarkEnd w:id="357"/>
    </w:p>
    <w:tbl>
      <w:tblPr>
        <w:tblStyle w:val="16"/>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4978"/>
        <w:gridCol w:w="1054"/>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jc w:val="center"/>
              <w:textAlignment w:val="baseline"/>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4978" w:type="dxa"/>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jc w:val="center"/>
              <w:textAlignment w:val="baseline"/>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服务内容</w:t>
            </w:r>
          </w:p>
        </w:tc>
        <w:tc>
          <w:tcPr>
            <w:tcW w:w="1054" w:type="dxa"/>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jc w:val="center"/>
              <w:textAlignment w:val="baseline"/>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2120" w:type="dxa"/>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jc w:val="center"/>
              <w:textAlignment w:val="baseline"/>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jc w:val="center"/>
              <w:textAlignment w:val="baseline"/>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4978"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jc w:val="center"/>
              <w:textAlignment w:val="baseline"/>
              <w:rPr>
                <w:rFonts w:hint="eastAsia" w:ascii="仿宋" w:hAnsi="仿宋" w:eastAsia="仿宋" w:cs="仿宋"/>
                <w:sz w:val="28"/>
                <w:szCs w:val="28"/>
                <w:vertAlign w:val="baseline"/>
                <w:lang w:val="en-US" w:eastAsia="zh-CN"/>
              </w:rPr>
            </w:pPr>
            <w:r>
              <w:rPr>
                <w:rFonts w:hint="eastAsia" w:ascii="仿宋" w:hAnsi="仿宋" w:eastAsia="仿宋" w:cs="仿宋"/>
                <w:b w:val="0"/>
                <w:bCs/>
                <w:color w:val="auto"/>
                <w:sz w:val="28"/>
                <w:szCs w:val="28"/>
                <w:lang w:val="en-US" w:eastAsia="zh-CN"/>
              </w:rPr>
              <w:t>巴中市巴州区2023年百花溪小流域综合治理提质增效项目</w:t>
            </w:r>
          </w:p>
        </w:tc>
        <w:tc>
          <w:tcPr>
            <w:tcW w:w="1054"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jc w:val="center"/>
              <w:textAlignment w:val="baseline"/>
              <w:rPr>
                <w:rFonts w:hint="eastAsia" w:ascii="仿宋" w:hAnsi="仿宋" w:eastAsia="仿宋" w:cs="仿宋"/>
                <w:sz w:val="28"/>
                <w:szCs w:val="28"/>
                <w:vertAlign w:val="baseline"/>
                <w:lang w:val="en-US" w:eastAsia="zh-CN"/>
              </w:rPr>
            </w:pPr>
            <w:r>
              <w:rPr>
                <w:rFonts w:hint="eastAsia" w:ascii="仿宋" w:hAnsi="仿宋" w:eastAsia="仿宋" w:cs="仿宋"/>
                <w:b w:val="0"/>
                <w:sz w:val="28"/>
                <w:szCs w:val="28"/>
              </w:rPr>
              <w:t>1项</w:t>
            </w:r>
          </w:p>
        </w:tc>
        <w:tc>
          <w:tcPr>
            <w:tcW w:w="2120"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jc w:val="center"/>
              <w:textAlignment w:val="baseline"/>
              <w:rPr>
                <w:rFonts w:hint="eastAsia" w:ascii="仿宋" w:hAnsi="仿宋" w:eastAsia="仿宋" w:cs="仿宋"/>
                <w:sz w:val="28"/>
                <w:szCs w:val="28"/>
                <w:vertAlign w:val="baseline"/>
                <w:lang w:val="en-US" w:eastAsia="zh-CN"/>
              </w:rPr>
            </w:pPr>
            <w:r>
              <w:rPr>
                <w:rFonts w:hint="eastAsia" w:ascii="仿宋" w:hAnsi="仿宋" w:eastAsia="仿宋" w:cs="仿宋"/>
                <w:color w:val="000000"/>
                <w:sz w:val="28"/>
                <w:szCs w:val="28"/>
                <w:lang w:val="en-US" w:eastAsia="zh-CN" w:bidi="ar-SA"/>
              </w:rPr>
              <w:t>其他未列明行业</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textAlignment w:val="auto"/>
        <w:outlineLvl w:val="1"/>
        <w:rPr>
          <w:rFonts w:hint="eastAsia" w:ascii="仿宋" w:hAnsi="仿宋" w:eastAsia="仿宋" w:cs="仿宋"/>
          <w:b/>
          <w:bCs/>
          <w:color w:val="auto"/>
          <w:sz w:val="28"/>
          <w:szCs w:val="28"/>
          <w:lang w:val="en-US" w:eastAsia="zh-CN"/>
        </w:rPr>
      </w:pPr>
      <w:bookmarkStart w:id="358" w:name="_Toc16828"/>
      <w:bookmarkStart w:id="359" w:name="_Toc5755"/>
      <w:bookmarkStart w:id="360" w:name="_Toc27898"/>
      <w:bookmarkStart w:id="361" w:name="_Toc256000048"/>
      <w:bookmarkStart w:id="362" w:name="_Toc12916"/>
      <w:bookmarkStart w:id="363" w:name="_Toc21853"/>
      <w:bookmarkStart w:id="364" w:name="_Toc25611"/>
      <w:r>
        <w:rPr>
          <w:rFonts w:hint="eastAsia" w:ascii="仿宋" w:hAnsi="仿宋" w:eastAsia="仿宋" w:cs="仿宋"/>
          <w:b/>
          <w:bCs/>
          <w:color w:val="000000"/>
          <w:sz w:val="28"/>
          <w:szCs w:val="28"/>
          <w:lang w:val="en-US" w:eastAsia="zh-CN"/>
        </w:rPr>
        <w:t>三、</w:t>
      </w:r>
      <w:bookmarkEnd w:id="358"/>
      <w:bookmarkEnd w:id="359"/>
      <w:r>
        <w:rPr>
          <w:rFonts w:hint="eastAsia" w:ascii="仿宋" w:hAnsi="仿宋" w:eastAsia="仿宋" w:cs="仿宋"/>
          <w:b/>
          <w:bCs/>
          <w:color w:val="auto"/>
          <w:sz w:val="28"/>
          <w:szCs w:val="28"/>
          <w:lang w:val="en-US" w:eastAsia="zh-CN"/>
        </w:rPr>
        <w:t>服务内容及要求</w:t>
      </w:r>
      <w:bookmarkEnd w:id="360"/>
      <w:bookmarkEnd w:id="361"/>
      <w:bookmarkEnd w:id="362"/>
      <w:bookmarkEnd w:id="363"/>
      <w:bookmarkEnd w:id="364"/>
    </w:p>
    <w:p>
      <w:pPr>
        <w:pStyle w:val="7"/>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服务内容：完成巴中市巴州区2023年百花溪小流域综合治理提质增效项目实施方案编制、施工图设计、后续变更设计服务及水土保持重点工程管理系统上报工作。</w:t>
      </w:r>
    </w:p>
    <w:p>
      <w:pPr>
        <w:pStyle w:val="7"/>
        <w:pageBreakBefore w:val="0"/>
        <w:widowControl w:val="0"/>
        <w:numPr>
          <w:ilvl w:val="0"/>
          <w:numId w:val="2"/>
        </w:numPr>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服务要求：</w:t>
      </w:r>
    </w:p>
    <w:p>
      <w:pPr>
        <w:pStyle w:val="7"/>
        <w:pageBreakBefore w:val="0"/>
        <w:widowControl w:val="0"/>
        <w:numPr>
          <w:ilvl w:val="0"/>
          <w:numId w:val="0"/>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1、现场踏勘、地形航拍与测量。</w:t>
      </w:r>
    </w:p>
    <w:p>
      <w:pPr>
        <w:pStyle w:val="7"/>
        <w:pageBreakBefore w:val="0"/>
        <w:widowControl w:val="0"/>
        <w:numPr>
          <w:ilvl w:val="0"/>
          <w:numId w:val="0"/>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2、按四川省水利厅要求及行业规范标准编制实施方案（含报告、概算书及设计图册），实施方案通过省水利厅审查。</w:t>
      </w:r>
    </w:p>
    <w:p>
      <w:pPr>
        <w:pStyle w:val="7"/>
        <w:pageBreakBefore w:val="0"/>
        <w:widowControl w:val="0"/>
        <w:numPr>
          <w:ilvl w:val="0"/>
          <w:numId w:val="0"/>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3、负责开工前及开工后发生的变更设计，包括变更报告书、变更设计图册及调整概（预）算。</w:t>
      </w:r>
    </w:p>
    <w:p>
      <w:pPr>
        <w:pStyle w:val="7"/>
        <w:pageBreakBefore w:val="0"/>
        <w:widowControl w:val="0"/>
        <w:numPr>
          <w:ilvl w:val="0"/>
          <w:numId w:val="0"/>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4、由专业人员负责编制施工图预算及施工图设计图册，图册需加盖有效方章，预算可用于财政评审。</w:t>
      </w:r>
    </w:p>
    <w:p>
      <w:pPr>
        <w:pStyle w:val="7"/>
        <w:pageBreakBefore w:val="0"/>
        <w:widowControl w:val="0"/>
        <w:numPr>
          <w:ilvl w:val="0"/>
          <w:numId w:val="0"/>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5、负责国家水土保持重点工程管理系统中设计图斑及验收图斑精细化管理上报工作。</w:t>
      </w:r>
    </w:p>
    <w:p>
      <w:pPr>
        <w:pStyle w:val="7"/>
        <w:pageBreakBefore w:val="0"/>
        <w:widowControl w:val="0"/>
        <w:numPr>
          <w:ilvl w:val="0"/>
          <w:numId w:val="0"/>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6、编制施工招标工程量清单。</w:t>
      </w:r>
    </w:p>
    <w:p>
      <w:pPr>
        <w:pStyle w:val="7"/>
        <w:pageBreakBefore w:val="0"/>
        <w:widowControl w:val="0"/>
        <w:numPr>
          <w:ilvl w:val="0"/>
          <w:numId w:val="0"/>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lang w:val="en-US" w:eastAsia="zh-CN"/>
        </w:rPr>
        <w:t>7、施工单位进场时派驻设计代表现场提供技术交底，施工过程中提供技术指导，参与分部分项工程、完工、竣工等各个阶段的验收。</w:t>
      </w:r>
      <w:r>
        <w:rPr>
          <w:rFonts w:hint="eastAsia" w:ascii="仿宋" w:hAnsi="仿宋" w:eastAsia="仿宋" w:cs="仿宋"/>
          <w:color w:val="auto"/>
          <w:sz w:val="28"/>
          <w:szCs w:val="28"/>
          <w:lang w:val="zh-CN" w:eastAsia="zh-CN"/>
        </w:rPr>
        <w:t xml:space="preserve">                    </w:t>
      </w:r>
      <w:r>
        <w:rPr>
          <w:rFonts w:hint="eastAsia" w:ascii="仿宋" w:hAnsi="仿宋" w:eastAsia="仿宋" w:cs="仿宋"/>
          <w:color w:val="auto"/>
          <w:sz w:val="28"/>
          <w:szCs w:val="28"/>
          <w:highlight w:val="none"/>
        </w:rPr>
        <w:t xml:space="preserve"> </w:t>
      </w:r>
    </w:p>
    <w:p>
      <w:pPr>
        <w:pStyle w:val="3"/>
        <w:keepNext/>
        <w:keepLines/>
        <w:pageBreakBefore w:val="0"/>
        <w:widowControl w:val="0"/>
        <w:tabs>
          <w:tab w:val="left" w:pos="567"/>
        </w:tabs>
        <w:kinsoku/>
        <w:wordWrap/>
        <w:overflowPunct/>
        <w:topLinePunct w:val="0"/>
        <w:autoSpaceDE/>
        <w:autoSpaceDN/>
        <w:bidi w:val="0"/>
        <w:adjustRightInd/>
        <w:snapToGrid/>
        <w:spacing w:before="0" w:after="0" w:line="360" w:lineRule="auto"/>
        <w:ind w:left="0" w:leftChars="0"/>
        <w:jc w:val="left"/>
        <w:textAlignment w:val="auto"/>
        <w:outlineLvl w:val="1"/>
        <w:rPr>
          <w:rFonts w:hint="eastAsia" w:ascii="仿宋" w:hAnsi="仿宋" w:eastAsia="仿宋" w:cs="仿宋"/>
          <w:color w:val="auto"/>
          <w:sz w:val="28"/>
          <w:szCs w:val="28"/>
          <w:highlight w:val="none"/>
          <w:lang w:val="en-US" w:eastAsia="zh-CN"/>
        </w:rPr>
      </w:pPr>
      <w:bookmarkStart w:id="365" w:name="_Toc14200"/>
      <w:bookmarkStart w:id="366" w:name="_Toc4701"/>
      <w:bookmarkStart w:id="367" w:name="_Toc25723"/>
      <w:bookmarkStart w:id="368" w:name="_Toc3120"/>
      <w:bookmarkStart w:id="369" w:name="_Toc256000049"/>
      <w:bookmarkStart w:id="370" w:name="_Toc30650"/>
      <w:bookmarkStart w:id="371" w:name="_Toc24400"/>
      <w:bookmarkStart w:id="372" w:name="_Toc6931"/>
      <w:bookmarkStart w:id="373" w:name="_Toc16486"/>
      <w:bookmarkStart w:id="374" w:name="_Toc20566"/>
      <w:bookmarkStart w:id="375" w:name="_Toc3372"/>
      <w:bookmarkStart w:id="376" w:name="_Toc23190"/>
      <w:bookmarkStart w:id="377" w:name="_Toc2887"/>
      <w:r>
        <w:rPr>
          <w:rFonts w:hint="eastAsia" w:ascii="仿宋" w:hAnsi="仿宋" w:eastAsia="仿宋" w:cs="仿宋"/>
          <w:color w:val="auto"/>
          <w:sz w:val="28"/>
          <w:szCs w:val="28"/>
          <w:highlight w:val="none"/>
          <w:lang w:val="en-US" w:eastAsia="zh-CN"/>
        </w:rPr>
        <w:t>四、商务要求</w:t>
      </w:r>
      <w:bookmarkEnd w:id="365"/>
      <w:bookmarkEnd w:id="366"/>
      <w:bookmarkEnd w:id="367"/>
      <w:bookmarkEnd w:id="368"/>
      <w:bookmarkEnd w:id="369"/>
      <w:bookmarkEnd w:id="370"/>
      <w:bookmarkEnd w:id="371"/>
      <w:bookmarkEnd w:id="372"/>
      <w:bookmarkEnd w:id="373"/>
      <w:bookmarkEnd w:id="374"/>
      <w:bookmarkEnd w:id="375"/>
      <w:bookmarkEnd w:id="376"/>
      <w:bookmarkEnd w:id="377"/>
    </w:p>
    <w:p>
      <w:pPr>
        <w:keepNext w:val="0"/>
        <w:keepLines w:val="0"/>
        <w:pageBreakBefore w:val="0"/>
        <w:widowControl/>
        <w:wordWrap/>
        <w:overflowPunct/>
        <w:topLinePunct w:val="0"/>
        <w:bidi w:val="0"/>
        <w:spacing w:line="360" w:lineRule="auto"/>
        <w:ind w:left="0" w:leftChars="0" w:firstLine="281" w:firstLineChars="1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w:t>
      </w:r>
      <w:r>
        <w:rPr>
          <w:rFonts w:hint="eastAsia" w:ascii="仿宋" w:hAnsi="仿宋" w:eastAsia="仿宋" w:cs="仿宋"/>
          <w:color w:val="auto"/>
          <w:sz w:val="28"/>
          <w:szCs w:val="28"/>
        </w:rPr>
        <w:t>（一）服务期限：</w:t>
      </w:r>
      <w:r>
        <w:rPr>
          <w:rFonts w:hint="eastAsia" w:ascii="仿宋" w:hAnsi="仿宋" w:eastAsia="仿宋" w:cs="仿宋"/>
          <w:color w:val="auto"/>
          <w:sz w:val="28"/>
          <w:szCs w:val="28"/>
          <w:lang w:val="en-US" w:eastAsia="zh-CN"/>
        </w:rPr>
        <w:t>合同签订后365个日历天内完成</w:t>
      </w:r>
      <w:r>
        <w:rPr>
          <w:rFonts w:hint="eastAsia" w:ascii="仿宋" w:hAnsi="仿宋" w:eastAsia="仿宋" w:cs="仿宋"/>
          <w:color w:val="auto"/>
          <w:sz w:val="28"/>
          <w:szCs w:val="28"/>
        </w:rPr>
        <w:t>。</w:t>
      </w:r>
    </w:p>
    <w:p>
      <w:pPr>
        <w:keepNext w:val="0"/>
        <w:keepLines w:val="0"/>
        <w:pageBreakBefore w:val="0"/>
        <w:widowControl/>
        <w:numPr>
          <w:ilvl w:val="0"/>
          <w:numId w:val="3"/>
        </w:numPr>
        <w:wordWrap/>
        <w:overflowPunct/>
        <w:topLinePunct w:val="0"/>
        <w:bidi w:val="0"/>
        <w:spacing w:line="360" w:lineRule="auto"/>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服务地点：采购人指定地点。</w:t>
      </w:r>
    </w:p>
    <w:p>
      <w:pPr>
        <w:keepNext w:val="0"/>
        <w:keepLines w:val="0"/>
        <w:pageBreakBefore w:val="0"/>
        <w:widowControl/>
        <w:numPr>
          <w:ilvl w:val="0"/>
          <w:numId w:val="0"/>
        </w:numPr>
        <w:wordWrap/>
        <w:overflowPunct/>
        <w:topLinePunct w:val="0"/>
        <w:bidi w:val="0"/>
        <w:spacing w:line="360" w:lineRule="auto"/>
        <w:ind w:left="0" w:leftChars="0" w:firstLine="281" w:firstLineChars="1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bCs/>
          <w:color w:val="auto"/>
          <w:sz w:val="28"/>
          <w:szCs w:val="28"/>
        </w:rPr>
        <w:t>★</w:t>
      </w:r>
      <w:r>
        <w:rPr>
          <w:rFonts w:hint="eastAsia" w:ascii="仿宋" w:hAnsi="仿宋" w:eastAsia="仿宋" w:cs="仿宋"/>
          <w:color w:val="auto"/>
          <w:sz w:val="28"/>
          <w:szCs w:val="28"/>
        </w:rPr>
        <w:t>（三）付款方式：</w:t>
      </w:r>
      <w:r>
        <w:rPr>
          <w:rFonts w:hint="eastAsia" w:ascii="仿宋" w:hAnsi="仿宋" w:eastAsia="仿宋" w:cs="仿宋"/>
          <w:b w:val="0"/>
          <w:bCs w:val="0"/>
          <w:color w:val="auto"/>
          <w:kern w:val="2"/>
          <w:sz w:val="28"/>
          <w:szCs w:val="28"/>
          <w:highlight w:val="none"/>
          <w:lang w:val="en-US" w:eastAsia="zh-CN" w:bidi="ar-SA"/>
        </w:rPr>
        <w:t>实施方案送审稿初稿完成后，提交审查前，支付合同金额的30%做为首付款；实施方案审查通过并取得批复后的10个工作日，支付合同金额的30%进度款；施工图完成并出版正式施工图纸后的10个工作日内，支付合同金额的30%进度款；剩余合同金额10%待项目验收合格后一次性无息支付。</w:t>
      </w:r>
    </w:p>
    <w:p>
      <w:pPr>
        <w:keepNext w:val="0"/>
        <w:keepLines w:val="0"/>
        <w:pageBreakBefore w:val="0"/>
        <w:widowControl/>
        <w:wordWrap/>
        <w:overflowPunct/>
        <w:topLinePunct w:val="0"/>
        <w:bidi w:val="0"/>
        <w:spacing w:line="360" w:lineRule="auto"/>
        <w:ind w:left="0" w:leftChars="0" w:firstLine="280" w:firstLineChars="1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（四）其他要求：</w:t>
      </w:r>
    </w:p>
    <w:p>
      <w:pPr>
        <w:keepNext w:val="0"/>
        <w:keepLines w:val="0"/>
        <w:pageBreakBefore w:val="0"/>
        <w:widowControl/>
        <w:wordWrap/>
        <w:overflowPunct/>
        <w:topLinePunct w:val="0"/>
        <w:bidi w:val="0"/>
        <w:spacing w:line="360" w:lineRule="auto"/>
        <w:ind w:left="0" w:leftChars="0" w:firstLine="840" w:firstLineChars="3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1、供应商报价须包含检测仪器、检测设备、现场踏勘、报告编制、成果审查及印制等一切费用，采购人不再支付任何费用。</w:t>
      </w:r>
    </w:p>
    <w:p>
      <w:pPr>
        <w:keepNext w:val="0"/>
        <w:keepLines w:val="0"/>
        <w:pageBreakBefore w:val="0"/>
        <w:wordWrap/>
        <w:overflowPunct/>
        <w:topLinePunct w:val="0"/>
        <w:bidi w:val="0"/>
        <w:spacing w:line="360" w:lineRule="auto"/>
        <w:ind w:left="0" w:leftChars="0"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w:t>
      </w:r>
      <w:r>
        <w:rPr>
          <w:rFonts w:hint="eastAsia" w:ascii="仿宋" w:hAnsi="仿宋" w:eastAsia="仿宋" w:cs="仿宋"/>
          <w:color w:val="auto"/>
          <w:sz w:val="28"/>
          <w:szCs w:val="28"/>
        </w:rPr>
        <w:t>2、供应商应根据相关规定做好安全防护措施，若在服务过程中发生安全事故，造成人员伤亡及财产损失的，由供应商自行承担全部责任。</w:t>
      </w:r>
      <w:r>
        <w:rPr>
          <w:rFonts w:hint="eastAsia" w:ascii="仿宋" w:hAnsi="仿宋" w:eastAsia="仿宋" w:cs="仿宋"/>
          <w:b/>
          <w:bCs/>
          <w:color w:val="auto"/>
          <w:sz w:val="28"/>
          <w:szCs w:val="28"/>
        </w:rPr>
        <w:t>（提供承诺函并加盖供应商鲜章，格式自拟。）</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560" w:firstLineChars="200"/>
        <w:textAlignment w:val="auto"/>
        <w:rPr>
          <w:rFonts w:hint="eastAsia" w:ascii="仿宋" w:hAnsi="仿宋" w:eastAsia="仿宋" w:cs="仿宋"/>
          <w:color w:val="auto"/>
          <w:spacing w:val="3"/>
          <w:w w:val="96"/>
          <w:sz w:val="28"/>
          <w:szCs w:val="28"/>
        </w:rPr>
      </w:pPr>
      <w:r>
        <w:rPr>
          <w:rFonts w:hint="eastAsia" w:ascii="仿宋" w:hAnsi="仿宋" w:eastAsia="仿宋" w:cs="仿宋"/>
          <w:color w:val="auto"/>
          <w:sz w:val="28"/>
          <w:szCs w:val="28"/>
        </w:rPr>
        <w:t>验收标准和方法：</w:t>
      </w:r>
      <w:r>
        <w:rPr>
          <w:rFonts w:hint="eastAsia" w:ascii="仿宋" w:hAnsi="仿宋" w:eastAsia="仿宋" w:cs="仿宋"/>
          <w:color w:val="auto"/>
          <w:spacing w:val="3"/>
          <w:w w:val="96"/>
          <w:sz w:val="28"/>
          <w:szCs w:val="28"/>
        </w:rPr>
        <w:t>严格按照政府采购相关法律法规以及《财政部关于进一步加强政府采购需求和履约验收管理的指导意见》（财库〔2016〕205号）等相关规定、磋商文件的质量要求和技术要求、供应商的响应文件及承诺以及合同约定标准等进行验收。</w:t>
      </w:r>
    </w:p>
    <w:p>
      <w:pPr>
        <w:pageBreakBefore w:val="0"/>
        <w:kinsoku/>
        <w:wordWrap/>
        <w:overflowPunct/>
        <w:topLinePunct w:val="0"/>
        <w:bidi w:val="0"/>
        <w:spacing w:line="360" w:lineRule="auto"/>
        <w:ind w:left="0" w:leftChars="0" w:right="0"/>
        <w:rPr>
          <w:rFonts w:hint="eastAsia" w:ascii="仿宋" w:hAnsi="仿宋" w:eastAsia="仿宋" w:cs="仿宋"/>
          <w:b/>
          <w:bCs/>
          <w:color w:val="000000"/>
          <w:sz w:val="28"/>
          <w:szCs w:val="28"/>
        </w:rPr>
      </w:pPr>
    </w:p>
    <w:p>
      <w:pPr>
        <w:pageBreakBefore w:val="0"/>
        <w:kinsoku/>
        <w:wordWrap/>
        <w:overflowPunct/>
        <w:topLinePunct w:val="0"/>
        <w:bidi w:val="0"/>
        <w:spacing w:line="360" w:lineRule="auto"/>
        <w:ind w:left="0" w:leftChars="0" w:right="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注：本章采购需求中标注“★”号的条款为本次采购项目的实质性要求，供应商应全部满足。</w:t>
      </w:r>
    </w:p>
    <w:p>
      <w:pPr>
        <w:rPr>
          <w:rFonts w:hint="eastAsia" w:ascii="仿宋" w:hAnsi="仿宋" w:eastAsia="仿宋" w:cs="仿宋"/>
        </w:rPr>
      </w:pPr>
    </w:p>
    <w:bookmarkEnd w:id="341"/>
    <w:p>
      <w:pPr>
        <w:pageBreakBefore w:val="0"/>
        <w:kinsoku/>
        <w:overflowPunct/>
        <w:topLinePunct w:val="0"/>
        <w:bidi w:val="0"/>
        <w:spacing w:line="360" w:lineRule="auto"/>
        <w:ind w:left="0" w:leftChars="0" w:right="0" w:rightChars="0" w:firstLine="420"/>
        <w:textAlignment w:val="auto"/>
        <w:rPr>
          <w:rFonts w:hint="eastAsia" w:ascii="仿宋" w:hAnsi="仿宋" w:eastAsia="仿宋" w:cs="仿宋"/>
          <w:b/>
          <w:sz w:val="24"/>
          <w:szCs w:val="24"/>
        </w:rPr>
      </w:pPr>
    </w:p>
    <w:p>
      <w:pPr>
        <w:pageBreakBefore w:val="0"/>
        <w:widowControl/>
        <w:kinsoku/>
        <w:overflowPunct/>
        <w:topLinePunct w:val="0"/>
        <w:bidi w:val="0"/>
        <w:spacing w:line="360" w:lineRule="auto"/>
        <w:ind w:left="0" w:leftChars="0" w:right="0" w:rightChars="0"/>
        <w:jc w:val="left"/>
        <w:textAlignment w:val="auto"/>
        <w:rPr>
          <w:rFonts w:hint="eastAsia" w:ascii="仿宋" w:hAnsi="仿宋" w:eastAsia="仿宋" w:cs="仿宋"/>
          <w:b/>
          <w:color w:val="000000"/>
          <w:sz w:val="44"/>
        </w:rPr>
      </w:pPr>
      <w:r>
        <w:rPr>
          <w:rFonts w:hint="eastAsia" w:ascii="仿宋" w:hAnsi="仿宋" w:eastAsia="仿宋" w:cs="仿宋"/>
          <w:b/>
          <w:color w:val="000000"/>
          <w:sz w:val="44"/>
        </w:rPr>
        <w:br w:type="page"/>
      </w:r>
    </w:p>
    <w:p>
      <w:pPr>
        <w:pStyle w:val="2"/>
        <w:pageBreakBefore w:val="0"/>
        <w:kinsoku/>
        <w:overflowPunct/>
        <w:topLinePunct w:val="0"/>
        <w:bidi w:val="0"/>
        <w:spacing w:before="0" w:after="0" w:line="360" w:lineRule="auto"/>
        <w:ind w:left="0" w:leftChars="0" w:right="0" w:rightChars="0" w:hanging="1485"/>
        <w:jc w:val="center"/>
        <w:textAlignment w:val="auto"/>
        <w:rPr>
          <w:rFonts w:hint="eastAsia" w:ascii="仿宋" w:hAnsi="仿宋" w:eastAsia="仿宋" w:cs="仿宋"/>
          <w:bCs/>
          <w:color w:val="000000"/>
          <w:sz w:val="36"/>
          <w:szCs w:val="36"/>
        </w:rPr>
      </w:pPr>
      <w:bookmarkStart w:id="378" w:name="_Toc63765811"/>
      <w:bookmarkStart w:id="379" w:name="_Toc8594"/>
      <w:bookmarkStart w:id="380" w:name="_Toc256000050"/>
      <w:bookmarkStart w:id="381" w:name="_Toc1611"/>
      <w:r>
        <w:rPr>
          <w:rFonts w:hint="eastAsia" w:ascii="仿宋" w:hAnsi="仿宋" w:eastAsia="仿宋" w:cs="仿宋"/>
          <w:bCs/>
          <w:color w:val="000000"/>
          <w:sz w:val="36"/>
          <w:szCs w:val="36"/>
        </w:rPr>
        <w:t>第五章 供应商响应文件相关文书格式</w:t>
      </w:r>
      <w:bookmarkEnd w:id="378"/>
      <w:bookmarkEnd w:id="379"/>
      <w:bookmarkEnd w:id="380"/>
      <w:bookmarkEnd w:id="381"/>
    </w:p>
    <w:p>
      <w:pPr>
        <w:pageBreakBefore w:val="0"/>
        <w:kinsoku/>
        <w:overflowPunct/>
        <w:topLinePunct w:val="0"/>
        <w:bidi w:val="0"/>
        <w:spacing w:line="360" w:lineRule="auto"/>
        <w:ind w:left="0" w:leftChars="0" w:right="0" w:rightChars="0"/>
        <w:textAlignment w:val="auto"/>
        <w:rPr>
          <w:rFonts w:hint="eastAsia" w:ascii="仿宋" w:hAnsi="仿宋" w:eastAsia="仿宋" w:cs="仿宋"/>
        </w:rPr>
      </w:pPr>
    </w:p>
    <w:p>
      <w:pPr>
        <w:pStyle w:val="5"/>
        <w:pageBreakBefore w:val="0"/>
        <w:numPr>
          <w:ilvl w:val="0"/>
          <w:numId w:val="5"/>
        </w:numPr>
        <w:kinsoku/>
        <w:overflowPunct/>
        <w:topLinePunct w:val="0"/>
        <w:bidi w:val="0"/>
        <w:spacing w:before="0" w:after="0" w:line="360" w:lineRule="auto"/>
        <w:ind w:left="0" w:leftChars="0" w:right="0" w:rightChars="0"/>
        <w:jc w:val="center"/>
        <w:textAlignment w:val="auto"/>
        <w:rPr>
          <w:rFonts w:hint="eastAsia" w:ascii="仿宋" w:hAnsi="仿宋" w:eastAsia="仿宋" w:cs="仿宋"/>
          <w:bCs/>
          <w:sz w:val="28"/>
          <w:szCs w:val="28"/>
        </w:rPr>
      </w:pPr>
      <w:bookmarkStart w:id="382" w:name="_Toc256000117"/>
      <w:bookmarkStart w:id="383" w:name="_Toc63765812"/>
      <w:bookmarkStart w:id="384" w:name="_Toc256000051"/>
      <w:bookmarkStart w:id="385" w:name="_Toc22044"/>
      <w:bookmarkStart w:id="386" w:name="_Toc12298"/>
      <w:r>
        <w:rPr>
          <w:rFonts w:hint="eastAsia" w:ascii="仿宋" w:hAnsi="仿宋" w:eastAsia="仿宋" w:cs="仿宋"/>
          <w:sz w:val="28"/>
          <w:szCs w:val="28"/>
        </w:rPr>
        <w:t>资格响应部分</w:t>
      </w:r>
      <w:bookmarkEnd w:id="382"/>
      <w:bookmarkEnd w:id="383"/>
      <w:bookmarkEnd w:id="384"/>
      <w:bookmarkEnd w:id="385"/>
      <w:bookmarkEnd w:id="386"/>
    </w:p>
    <w:p>
      <w:pPr>
        <w:pageBreakBefore w:val="0"/>
        <w:tabs>
          <w:tab w:val="left" w:pos="330"/>
        </w:tabs>
        <w:kinsoku/>
        <w:overflowPunct/>
        <w:topLinePunct w:val="0"/>
        <w:bidi w:val="0"/>
        <w:spacing w:line="360" w:lineRule="auto"/>
        <w:ind w:left="0" w:leftChars="0" w:right="0" w:rightChars="0" w:firstLine="548" w:firstLineChars="196"/>
        <w:textAlignment w:val="auto"/>
        <w:rPr>
          <w:rFonts w:hint="eastAsia" w:ascii="仿宋" w:hAnsi="仿宋" w:eastAsia="仿宋" w:cs="仿宋"/>
          <w:bCs/>
          <w:sz w:val="28"/>
          <w:szCs w:val="28"/>
        </w:rPr>
      </w:pPr>
    </w:p>
    <w:p>
      <w:pPr>
        <w:pageBreakBefore w:val="0"/>
        <w:kinsoku/>
        <w:overflowPunct/>
        <w:topLinePunct w:val="0"/>
        <w:bidi w:val="0"/>
        <w:spacing w:line="360" w:lineRule="auto"/>
        <w:ind w:left="0" w:leftChars="0" w:right="0" w:rightChars="0"/>
        <w:textAlignment w:val="auto"/>
        <w:outlineLvl w:val="2"/>
        <w:rPr>
          <w:rFonts w:hint="eastAsia" w:ascii="仿宋" w:hAnsi="仿宋" w:eastAsia="仿宋" w:cs="仿宋"/>
          <w:b/>
          <w:bCs/>
          <w:sz w:val="28"/>
          <w:szCs w:val="28"/>
        </w:rPr>
      </w:pPr>
      <w:bookmarkStart w:id="387" w:name="_Toc12604"/>
      <w:bookmarkStart w:id="388" w:name="_Toc256000118"/>
      <w:bookmarkStart w:id="389" w:name="_Toc256000052"/>
      <w:bookmarkStart w:id="390" w:name="_Toc23446"/>
      <w:r>
        <w:rPr>
          <w:rFonts w:hint="eastAsia" w:ascii="仿宋" w:hAnsi="仿宋" w:eastAsia="仿宋" w:cs="仿宋"/>
          <w:b/>
          <w:bCs/>
          <w:sz w:val="28"/>
          <w:szCs w:val="28"/>
        </w:rPr>
        <w:t>一、具有独立承担民事责任的能力的证明材料</w:t>
      </w:r>
      <w:bookmarkEnd w:id="387"/>
      <w:bookmarkEnd w:id="388"/>
      <w:bookmarkEnd w:id="389"/>
      <w:bookmarkEnd w:id="390"/>
    </w:p>
    <w:p>
      <w:pPr>
        <w:pStyle w:val="30"/>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jc w:val="center"/>
        <w:textAlignment w:val="auto"/>
        <w:outlineLvl w:val="9"/>
        <w:rPr>
          <w:rFonts w:hint="eastAsia" w:ascii="仿宋" w:hAnsi="仿宋" w:eastAsia="仿宋" w:cs="仿宋"/>
          <w:b/>
          <w:color w:val="7E7E7E"/>
          <w:sz w:val="28"/>
          <w:szCs w:val="28"/>
          <w:highlight w:val="none"/>
          <w:lang w:val="en-US" w:eastAsia="zh-CN"/>
        </w:rPr>
      </w:pPr>
      <w:r>
        <w:rPr>
          <w:rFonts w:hint="eastAsia" w:ascii="仿宋" w:hAnsi="仿宋" w:eastAsia="仿宋" w:cs="仿宋"/>
          <w:b/>
          <w:color w:val="7E7E7E"/>
          <w:sz w:val="28"/>
          <w:szCs w:val="28"/>
          <w:highlight w:val="none"/>
          <w:lang w:val="en-US" w:eastAsia="zh-CN"/>
        </w:rPr>
        <w:t>根据第三章要求提供</w:t>
      </w:r>
    </w:p>
    <w:p>
      <w:pPr>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pPr>
      <w:bookmarkStart w:id="391" w:name="_Toc256000059"/>
      <w:bookmarkStart w:id="392" w:name="_Toc31915"/>
      <w:bookmarkStart w:id="393" w:name="_Toc30020"/>
      <w:bookmarkStart w:id="394" w:name="_Toc12782"/>
      <w:bookmarkStart w:id="395" w:name="_Toc256000053"/>
      <w:bookmarkStart w:id="396" w:name="_Toc17715"/>
      <w:bookmarkStart w:id="397" w:name="_Toc256000150"/>
      <w:bookmarkStart w:id="398" w:name="_Toc24420"/>
      <w:r>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br w:type="page"/>
      </w:r>
    </w:p>
    <w:p>
      <w:pPr>
        <w:pStyle w:val="30"/>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281" w:firstLineChars="100"/>
        <w:jc w:val="both"/>
        <w:textAlignment w:val="auto"/>
        <w:outlineLvl w:val="2"/>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pPr>
      <w:bookmarkStart w:id="399" w:name="_Toc3022"/>
      <w:bookmarkStart w:id="400" w:name="_Toc256000119"/>
      <w:bookmarkStart w:id="401" w:name="_Toc13060"/>
      <w:r>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t>参加本次采购活动的供应商代表（实质性要求）</w:t>
      </w:r>
      <w:bookmarkEnd w:id="391"/>
      <w:bookmarkEnd w:id="392"/>
      <w:bookmarkEnd w:id="393"/>
      <w:bookmarkEnd w:id="394"/>
      <w:bookmarkEnd w:id="395"/>
      <w:bookmarkEnd w:id="396"/>
      <w:bookmarkEnd w:id="397"/>
      <w:bookmarkEnd w:id="398"/>
      <w:bookmarkEnd w:id="399"/>
      <w:bookmarkEnd w:id="400"/>
      <w:bookmarkEnd w:id="401"/>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center"/>
        <w:textAlignment w:val="auto"/>
        <w:outlineLvl w:val="9"/>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法定代表人/单位负责人身份证明</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center"/>
        <w:textAlignment w:val="auto"/>
        <w:outlineLvl w:val="9"/>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（若供应商代表为“法定代表人/单位负责人”时提供此页）</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840" w:firstLineChars="300"/>
        <w:jc w:val="left"/>
        <w:textAlignment w:val="auto"/>
        <w:outlineLvl w:val="9"/>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（姓名）</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系</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（供应商名称）</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的法定代表人/单位负责人（职务</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电话</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特此证明。</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供应商名称</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（加盖公章）</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b w:val="0"/>
          <w:bCs w:val="0"/>
          <w:i w:val="0"/>
          <w:iCs w:val="0"/>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法定代表人/单位负责人（</w:t>
      </w:r>
      <w:r>
        <w:rPr>
          <w:rFonts w:hint="eastAsia" w:ascii="仿宋" w:hAnsi="仿宋" w:eastAsia="仿宋" w:cs="仿宋"/>
          <w:color w:val="000000" w:themeColor="text1"/>
          <w:sz w:val="28"/>
          <w:szCs w:val="28"/>
          <w:highlight w:val="none"/>
          <w14:textFill>
            <w14:solidFill>
              <w14:schemeClr w14:val="tx1"/>
            </w14:solidFill>
          </w14:textFill>
        </w:rPr>
        <w:t>签字或加盖个人印章</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日期：XXXX年XX月XX日</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outlineLvl w:val="9"/>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u w:val="none"/>
          <w:lang w:val="en-US" w:eastAsia="zh-CN"/>
          <w14:textFill>
            <w14:solidFill>
              <w14:schemeClr w14:val="tx1"/>
            </w14:solidFill>
          </w14:textFill>
        </w:rPr>
        <w:t>附：</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法定代表人/单位负责人身份证明材料复印件</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outlineLvl w:val="9"/>
        <w:rPr>
          <w:rFonts w:hint="eastAsia" w:ascii="仿宋" w:hAnsi="仿宋" w:eastAsia="仿宋" w:cs="仿宋"/>
          <w:b/>
          <w:bCs/>
          <w:i w:val="0"/>
          <w:iCs w:val="0"/>
          <w:color w:val="000000" w:themeColor="text1"/>
          <w:sz w:val="28"/>
          <w:szCs w:val="28"/>
          <w:highlight w:val="none"/>
          <w:u w:val="none"/>
          <w:lang w:val="en-US" w:eastAsia="zh-CN"/>
          <w14:textFill>
            <w14:solidFill>
              <w14:schemeClr w14:val="tx1"/>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outlineLvl w:val="9"/>
        <w:rPr>
          <w:rFonts w:hint="eastAsia" w:ascii="仿宋" w:hAnsi="仿宋" w:eastAsia="仿宋" w:cs="仿宋"/>
          <w:b/>
          <w:bCs/>
          <w:i w:val="0"/>
          <w:i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highlight w:val="none"/>
          <w:u w:val="none"/>
          <w:lang w:val="en-US" w:eastAsia="zh-CN"/>
          <w14:textFill>
            <w14:solidFill>
              <w14:schemeClr w14:val="tx1"/>
            </w14:solidFill>
          </w14:textFill>
        </w:rPr>
        <w:t>注：</w:t>
      </w:r>
    </w:p>
    <w:p>
      <w:pPr>
        <w:pStyle w:val="1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outlineLvl w:val="9"/>
        <w:rPr>
          <w:rFonts w:hint="eastAsia" w:ascii="仿宋" w:hAnsi="仿宋" w:eastAsia="仿宋" w:cs="仿宋"/>
          <w:b/>
          <w:bCs/>
          <w:i w:val="0"/>
          <w:i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highlight w:val="none"/>
          <w:u w:val="none"/>
          <w:lang w:val="en-US" w:eastAsia="zh-CN"/>
          <w14:textFill>
            <w14:solidFill>
              <w14:schemeClr w14:val="tx1"/>
            </w14:solidFill>
          </w14:textFill>
        </w:rPr>
        <w:t>供应商为自然人时提供“自然人身份证明材料”。</w:t>
      </w:r>
    </w:p>
    <w:p>
      <w:pPr>
        <w:pStyle w:val="1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outlineLvl w:val="9"/>
        <w:rPr>
          <w:rFonts w:hint="eastAsia" w:ascii="仿宋" w:hAnsi="仿宋" w:eastAsia="仿宋" w:cs="仿宋"/>
          <w:b/>
          <w:bCs/>
          <w:i w:val="0"/>
          <w:i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highlight w:val="none"/>
          <w:u w:val="none"/>
          <w:lang w:val="en-US" w:eastAsia="zh-CN"/>
          <w14:textFill>
            <w14:solidFill>
              <w14:schemeClr w14:val="tx1"/>
            </w14:solidFill>
          </w14:textFill>
        </w:rPr>
        <w:t>提供其有效的证明材料，若提供居民身份证，须为正、反面复印件。</w:t>
      </w:r>
    </w:p>
    <w:p>
      <w:pPr>
        <w:pStyle w:val="1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outlineLvl w:val="9"/>
        <w:rPr>
          <w:rFonts w:hint="eastAsia" w:ascii="仿宋" w:hAnsi="仿宋" w:eastAsia="仿宋" w:cs="仿宋"/>
          <w:b/>
          <w:bCs/>
          <w:i w:val="0"/>
          <w:i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highlight w:val="none"/>
          <w:u w:val="none"/>
          <w:lang w:val="en-US" w:eastAsia="zh-CN"/>
          <w14:textFill>
            <w14:solidFill>
              <w14:schemeClr w14:val="tx1"/>
            </w14:solidFill>
          </w14:textFill>
        </w:rPr>
        <w:t>身份证明材料包括居民身份证或户口本或军官证或护照等。</w:t>
      </w:r>
    </w:p>
    <w:p>
      <w:pPr>
        <w:pageBreakBefore w:val="0"/>
        <w:kinsoku/>
        <w:overflowPunct/>
        <w:topLinePunct w:val="0"/>
        <w:bidi w:val="0"/>
        <w:spacing w:line="360" w:lineRule="auto"/>
        <w:ind w:left="0" w:leftChars="0" w:right="0" w:rightChars="0"/>
        <w:textAlignment w:val="auto"/>
        <w:rPr>
          <w:rFonts w:hint="eastAsia" w:ascii="仿宋" w:hAnsi="仿宋" w:eastAsia="仿宋" w:cs="仿宋"/>
          <w:b/>
          <w:bCs/>
          <w:sz w:val="28"/>
          <w:szCs w:val="28"/>
        </w:rPr>
      </w:pPr>
      <w:r>
        <w:rPr>
          <w:rFonts w:hint="eastAsia" w:ascii="仿宋" w:hAnsi="仿宋" w:eastAsia="仿宋" w:cs="仿宋"/>
          <w:b/>
          <w:bCs/>
          <w:sz w:val="28"/>
          <w:szCs w:val="28"/>
        </w:rPr>
        <w:br w:type="page"/>
      </w:r>
    </w:p>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sz w:val="28"/>
          <w:szCs w:val="28"/>
        </w:rPr>
      </w:pPr>
      <w:bookmarkStart w:id="402" w:name="【Bobole_代理机构名称_4】"/>
      <w:r>
        <w:rPr>
          <w:rFonts w:hint="eastAsia" w:ascii="仿宋" w:hAnsi="仿宋" w:eastAsia="仿宋" w:cs="仿宋"/>
          <w:sz w:val="28"/>
          <w:szCs w:val="28"/>
        </w:rPr>
        <w:t>融汇项目管理有限公司</w:t>
      </w:r>
      <w:bookmarkEnd w:id="402"/>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27" w:firstLineChars="224"/>
        <w:textAlignment w:val="auto"/>
        <w:rPr>
          <w:rFonts w:hint="eastAsia" w:ascii="仿宋" w:hAnsi="仿宋" w:eastAsia="仿宋" w:cs="仿宋"/>
          <w:sz w:val="28"/>
          <w:szCs w:val="28"/>
        </w:rPr>
      </w:pPr>
      <w:r>
        <w:rPr>
          <w:rFonts w:hint="eastAsia" w:ascii="仿宋" w:hAnsi="仿宋" w:eastAsia="仿宋" w:cs="仿宋"/>
          <w:sz w:val="28"/>
          <w:szCs w:val="28"/>
        </w:rPr>
        <w:t>兹委托我方</w:t>
      </w:r>
      <w:r>
        <w:rPr>
          <w:rFonts w:hint="eastAsia" w:ascii="仿宋" w:hAnsi="仿宋" w:eastAsia="仿宋" w:cs="仿宋"/>
          <w:sz w:val="28"/>
          <w:szCs w:val="28"/>
          <w:u w:val="single"/>
        </w:rPr>
        <w:t>（填写姓名及身份证号）</w:t>
      </w:r>
      <w:r>
        <w:rPr>
          <w:rFonts w:hint="eastAsia" w:ascii="仿宋" w:hAnsi="仿宋" w:eastAsia="仿宋" w:cs="仿宋"/>
          <w:sz w:val="28"/>
          <w:szCs w:val="28"/>
        </w:rPr>
        <w:t>为授权代表，参加</w:t>
      </w:r>
      <w:r>
        <w:rPr>
          <w:rFonts w:hint="eastAsia" w:ascii="仿宋" w:hAnsi="仿宋" w:eastAsia="仿宋" w:cs="仿宋"/>
          <w:sz w:val="28"/>
          <w:szCs w:val="28"/>
          <w:u w:val="single"/>
        </w:rPr>
        <w:t xml:space="preserve">        </w:t>
      </w:r>
      <w:r>
        <w:rPr>
          <w:rFonts w:hint="eastAsia" w:ascii="仿宋" w:hAnsi="仿宋" w:eastAsia="仿宋" w:cs="仿宋"/>
          <w:sz w:val="28"/>
          <w:szCs w:val="28"/>
        </w:rPr>
        <w:t>项目（</w:t>
      </w:r>
      <w:bookmarkStart w:id="403" w:name="【Bobole_项目编号_2】"/>
      <w:r>
        <w:rPr>
          <w:rFonts w:hint="eastAsia" w:ascii="仿宋" w:hAnsi="仿宋" w:eastAsia="仿宋" w:cs="仿宋"/>
          <w:sz w:val="28"/>
          <w:szCs w:val="28"/>
        </w:rPr>
        <w:t>N5119022023000049</w:t>
      </w:r>
      <w:bookmarkEnd w:id="403"/>
      <w:r>
        <w:rPr>
          <w:rFonts w:hint="eastAsia" w:ascii="仿宋" w:hAnsi="仿宋" w:eastAsia="仿宋" w:cs="仿宋"/>
          <w:sz w:val="28"/>
          <w:szCs w:val="28"/>
        </w:rPr>
        <w:t>）的磋商活动，并全权代表我方处理磋商活动中的一切事宜。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27" w:firstLineChars="224"/>
        <w:textAlignment w:val="auto"/>
        <w:rPr>
          <w:rFonts w:hint="eastAsia" w:ascii="仿宋" w:hAnsi="仿宋" w:eastAsia="仿宋" w:cs="仿宋"/>
          <w:sz w:val="28"/>
          <w:szCs w:val="28"/>
        </w:rPr>
      </w:pPr>
      <w:r>
        <w:rPr>
          <w:rFonts w:hint="eastAsia" w:ascii="仿宋" w:hAnsi="仿宋" w:eastAsia="仿宋" w:cs="仿宋"/>
          <w:sz w:val="28"/>
          <w:szCs w:val="28"/>
        </w:rPr>
        <w:t>授权代表在我方的内部职务是________，其详细通信地址为________，其联系电话为________。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27" w:firstLineChars="224"/>
        <w:textAlignment w:val="auto"/>
        <w:rPr>
          <w:rFonts w:hint="eastAsia" w:ascii="仿宋" w:hAnsi="仿宋" w:eastAsia="仿宋" w:cs="仿宋"/>
          <w:sz w:val="28"/>
          <w:szCs w:val="28"/>
        </w:rPr>
      </w:pPr>
      <w:r>
        <w:rPr>
          <w:rFonts w:hint="eastAsia" w:ascii="仿宋" w:hAnsi="仿宋" w:eastAsia="仿宋" w:cs="仿宋"/>
          <w:sz w:val="28"/>
          <w:szCs w:val="28"/>
        </w:rPr>
        <w:t>授权代表在采购活动中以我方名义签署的一切文书，我方均予以认可，对授权代表的签名负全部责任。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27" w:firstLineChars="224"/>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委托期限：</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日到</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p>
    <w:p>
      <w:pPr>
        <w:pageBreakBefore w:val="0"/>
        <w:kinsoku/>
        <w:overflowPunct/>
        <w:topLinePunct w:val="0"/>
        <w:bidi w:val="0"/>
        <w:spacing w:line="360" w:lineRule="auto"/>
        <w:ind w:left="0" w:leftChars="0" w:right="0" w:rightChars="0" w:firstLine="3640" w:firstLineChars="1300"/>
        <w:textAlignment w:val="auto"/>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（名称和加盖公章）</w:t>
      </w:r>
    </w:p>
    <w:p>
      <w:pPr>
        <w:pageBreakBefore w:val="0"/>
        <w:kinsoku/>
        <w:overflowPunct/>
        <w:topLinePunct w:val="0"/>
        <w:bidi w:val="0"/>
        <w:spacing w:line="360" w:lineRule="auto"/>
        <w:ind w:left="0" w:leftChars="0" w:right="0" w:rightChars="0" w:firstLine="3640" w:firstLineChars="1300"/>
        <w:textAlignment w:val="auto"/>
        <w:rPr>
          <w:rFonts w:hint="eastAsia" w:ascii="仿宋" w:hAnsi="仿宋" w:eastAsia="仿宋" w:cs="仿宋"/>
          <w:sz w:val="28"/>
          <w:szCs w:val="28"/>
          <w:u w:val="single"/>
        </w:rPr>
      </w:pPr>
      <w:r>
        <w:rPr>
          <w:rFonts w:hint="eastAsia" w:ascii="仿宋" w:hAnsi="仿宋" w:eastAsia="仿宋" w:cs="仿宋"/>
          <w:sz w:val="28"/>
          <w:szCs w:val="28"/>
        </w:rPr>
        <w:t>法定代表人（或其他组织的负责人）：</w:t>
      </w:r>
      <w:r>
        <w:rPr>
          <w:rFonts w:hint="eastAsia" w:ascii="仿宋" w:hAnsi="仿宋" w:eastAsia="仿宋" w:cs="仿宋"/>
          <w:sz w:val="28"/>
          <w:szCs w:val="28"/>
          <w:u w:val="single"/>
        </w:rPr>
        <w:t>（签字）</w:t>
      </w:r>
    </w:p>
    <w:p>
      <w:pPr>
        <w:pageBreakBefore w:val="0"/>
        <w:kinsoku/>
        <w:overflowPunct/>
        <w:topLinePunct w:val="0"/>
        <w:bidi w:val="0"/>
        <w:spacing w:line="360" w:lineRule="auto"/>
        <w:ind w:left="0" w:leftChars="0" w:right="0" w:rightChars="0" w:firstLine="3640" w:firstLineChars="1300"/>
        <w:textAlignment w:val="auto"/>
        <w:rPr>
          <w:rFonts w:hint="eastAsia" w:ascii="仿宋" w:hAnsi="仿宋" w:eastAsia="仿宋" w:cs="仿宋"/>
          <w:sz w:val="28"/>
          <w:szCs w:val="28"/>
          <w:u w:val="single"/>
        </w:rPr>
      </w:pPr>
      <w:r>
        <w:rPr>
          <w:rFonts w:hint="eastAsia" w:ascii="仿宋" w:hAnsi="仿宋" w:eastAsia="仿宋" w:cs="仿宋"/>
          <w:sz w:val="28"/>
          <w:szCs w:val="28"/>
        </w:rPr>
        <w:t>授权代表：</w:t>
      </w:r>
      <w:r>
        <w:rPr>
          <w:rFonts w:hint="eastAsia" w:ascii="仿宋" w:hAnsi="仿宋" w:eastAsia="仿宋" w:cs="仿宋"/>
          <w:sz w:val="28"/>
          <w:szCs w:val="28"/>
          <w:u w:val="single"/>
        </w:rPr>
        <w:t>（签字）</w:t>
      </w:r>
    </w:p>
    <w:p>
      <w:pPr>
        <w:pageBreakBefore w:val="0"/>
        <w:kinsoku/>
        <w:overflowPunct/>
        <w:topLinePunct w:val="0"/>
        <w:bidi w:val="0"/>
        <w:spacing w:line="360" w:lineRule="auto"/>
        <w:ind w:left="0" w:leftChars="0" w:right="0" w:rightChars="0" w:firstLine="3640" w:firstLineChars="1300"/>
        <w:textAlignment w:val="auto"/>
        <w:rPr>
          <w:rFonts w:hint="eastAsia" w:ascii="仿宋" w:hAnsi="仿宋" w:eastAsia="仿宋" w:cs="仿宋"/>
          <w:sz w:val="28"/>
          <w:szCs w:val="28"/>
        </w:rPr>
      </w:pPr>
    </w:p>
    <w:p>
      <w:pPr>
        <w:pageBreakBefore w:val="0"/>
        <w:kinsoku/>
        <w:overflowPunct/>
        <w:topLinePunct w:val="0"/>
        <w:bidi w:val="0"/>
        <w:spacing w:line="360" w:lineRule="auto"/>
        <w:ind w:left="0" w:leftChars="0" w:right="0" w:rightChars="0"/>
        <w:jc w:val="right"/>
        <w:textAlignment w:val="auto"/>
        <w:rPr>
          <w:rFonts w:hint="eastAsia" w:ascii="仿宋" w:hAnsi="仿宋" w:eastAsia="仿宋" w:cs="仿宋"/>
          <w:sz w:val="28"/>
          <w:szCs w:val="28"/>
        </w:rPr>
      </w:pPr>
      <w:r>
        <w:rPr>
          <w:rFonts w:hint="eastAsia" w:ascii="仿宋" w:hAnsi="仿宋" w:eastAsia="仿宋" w:cs="仿宋"/>
          <w:sz w:val="28"/>
          <w:szCs w:val="28"/>
        </w:rPr>
        <w:t>______年___月___日</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附：授权代表身份证</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_________</w:t>
      </w:r>
      <w:r>
        <w:rPr>
          <w:rFonts w:hint="eastAsia" w:ascii="仿宋" w:hAnsi="仿宋" w:eastAsia="仿宋" w:cs="仿宋"/>
          <w:bCs/>
          <w:sz w:val="28"/>
          <w:szCs w:val="28"/>
        </w:rPr>
        <w:t>________</w:t>
      </w:r>
      <w:r>
        <w:rPr>
          <w:rFonts w:hint="eastAsia" w:ascii="仿宋" w:hAnsi="仿宋" w:eastAsia="仿宋" w:cs="仿宋"/>
          <w:sz w:val="28"/>
          <w:szCs w:val="28"/>
        </w:rPr>
        <w:t>_______</w:t>
      </w:r>
    </w:p>
    <w:p>
      <w:pPr>
        <w:pageBreakBefore w:val="0"/>
        <w:kinsoku/>
        <w:overflowPunct/>
        <w:topLinePunct w:val="0"/>
        <w:bidi w:val="0"/>
        <w:spacing w:line="360" w:lineRule="auto"/>
        <w:ind w:left="0" w:leftChars="0" w:right="0" w:rightChars="0" w:firstLine="480" w:firstLineChars="200"/>
        <w:textAlignment w:val="auto"/>
        <w:rPr>
          <w:rFonts w:hint="eastAsia" w:ascii="仿宋" w:hAnsi="仿宋" w:eastAsia="仿宋" w:cs="仿宋"/>
          <w:sz w:val="24"/>
        </w:rPr>
      </w:pPr>
    </w:p>
    <w:p>
      <w:pPr>
        <w:pageBreakBefore w:val="0"/>
        <w:kinsoku/>
        <w:overflowPunct/>
        <w:topLinePunct w:val="0"/>
        <w:bidi w:val="0"/>
        <w:spacing w:line="360" w:lineRule="auto"/>
        <w:ind w:left="0" w:leftChars="0" w:right="0" w:rightChars="0"/>
        <w:textAlignment w:val="auto"/>
        <w:rPr>
          <w:rFonts w:hint="eastAsia" w:ascii="仿宋" w:hAnsi="仿宋" w:eastAsia="仿宋" w:cs="仿宋"/>
          <w:b/>
          <w:bCs/>
          <w:sz w:val="24"/>
        </w:rPr>
      </w:pPr>
      <w:r>
        <w:rPr>
          <w:rFonts w:hint="eastAsia" w:ascii="仿宋" w:hAnsi="仿宋" w:eastAsia="仿宋" w:cs="仿宋"/>
          <w:b/>
          <w:bCs/>
          <w:sz w:val="24"/>
        </w:rPr>
        <w:br w:type="page"/>
      </w:r>
    </w:p>
    <w:p>
      <w:pPr>
        <w:pageBreakBefore w:val="0"/>
        <w:kinsoku/>
        <w:overflowPunct/>
        <w:topLinePunct w:val="0"/>
        <w:bidi w:val="0"/>
        <w:spacing w:line="360" w:lineRule="auto"/>
        <w:ind w:left="0" w:leftChars="0" w:right="0" w:rightChars="0"/>
        <w:textAlignment w:val="auto"/>
        <w:outlineLvl w:val="2"/>
        <w:rPr>
          <w:rFonts w:hint="eastAsia" w:ascii="仿宋" w:hAnsi="仿宋" w:eastAsia="仿宋" w:cs="仿宋"/>
          <w:b/>
          <w:bCs/>
          <w:sz w:val="28"/>
          <w:szCs w:val="28"/>
        </w:rPr>
      </w:pPr>
      <w:bookmarkStart w:id="404" w:name="_Toc256000120"/>
      <w:bookmarkStart w:id="405" w:name="_Toc30135"/>
      <w:bookmarkStart w:id="406" w:name="_Toc256000054"/>
      <w:bookmarkStart w:id="407" w:name="_Toc24887"/>
      <w:r>
        <w:rPr>
          <w:rFonts w:hint="eastAsia" w:ascii="仿宋" w:hAnsi="仿宋" w:eastAsia="仿宋" w:cs="仿宋"/>
          <w:b/>
          <w:bCs/>
          <w:sz w:val="28"/>
          <w:szCs w:val="28"/>
        </w:rPr>
        <w:t>二、具有良好的商业信誉和健全的财务会计制度</w:t>
      </w:r>
      <w:bookmarkEnd w:id="404"/>
      <w:bookmarkEnd w:id="405"/>
      <w:bookmarkEnd w:id="406"/>
      <w:bookmarkEnd w:id="407"/>
    </w:p>
    <w:p>
      <w:pPr>
        <w:pStyle w:val="30"/>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562" w:firstLineChars="200"/>
        <w:jc w:val="center"/>
        <w:textAlignment w:val="auto"/>
        <w:outlineLvl w:val="9"/>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（一）具有良好的商业信誉承诺</w:t>
      </w:r>
    </w:p>
    <w:p>
      <w:pPr>
        <w:pStyle w:val="30"/>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560" w:firstLineChars="200"/>
        <w:jc w:val="both"/>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致：融汇项目管理有限公司</w:t>
      </w:r>
    </w:p>
    <w:p>
      <w:pPr>
        <w:pStyle w:val="30"/>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560" w:firstLineChars="200"/>
        <w:jc w:val="both"/>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我单位现参与</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lang w:eastAsia="zh-CN"/>
        </w:rPr>
        <w:t xml:space="preserve"> </w:t>
      </w:r>
      <w:r>
        <w:rPr>
          <w:rFonts w:hint="eastAsia" w:ascii="仿宋" w:hAnsi="仿宋" w:eastAsia="仿宋" w:cs="仿宋"/>
          <w:color w:val="000000"/>
          <w:sz w:val="28"/>
          <w:szCs w:val="28"/>
          <w:highlight w:val="none"/>
          <w:lang w:eastAsia="zh-CN"/>
        </w:rPr>
        <w:t>项目（项目编号：</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lang w:eastAsia="zh-CN"/>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000000"/>
          <w:sz w:val="28"/>
          <w:szCs w:val="28"/>
          <w:highlight w:val="none"/>
          <w:lang w:eastAsia="zh-CN"/>
        </w:rPr>
        <w:t>，并作出如下承诺：</w:t>
      </w:r>
    </w:p>
    <w:p>
      <w:pPr>
        <w:pStyle w:val="30"/>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560" w:firstLineChars="200"/>
        <w:jc w:val="both"/>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我单位</w:t>
      </w:r>
      <w:r>
        <w:rPr>
          <w:rFonts w:hint="eastAsia" w:ascii="仿宋" w:hAnsi="仿宋" w:eastAsia="仿宋" w:cs="仿宋"/>
          <w:color w:val="000000"/>
          <w:sz w:val="28"/>
          <w:szCs w:val="28"/>
          <w:highlight w:val="none"/>
          <w:lang w:val="en-US" w:eastAsia="zh-CN"/>
        </w:rPr>
        <w:t>具有良好的商业信誉</w:t>
      </w:r>
      <w:r>
        <w:rPr>
          <w:rFonts w:hint="eastAsia" w:ascii="仿宋" w:hAnsi="仿宋" w:eastAsia="仿宋" w:cs="仿宋"/>
          <w:color w:val="000000"/>
          <w:sz w:val="28"/>
          <w:szCs w:val="28"/>
          <w:highlight w:val="none"/>
          <w:lang w:eastAsia="zh-CN"/>
        </w:rPr>
        <w:t>。如违反上述承诺，我单位将按照《中华人民共和国政府采购法》、《中华人民共和国政府采购法实施条例》</w:t>
      </w:r>
      <w:r>
        <w:rPr>
          <w:rFonts w:hint="eastAsia" w:ascii="仿宋" w:hAnsi="仿宋" w:eastAsia="仿宋" w:cs="仿宋"/>
          <w:color w:val="000000"/>
          <w:sz w:val="28"/>
          <w:szCs w:val="28"/>
          <w:highlight w:val="none"/>
          <w:lang w:val="zh-CN"/>
        </w:rPr>
        <w:t>（国务院令第</w:t>
      </w:r>
      <w:r>
        <w:rPr>
          <w:rFonts w:hint="eastAsia" w:ascii="仿宋" w:hAnsi="仿宋" w:eastAsia="仿宋" w:cs="仿宋"/>
          <w:color w:val="000000"/>
          <w:sz w:val="28"/>
          <w:szCs w:val="28"/>
          <w:highlight w:val="none"/>
          <w:lang w:val="en-US" w:eastAsia="zh-CN"/>
        </w:rPr>
        <w:t>658号</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lang w:eastAsia="zh-CN"/>
        </w:rPr>
        <w:t>相关规定接受处罚，并通过媒体予以公布。</w:t>
      </w:r>
    </w:p>
    <w:p>
      <w:pPr>
        <w:pStyle w:val="30"/>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560" w:firstLineChars="200"/>
        <w:jc w:val="both"/>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特此承诺。</w:t>
      </w:r>
    </w:p>
    <w:p>
      <w:pPr>
        <w:pStyle w:val="30"/>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560" w:firstLineChars="200"/>
        <w:jc w:val="both"/>
        <w:textAlignment w:val="auto"/>
        <w:outlineLvl w:val="9"/>
        <w:rPr>
          <w:rFonts w:hint="eastAsia" w:ascii="仿宋" w:hAnsi="仿宋" w:eastAsia="仿宋" w:cs="仿宋"/>
          <w:color w:val="000000"/>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left"/>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供应商：（名称和加盖公章）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828" w:firstLineChars="296"/>
        <w:jc w:val="left"/>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highlight w:val="none"/>
        </w:rPr>
        <w:t>日期：XXX</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年XX</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XX日</w:t>
      </w:r>
    </w:p>
    <w:p>
      <w:pPr>
        <w:pStyle w:val="30"/>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562" w:firstLineChars="200"/>
        <w:jc w:val="center"/>
        <w:textAlignment w:val="auto"/>
        <w:outlineLvl w:val="9"/>
        <w:rPr>
          <w:rFonts w:hint="eastAsia" w:ascii="仿宋" w:hAnsi="仿宋" w:eastAsia="仿宋" w:cs="仿宋"/>
          <w:b/>
          <w:bCs/>
          <w:color w:val="000000"/>
          <w:sz w:val="28"/>
          <w:szCs w:val="28"/>
          <w:highlight w:val="none"/>
          <w:lang w:val="en-US" w:eastAsia="zh-CN"/>
        </w:rPr>
      </w:pPr>
    </w:p>
    <w:p>
      <w:pPr>
        <w:pStyle w:val="30"/>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562" w:firstLineChars="200"/>
        <w:jc w:val="center"/>
        <w:textAlignment w:val="auto"/>
        <w:outlineLvl w:val="9"/>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（二）具有健全的财务会计制度</w:t>
      </w:r>
    </w:p>
    <w:p>
      <w:pPr>
        <w:pStyle w:val="30"/>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562" w:firstLineChars="200"/>
        <w:jc w:val="center"/>
        <w:textAlignment w:val="auto"/>
        <w:outlineLvl w:val="9"/>
        <w:rPr>
          <w:rFonts w:hint="eastAsia" w:ascii="仿宋" w:hAnsi="仿宋" w:eastAsia="仿宋" w:cs="仿宋"/>
          <w:b/>
          <w:color w:val="7F7F7F"/>
          <w:sz w:val="28"/>
          <w:szCs w:val="28"/>
          <w:highlight w:val="none"/>
          <w:lang w:val="en-US" w:eastAsia="zh-CN"/>
        </w:rPr>
        <w:sectPr>
          <w:footerReference r:id="rId4" w:type="default"/>
          <w:pgSz w:w="11850" w:h="16783"/>
          <w:pgMar w:top="1134" w:right="1134" w:bottom="1134" w:left="1134" w:header="720" w:footer="720" w:gutter="0"/>
          <w:pgBorders>
            <w:top w:val="none" w:sz="0" w:space="0"/>
            <w:left w:val="none" w:sz="0" w:space="0"/>
            <w:bottom w:val="none" w:sz="0" w:space="0"/>
            <w:right w:val="none" w:sz="0" w:space="0"/>
          </w:pgBorders>
          <w:pgNumType w:fmt="decimal" w:start="1"/>
          <w:cols w:space="720" w:num="1"/>
          <w:rtlGutter w:val="0"/>
          <w:docGrid w:linePitch="312" w:charSpace="0"/>
        </w:sectPr>
      </w:pPr>
      <w:r>
        <w:rPr>
          <w:rFonts w:hint="eastAsia" w:ascii="仿宋" w:hAnsi="仿宋" w:eastAsia="仿宋" w:cs="仿宋"/>
          <w:b/>
          <w:color w:val="7E7E7E"/>
          <w:sz w:val="28"/>
          <w:szCs w:val="28"/>
          <w:highlight w:val="none"/>
          <w:lang w:val="en-US" w:eastAsia="zh-CN"/>
        </w:rPr>
        <w:t>根据第三章要求提供</w:t>
      </w:r>
    </w:p>
    <w:p>
      <w:pPr>
        <w:pageBreakBefore w:val="0"/>
        <w:kinsoku/>
        <w:overflowPunct/>
        <w:topLinePunct w:val="0"/>
        <w:bidi w:val="0"/>
        <w:spacing w:line="360" w:lineRule="auto"/>
        <w:ind w:left="0" w:leftChars="0" w:right="0" w:rightChars="0"/>
        <w:textAlignment w:val="auto"/>
        <w:outlineLvl w:val="2"/>
        <w:rPr>
          <w:rFonts w:hint="eastAsia" w:ascii="仿宋" w:hAnsi="仿宋" w:eastAsia="仿宋" w:cs="仿宋"/>
          <w:b/>
          <w:bCs/>
          <w:sz w:val="28"/>
          <w:szCs w:val="28"/>
        </w:rPr>
      </w:pPr>
      <w:bookmarkStart w:id="408" w:name="_Toc256000055"/>
      <w:bookmarkStart w:id="409" w:name="_Toc256000121"/>
      <w:bookmarkStart w:id="410" w:name="_Toc21201"/>
      <w:bookmarkStart w:id="411" w:name="_Toc12567"/>
      <w:r>
        <w:rPr>
          <w:rFonts w:hint="eastAsia" w:ascii="仿宋" w:hAnsi="仿宋" w:eastAsia="仿宋" w:cs="仿宋"/>
          <w:b/>
          <w:bCs/>
          <w:sz w:val="28"/>
          <w:szCs w:val="28"/>
        </w:rPr>
        <w:t>三、具有履行合同所必需的设备和专业技术能力</w:t>
      </w:r>
      <w:bookmarkEnd w:id="408"/>
      <w:bookmarkEnd w:id="409"/>
      <w:bookmarkEnd w:id="410"/>
      <w:bookmarkEnd w:id="411"/>
    </w:p>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color w:val="7E7E7E"/>
          <w:sz w:val="28"/>
          <w:szCs w:val="28"/>
          <w:highlight w:val="none"/>
          <w:lang w:val="en-US" w:eastAsia="zh-CN"/>
        </w:rPr>
      </w:pPr>
      <w:r>
        <w:rPr>
          <w:rFonts w:hint="eastAsia" w:ascii="仿宋" w:hAnsi="仿宋" w:eastAsia="仿宋" w:cs="仿宋"/>
          <w:b/>
          <w:color w:val="7E7E7E"/>
          <w:sz w:val="28"/>
          <w:szCs w:val="28"/>
          <w:highlight w:val="none"/>
          <w:lang w:val="en-US" w:eastAsia="zh-CN"/>
        </w:rPr>
        <w:t>根据第三章要求提供</w:t>
      </w:r>
    </w:p>
    <w:p>
      <w:pPr>
        <w:pageBreakBefore w:val="0"/>
        <w:kinsoku/>
        <w:overflowPunct/>
        <w:topLinePunct w:val="0"/>
        <w:bidi w:val="0"/>
        <w:spacing w:line="360" w:lineRule="auto"/>
        <w:ind w:left="0" w:leftChars="0" w:right="0" w:rightChars="0"/>
        <w:textAlignment w:val="auto"/>
        <w:rPr>
          <w:rFonts w:hint="eastAsia" w:ascii="仿宋" w:hAnsi="仿宋" w:eastAsia="仿宋" w:cs="仿宋"/>
          <w:b/>
          <w:bCs/>
          <w:sz w:val="28"/>
          <w:szCs w:val="28"/>
        </w:rPr>
      </w:pPr>
      <w:r>
        <w:rPr>
          <w:rFonts w:hint="eastAsia" w:ascii="仿宋" w:hAnsi="仿宋" w:eastAsia="仿宋" w:cs="仿宋"/>
          <w:b/>
          <w:bCs/>
          <w:sz w:val="28"/>
          <w:szCs w:val="28"/>
        </w:rPr>
        <w:br w:type="page"/>
      </w:r>
    </w:p>
    <w:p>
      <w:pPr>
        <w:pageBreakBefore w:val="0"/>
        <w:kinsoku/>
        <w:overflowPunct/>
        <w:topLinePunct w:val="0"/>
        <w:bidi w:val="0"/>
        <w:spacing w:line="360" w:lineRule="auto"/>
        <w:ind w:left="0" w:leftChars="0" w:right="0" w:rightChars="0"/>
        <w:textAlignment w:val="auto"/>
        <w:outlineLvl w:val="2"/>
        <w:rPr>
          <w:rFonts w:hint="eastAsia" w:ascii="仿宋" w:hAnsi="仿宋" w:eastAsia="仿宋" w:cs="仿宋"/>
          <w:b/>
          <w:bCs/>
          <w:sz w:val="28"/>
          <w:szCs w:val="28"/>
        </w:rPr>
      </w:pPr>
      <w:bookmarkStart w:id="412" w:name="_Toc256000056"/>
      <w:bookmarkStart w:id="413" w:name="_Toc5108"/>
      <w:bookmarkStart w:id="414" w:name="_Toc256000122"/>
      <w:bookmarkStart w:id="415" w:name="_Toc2622"/>
      <w:r>
        <w:rPr>
          <w:rFonts w:hint="eastAsia" w:ascii="仿宋" w:hAnsi="仿宋" w:eastAsia="仿宋" w:cs="仿宋"/>
          <w:b/>
          <w:bCs/>
          <w:sz w:val="28"/>
          <w:szCs w:val="28"/>
        </w:rPr>
        <w:t>四、有依法缴纳税收和社会保障资金的良好记录</w:t>
      </w:r>
      <w:bookmarkEnd w:id="412"/>
      <w:bookmarkEnd w:id="413"/>
      <w:bookmarkEnd w:id="414"/>
      <w:bookmarkEnd w:id="415"/>
    </w:p>
    <w:p>
      <w:pPr>
        <w:keepNext w:val="0"/>
        <w:keepLines w:val="0"/>
        <w:pageBreakBefore w:val="0"/>
        <w:widowControl/>
        <w:suppressLineNumbers w:val="0"/>
        <w:kinsoku/>
        <w:wordWrap/>
        <w:overflowPunct/>
        <w:topLinePunct w:val="0"/>
        <w:bidi w:val="0"/>
        <w:spacing w:line="360" w:lineRule="auto"/>
        <w:ind w:left="0" w:leftChars="0" w:right="0" w:rightChars="0"/>
        <w:jc w:val="center"/>
        <w:textAlignment w:val="auto"/>
        <w:rPr>
          <w:rFonts w:hint="eastAsia" w:ascii="仿宋" w:hAnsi="仿宋" w:eastAsia="仿宋" w:cs="仿宋"/>
          <w:b/>
          <w:bCs/>
          <w:kern w:val="0"/>
          <w:sz w:val="28"/>
          <w:szCs w:val="28"/>
          <w:highlight w:val="none"/>
          <w:lang w:val="en-US" w:eastAsia="zh-CN" w:bidi="ar"/>
        </w:rPr>
      </w:pPr>
      <w:r>
        <w:rPr>
          <w:rFonts w:hint="eastAsia" w:ascii="仿宋" w:hAnsi="仿宋" w:eastAsia="仿宋" w:cs="仿宋"/>
          <w:b/>
          <w:bCs/>
          <w:kern w:val="0"/>
          <w:sz w:val="28"/>
          <w:szCs w:val="28"/>
          <w:highlight w:val="none"/>
          <w:lang w:val="en-US" w:eastAsia="zh-CN" w:bidi="ar"/>
        </w:rPr>
        <w:t>依法缴纳税收和社会保障资金的承诺函</w:t>
      </w:r>
    </w:p>
    <w:p>
      <w:pPr>
        <w:keepNext w:val="0"/>
        <w:keepLines w:val="0"/>
        <w:pageBreakBefore w:val="0"/>
        <w:widowControl/>
        <w:suppressLineNumbers w:val="0"/>
        <w:kinsoku/>
        <w:wordWrap/>
        <w:overflowPunct/>
        <w:topLinePunct w:val="0"/>
        <w:bidi w:val="0"/>
        <w:spacing w:line="360" w:lineRule="auto"/>
        <w:ind w:left="0" w:leftChars="0" w:right="0" w:rightChars="0"/>
        <w:jc w:val="center"/>
        <w:textAlignment w:val="auto"/>
        <w:rPr>
          <w:rFonts w:hint="eastAsia" w:ascii="仿宋" w:hAnsi="仿宋" w:eastAsia="仿宋" w:cs="仿宋"/>
          <w:b/>
          <w:bCs/>
          <w:kern w:val="0"/>
          <w:sz w:val="28"/>
          <w:szCs w:val="28"/>
          <w:highlight w:val="none"/>
          <w:lang w:val="en-US" w:eastAsia="zh-CN" w:bidi="ar"/>
        </w:rPr>
      </w:pPr>
    </w:p>
    <w:p>
      <w:pPr>
        <w:pStyle w:val="30"/>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u w:val="none"/>
        </w:rPr>
        <w:t xml:space="preserve"> </w:t>
      </w:r>
      <w:r>
        <w:rPr>
          <w:rFonts w:hint="eastAsia" w:ascii="仿宋" w:hAnsi="仿宋" w:eastAsia="仿宋" w:cs="仿宋"/>
          <w:sz w:val="28"/>
          <w:szCs w:val="28"/>
          <w:highlight w:val="none"/>
          <w:u w:val="none"/>
          <w:lang w:eastAsia="zh-CN"/>
        </w:rPr>
        <w:t>融汇项目管理有限公司</w:t>
      </w:r>
      <w:r>
        <w:rPr>
          <w:rFonts w:hint="eastAsia" w:ascii="仿宋" w:hAnsi="仿宋" w:eastAsia="仿宋" w:cs="仿宋"/>
          <w:sz w:val="28"/>
          <w:szCs w:val="28"/>
          <w:highlight w:val="none"/>
          <w:u w:val="none"/>
        </w:rPr>
        <w:t xml:space="preserve">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我</w:t>
      </w:r>
      <w:r>
        <w:rPr>
          <w:rFonts w:hint="eastAsia" w:ascii="仿宋" w:hAnsi="仿宋" w:eastAsia="仿宋" w:cs="仿宋"/>
          <w:sz w:val="28"/>
          <w:szCs w:val="28"/>
          <w:highlight w:val="none"/>
          <w:lang w:eastAsia="zh-CN"/>
        </w:rPr>
        <w:t>单位</w:t>
      </w:r>
      <w:r>
        <w:rPr>
          <w:rFonts w:hint="eastAsia" w:ascii="仿宋" w:hAnsi="仿宋" w:eastAsia="仿宋" w:cs="仿宋"/>
          <w:sz w:val="28"/>
          <w:szCs w:val="28"/>
          <w:highlight w:val="none"/>
        </w:rPr>
        <w:t>现参与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 xml:space="preserve"> 项目（</w:t>
      </w:r>
      <w:r>
        <w:rPr>
          <w:rFonts w:hint="eastAsia" w:ascii="仿宋" w:hAnsi="仿宋" w:eastAsia="仿宋" w:cs="仿宋"/>
          <w:sz w:val="28"/>
          <w:szCs w:val="28"/>
          <w:highlight w:val="none"/>
          <w:lang w:eastAsia="zh-CN"/>
        </w:rPr>
        <w:t>项目编号</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rPr>
        <w:t>，并作出如下承诺：</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我单位依法缴纳税收和员工社会保险，</w:t>
      </w:r>
      <w:r>
        <w:rPr>
          <w:rFonts w:hint="eastAsia" w:ascii="仿宋" w:hAnsi="仿宋" w:eastAsia="仿宋" w:cs="仿宋"/>
          <w:sz w:val="28"/>
          <w:szCs w:val="28"/>
          <w:highlight w:val="none"/>
          <w:lang w:eastAsia="zh-CN"/>
        </w:rPr>
        <w:t>具有良好记录</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随时接受</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的检查验证。如违反上述承诺，我单位将按照</w:t>
      </w:r>
      <w:r>
        <w:rPr>
          <w:rFonts w:hint="eastAsia" w:ascii="仿宋" w:hAnsi="仿宋" w:eastAsia="仿宋" w:cs="仿宋"/>
          <w:color w:val="000000"/>
          <w:sz w:val="28"/>
          <w:szCs w:val="28"/>
          <w:highlight w:val="none"/>
        </w:rPr>
        <w:t>《中华人民共和国政府采购法》</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《中华人民共和国政府采购法</w:t>
      </w:r>
      <w:r>
        <w:rPr>
          <w:rFonts w:hint="eastAsia" w:ascii="仿宋" w:hAnsi="仿宋" w:eastAsia="仿宋" w:cs="仿宋"/>
          <w:color w:val="000000"/>
          <w:sz w:val="28"/>
          <w:szCs w:val="28"/>
          <w:highlight w:val="none"/>
          <w:lang w:eastAsia="zh-CN"/>
        </w:rPr>
        <w:t>实施条例</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zh-CN"/>
        </w:rPr>
        <w:t>（国务院令第</w:t>
      </w:r>
      <w:r>
        <w:rPr>
          <w:rFonts w:hint="eastAsia" w:ascii="仿宋" w:hAnsi="仿宋" w:eastAsia="仿宋" w:cs="仿宋"/>
          <w:color w:val="000000"/>
          <w:sz w:val="28"/>
          <w:szCs w:val="28"/>
          <w:highlight w:val="none"/>
          <w:lang w:val="en-US" w:eastAsia="zh-CN"/>
        </w:rPr>
        <w:t>658号</w:t>
      </w:r>
      <w:r>
        <w:rPr>
          <w:rFonts w:hint="eastAsia" w:ascii="仿宋" w:hAnsi="仿宋" w:eastAsia="仿宋" w:cs="仿宋"/>
          <w:color w:val="000000"/>
          <w:sz w:val="28"/>
          <w:szCs w:val="28"/>
          <w:highlight w:val="none"/>
          <w:lang w:val="zh-CN"/>
        </w:rPr>
        <w:t>）</w:t>
      </w:r>
      <w:r>
        <w:rPr>
          <w:rFonts w:hint="eastAsia" w:ascii="仿宋" w:hAnsi="仿宋" w:eastAsia="仿宋" w:cs="仿宋"/>
          <w:sz w:val="28"/>
          <w:szCs w:val="28"/>
          <w:highlight w:val="none"/>
        </w:rPr>
        <w:t>相关规定接受处罚，并通过媒体予以公布。</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left"/>
        <w:textAlignment w:val="auto"/>
        <w:outlineLvl w:val="9"/>
        <w:rPr>
          <w:rFonts w:hint="eastAsia" w:ascii="仿宋" w:hAnsi="仿宋" w:eastAsia="仿宋" w:cs="仿宋"/>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left"/>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供应商：（名称和加盖公章）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828" w:firstLineChars="296"/>
        <w:jc w:val="left"/>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highlight w:val="none"/>
        </w:rPr>
        <w:t>日期：XXX</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年XX</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XX日</w:t>
      </w:r>
    </w:p>
    <w:p>
      <w:pPr>
        <w:pageBreakBefore w:val="0"/>
        <w:kinsoku/>
        <w:overflowPunct/>
        <w:topLinePunct w:val="0"/>
        <w:bidi w:val="0"/>
        <w:spacing w:line="360" w:lineRule="auto"/>
        <w:ind w:left="0" w:leftChars="0" w:right="0" w:rightChars="0"/>
        <w:textAlignment w:val="auto"/>
        <w:rPr>
          <w:rFonts w:hint="eastAsia" w:ascii="仿宋" w:hAnsi="仿宋" w:eastAsia="仿宋" w:cs="仿宋"/>
          <w:b/>
          <w:bCs/>
          <w:sz w:val="28"/>
          <w:szCs w:val="28"/>
        </w:rPr>
      </w:pPr>
      <w:r>
        <w:rPr>
          <w:rFonts w:hint="eastAsia" w:ascii="仿宋" w:hAnsi="仿宋" w:eastAsia="仿宋" w:cs="仿宋"/>
          <w:b/>
          <w:bCs/>
          <w:sz w:val="28"/>
          <w:szCs w:val="28"/>
        </w:rPr>
        <w:br w:type="page"/>
      </w:r>
    </w:p>
    <w:p>
      <w:pPr>
        <w:pageBreakBefore w:val="0"/>
        <w:kinsoku/>
        <w:overflowPunct/>
        <w:topLinePunct w:val="0"/>
        <w:bidi w:val="0"/>
        <w:spacing w:line="360" w:lineRule="auto"/>
        <w:ind w:left="0" w:leftChars="0" w:right="0" w:rightChars="0"/>
        <w:textAlignment w:val="auto"/>
        <w:outlineLvl w:val="2"/>
        <w:rPr>
          <w:rFonts w:hint="eastAsia" w:ascii="仿宋" w:hAnsi="仿宋" w:eastAsia="仿宋" w:cs="仿宋"/>
          <w:b/>
          <w:bCs/>
          <w:sz w:val="28"/>
          <w:szCs w:val="28"/>
        </w:rPr>
      </w:pPr>
      <w:bookmarkStart w:id="416" w:name="_Toc256000123"/>
      <w:bookmarkStart w:id="417" w:name="_Toc3179"/>
      <w:bookmarkStart w:id="418" w:name="_Toc256000057"/>
      <w:bookmarkStart w:id="419" w:name="_Toc23523"/>
      <w:r>
        <w:rPr>
          <w:rFonts w:hint="eastAsia" w:ascii="仿宋" w:hAnsi="仿宋" w:eastAsia="仿宋" w:cs="仿宋"/>
          <w:b/>
          <w:bCs/>
          <w:sz w:val="28"/>
          <w:szCs w:val="28"/>
        </w:rPr>
        <w:t>五、参加本次政府采购活动前3年内，在经营活动中没有重大违法记录</w:t>
      </w:r>
      <w:bookmarkEnd w:id="416"/>
      <w:bookmarkEnd w:id="417"/>
      <w:bookmarkEnd w:id="418"/>
      <w:bookmarkEnd w:id="419"/>
    </w:p>
    <w:p>
      <w:pPr>
        <w:keepNext w:val="0"/>
        <w:keepLines w:val="0"/>
        <w:pageBreakBefore w:val="0"/>
        <w:widowControl/>
        <w:suppressLineNumbers w:val="0"/>
        <w:kinsoku/>
        <w:overflowPunct/>
        <w:topLinePunct w:val="0"/>
        <w:bidi w:val="0"/>
        <w:spacing w:line="360" w:lineRule="auto"/>
        <w:ind w:left="0" w:leftChars="0" w:right="0" w:rightChars="0"/>
        <w:jc w:val="center"/>
        <w:textAlignment w:val="auto"/>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无</w:t>
      </w:r>
      <w:r>
        <w:rPr>
          <w:rFonts w:hint="eastAsia" w:ascii="仿宋" w:hAnsi="仿宋" w:eastAsia="仿宋" w:cs="仿宋"/>
          <w:b/>
          <w:sz w:val="28"/>
          <w:szCs w:val="28"/>
          <w:highlight w:val="none"/>
          <w:lang w:val="en-US" w:eastAsia="zh-CN"/>
        </w:rPr>
        <w:t>重大违法记录</w:t>
      </w:r>
      <w:r>
        <w:rPr>
          <w:rFonts w:hint="eastAsia" w:ascii="仿宋" w:hAnsi="仿宋" w:eastAsia="仿宋" w:cs="仿宋"/>
          <w:b/>
          <w:bCs/>
          <w:color w:val="auto"/>
          <w:kern w:val="0"/>
          <w:sz w:val="28"/>
          <w:szCs w:val="28"/>
          <w:highlight w:val="none"/>
          <w:lang w:val="en-US" w:eastAsia="zh-CN" w:bidi="ar"/>
        </w:rPr>
        <w:t>承诺函</w:t>
      </w:r>
    </w:p>
    <w:p>
      <w:pPr>
        <w:pStyle w:val="30"/>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both"/>
        <w:textAlignment w:val="auto"/>
        <w:outlineLvl w:val="9"/>
        <w:rPr>
          <w:rFonts w:hint="eastAsia" w:ascii="仿宋" w:hAnsi="仿宋" w:eastAsia="仿宋" w:cs="仿宋"/>
          <w:color w:val="auto"/>
          <w:sz w:val="28"/>
          <w:szCs w:val="28"/>
          <w:highlight w:val="none"/>
        </w:rPr>
      </w:pPr>
    </w:p>
    <w:p>
      <w:pPr>
        <w:pStyle w:val="30"/>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u w:val="none"/>
          <w:lang w:eastAsia="zh-CN"/>
        </w:rPr>
        <w:t>融汇项目管理有限公司</w:t>
      </w:r>
      <w:r>
        <w:rPr>
          <w:rFonts w:hint="eastAsia" w:ascii="仿宋" w:hAnsi="仿宋" w:eastAsia="仿宋" w:cs="仿宋"/>
          <w:color w:val="auto"/>
          <w:sz w:val="28"/>
          <w:szCs w:val="28"/>
          <w:highlight w:val="none"/>
          <w:u w:val="none"/>
        </w:rPr>
        <w:t xml:space="preserve">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w:t>
      </w:r>
      <w:r>
        <w:rPr>
          <w:rFonts w:hint="eastAsia" w:ascii="仿宋" w:hAnsi="仿宋" w:eastAsia="仿宋" w:cs="仿宋"/>
          <w:color w:val="auto"/>
          <w:sz w:val="28"/>
          <w:szCs w:val="28"/>
          <w:highlight w:val="none"/>
          <w:lang w:eastAsia="zh-CN"/>
        </w:rPr>
        <w:t>单位</w:t>
      </w:r>
      <w:r>
        <w:rPr>
          <w:rFonts w:hint="eastAsia" w:ascii="仿宋" w:hAnsi="仿宋" w:eastAsia="仿宋" w:cs="仿宋"/>
          <w:color w:val="auto"/>
          <w:sz w:val="28"/>
          <w:szCs w:val="28"/>
          <w:highlight w:val="none"/>
        </w:rPr>
        <w:t>现参与</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 xml:space="preserve"> 项目（</w:t>
      </w:r>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rPr>
        <w:t>编号：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，并作出如下承诺：</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我</w:t>
      </w:r>
      <w:r>
        <w:rPr>
          <w:rFonts w:hint="eastAsia" w:ascii="仿宋" w:hAnsi="仿宋" w:eastAsia="仿宋" w:cs="仿宋"/>
          <w:color w:val="000000"/>
          <w:sz w:val="28"/>
          <w:szCs w:val="28"/>
          <w:highlight w:val="none"/>
        </w:rPr>
        <w:t>单位</w:t>
      </w:r>
      <w:r>
        <w:rPr>
          <w:rFonts w:hint="eastAsia" w:ascii="仿宋" w:hAnsi="仿宋" w:eastAsia="仿宋" w:cs="仿宋"/>
          <w:color w:val="000000"/>
          <w:sz w:val="28"/>
          <w:szCs w:val="28"/>
          <w:highlight w:val="none"/>
          <w:lang w:eastAsia="zh-CN"/>
        </w:rPr>
        <w:t>在参</w:t>
      </w:r>
      <w:r>
        <w:rPr>
          <w:rFonts w:hint="eastAsia" w:ascii="仿宋" w:hAnsi="仿宋" w:eastAsia="仿宋" w:cs="仿宋"/>
          <w:color w:val="000000"/>
          <w:sz w:val="28"/>
          <w:szCs w:val="28"/>
          <w:highlight w:val="none"/>
          <w:lang w:val="en-US" w:eastAsia="zh-CN"/>
        </w:rPr>
        <w:t>加本次政府采购活动前三年内，在经营活动中没有重大违法记录</w:t>
      </w:r>
      <w:r>
        <w:rPr>
          <w:rFonts w:hint="eastAsia" w:ascii="仿宋" w:hAnsi="仿宋" w:eastAsia="仿宋" w:cs="仿宋"/>
          <w:color w:val="000000"/>
          <w:sz w:val="28"/>
          <w:szCs w:val="28"/>
          <w:highlight w:val="none"/>
          <w:lang w:eastAsia="zh-CN"/>
        </w:rPr>
        <w:t>，</w:t>
      </w:r>
      <w:r>
        <w:rPr>
          <w:rFonts w:hint="eastAsia" w:ascii="仿宋" w:hAnsi="仿宋" w:eastAsia="仿宋" w:cs="仿宋"/>
          <w:color w:val="auto"/>
          <w:sz w:val="28"/>
          <w:szCs w:val="28"/>
          <w:highlight w:val="none"/>
        </w:rPr>
        <w:t>如违反上述承诺，我单位将按照《中华人民共和国政府采购法》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《中华人民共和国政府采购法</w:t>
      </w:r>
      <w:r>
        <w:rPr>
          <w:rFonts w:hint="eastAsia" w:ascii="仿宋" w:hAnsi="仿宋" w:eastAsia="仿宋" w:cs="仿宋"/>
          <w:color w:val="auto"/>
          <w:sz w:val="28"/>
          <w:szCs w:val="28"/>
          <w:highlight w:val="none"/>
          <w:lang w:eastAsia="zh-CN"/>
        </w:rPr>
        <w:t>实施条例</w:t>
      </w:r>
      <w:r>
        <w:rPr>
          <w:rFonts w:hint="eastAsia" w:ascii="仿宋" w:hAnsi="仿宋" w:eastAsia="仿宋" w:cs="仿宋"/>
          <w:color w:val="auto"/>
          <w:sz w:val="28"/>
          <w:szCs w:val="28"/>
          <w:highlight w:val="none"/>
        </w:rPr>
        <w:t>》</w:t>
      </w:r>
      <w:r>
        <w:rPr>
          <w:rFonts w:hint="eastAsia" w:ascii="仿宋" w:hAnsi="仿宋" w:eastAsia="仿宋" w:cs="仿宋"/>
          <w:color w:val="000000"/>
          <w:sz w:val="28"/>
          <w:szCs w:val="28"/>
          <w:highlight w:val="none"/>
          <w:lang w:val="zh-CN"/>
        </w:rPr>
        <w:t>（国务院令第</w:t>
      </w:r>
      <w:r>
        <w:rPr>
          <w:rFonts w:hint="eastAsia" w:ascii="仿宋" w:hAnsi="仿宋" w:eastAsia="仿宋" w:cs="仿宋"/>
          <w:color w:val="000000"/>
          <w:sz w:val="28"/>
          <w:szCs w:val="28"/>
          <w:highlight w:val="none"/>
          <w:lang w:val="en-US" w:eastAsia="zh-CN"/>
        </w:rPr>
        <w:t>658号</w:t>
      </w:r>
      <w:r>
        <w:rPr>
          <w:rFonts w:hint="eastAsia" w:ascii="仿宋" w:hAnsi="仿宋" w:eastAsia="仿宋" w:cs="仿宋"/>
          <w:color w:val="000000"/>
          <w:sz w:val="28"/>
          <w:szCs w:val="28"/>
          <w:highlight w:val="none"/>
          <w:lang w:val="zh-CN"/>
        </w:rPr>
        <w:t>）</w:t>
      </w:r>
      <w:r>
        <w:rPr>
          <w:rFonts w:hint="eastAsia" w:ascii="仿宋" w:hAnsi="仿宋" w:eastAsia="仿宋" w:cs="仿宋"/>
          <w:color w:val="auto"/>
          <w:sz w:val="28"/>
          <w:szCs w:val="28"/>
          <w:highlight w:val="none"/>
        </w:rPr>
        <w:t>相关规定接受处罚，并通过媒体予以公布。</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特此承诺。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left"/>
        <w:textAlignment w:val="auto"/>
        <w:outlineLvl w:val="9"/>
        <w:rPr>
          <w:rFonts w:hint="eastAsia" w:ascii="仿宋" w:hAnsi="仿宋" w:eastAsia="仿宋" w:cs="仿宋"/>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left"/>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供应商：（名称和加盖公章）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828" w:firstLineChars="296"/>
        <w:jc w:val="left"/>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highlight w:val="none"/>
        </w:rPr>
        <w:t>日期：XXX</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年XX</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XX日</w:t>
      </w:r>
    </w:p>
    <w:p>
      <w:pPr>
        <w:pageBreakBefore w:val="0"/>
        <w:kinsoku/>
        <w:overflowPunct/>
        <w:topLinePunct w:val="0"/>
        <w:bidi w:val="0"/>
        <w:spacing w:line="360" w:lineRule="auto"/>
        <w:ind w:left="0" w:leftChars="0" w:right="0" w:rightChars="0"/>
        <w:textAlignment w:val="auto"/>
        <w:rPr>
          <w:rFonts w:hint="eastAsia" w:ascii="仿宋" w:hAnsi="仿宋" w:eastAsia="仿宋" w:cs="仿宋"/>
          <w:b/>
          <w:bCs/>
          <w:sz w:val="28"/>
          <w:szCs w:val="28"/>
        </w:rPr>
      </w:pPr>
      <w:r>
        <w:rPr>
          <w:rFonts w:hint="eastAsia" w:ascii="仿宋" w:hAnsi="仿宋" w:eastAsia="仿宋" w:cs="仿宋"/>
          <w:b/>
          <w:bCs/>
          <w:sz w:val="28"/>
          <w:szCs w:val="28"/>
        </w:rPr>
        <w:br w:type="page"/>
      </w:r>
    </w:p>
    <w:p>
      <w:pPr>
        <w:pageBreakBefore w:val="0"/>
        <w:kinsoku/>
        <w:overflowPunct/>
        <w:topLinePunct w:val="0"/>
        <w:bidi w:val="0"/>
        <w:spacing w:line="360" w:lineRule="auto"/>
        <w:ind w:left="0" w:leftChars="0" w:right="0" w:rightChars="0"/>
        <w:textAlignment w:val="auto"/>
        <w:outlineLvl w:val="2"/>
        <w:rPr>
          <w:rFonts w:hint="eastAsia" w:ascii="仿宋" w:hAnsi="仿宋" w:eastAsia="仿宋" w:cs="仿宋"/>
          <w:b/>
          <w:bCs/>
          <w:sz w:val="28"/>
          <w:szCs w:val="28"/>
        </w:rPr>
      </w:pPr>
      <w:bookmarkStart w:id="420" w:name="_Toc256000124"/>
      <w:bookmarkStart w:id="421" w:name="_Toc256000058"/>
      <w:bookmarkStart w:id="422" w:name="_Toc24530"/>
      <w:bookmarkStart w:id="423" w:name="_Toc26965"/>
      <w:r>
        <w:rPr>
          <w:rFonts w:hint="eastAsia" w:ascii="仿宋" w:hAnsi="仿宋" w:eastAsia="仿宋" w:cs="仿宋"/>
          <w:b/>
          <w:bCs/>
          <w:sz w:val="28"/>
          <w:szCs w:val="28"/>
        </w:rPr>
        <w:t>六、法律、行政法规规定的其他条件</w:t>
      </w:r>
      <w:bookmarkEnd w:id="420"/>
      <w:bookmarkEnd w:id="421"/>
      <w:bookmarkEnd w:id="422"/>
      <w:bookmarkEnd w:id="423"/>
    </w:p>
    <w:p>
      <w:pPr>
        <w:pStyle w:val="30"/>
        <w:keepNext w:val="0"/>
        <w:keepLines w:val="0"/>
        <w:pageBreakBefore w:val="0"/>
        <w:kinsoku/>
        <w:wordWrap/>
        <w:overflowPunct/>
        <w:topLinePunct w:val="0"/>
        <w:autoSpaceDE/>
        <w:autoSpaceDN/>
        <w:bidi w:val="0"/>
        <w:adjustRightInd/>
        <w:snapToGrid/>
        <w:spacing w:beforeLines="0" w:afterLines="0" w:line="360" w:lineRule="auto"/>
        <w:ind w:left="0" w:leftChars="0" w:right="0" w:rightChars="0" w:firstLine="562" w:firstLineChars="200"/>
        <w:jc w:val="center"/>
        <w:textAlignment w:val="auto"/>
        <w:outlineLvl w:val="9"/>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eastAsia="zh-CN"/>
        </w:rPr>
        <w:t>承诺函</w:t>
      </w:r>
    </w:p>
    <w:p>
      <w:pPr>
        <w:pStyle w:val="30"/>
        <w:keepNext w:val="0"/>
        <w:keepLines w:val="0"/>
        <w:pageBreakBefore w:val="0"/>
        <w:kinsoku/>
        <w:wordWrap/>
        <w:overflowPunct/>
        <w:topLinePunct w:val="0"/>
        <w:autoSpaceDE/>
        <w:autoSpaceDN/>
        <w:bidi w:val="0"/>
        <w:adjustRightInd/>
        <w:snapToGrid/>
        <w:spacing w:beforeLines="0" w:afterLines="0" w:line="360" w:lineRule="auto"/>
        <w:ind w:left="0" w:leftChars="0" w:right="0" w:rightChars="0" w:firstLine="560" w:firstLineChars="200"/>
        <w:textAlignment w:val="auto"/>
        <w:outlineLvl w:val="9"/>
        <w:rPr>
          <w:rFonts w:hint="eastAsia" w:ascii="仿宋" w:hAnsi="仿宋" w:eastAsia="仿宋" w:cs="仿宋"/>
          <w:sz w:val="28"/>
          <w:szCs w:val="28"/>
          <w:highlight w:val="none"/>
          <w:u w:val="none"/>
          <w:lang w:eastAsia="zh-CN"/>
        </w:rPr>
      </w:pPr>
      <w:r>
        <w:rPr>
          <w:rFonts w:hint="eastAsia" w:ascii="仿宋" w:hAnsi="仿宋" w:eastAsia="仿宋" w:cs="仿宋"/>
          <w:sz w:val="28"/>
          <w:szCs w:val="28"/>
          <w:highlight w:val="none"/>
          <w:u w:val="none"/>
          <w:lang w:eastAsia="zh-CN"/>
        </w:rPr>
        <w:t>融汇项目管理有限公司：</w:t>
      </w:r>
    </w:p>
    <w:p>
      <w:pPr>
        <w:pStyle w:val="30"/>
        <w:keepNext w:val="0"/>
        <w:keepLines w:val="0"/>
        <w:pageBreakBefore w:val="0"/>
        <w:kinsoku/>
        <w:wordWrap/>
        <w:overflowPunct/>
        <w:topLinePunct w:val="0"/>
        <w:autoSpaceDE/>
        <w:autoSpaceDN/>
        <w:bidi w:val="0"/>
        <w:adjustRightInd/>
        <w:snapToGrid/>
        <w:spacing w:beforeLines="0" w:afterLines="0" w:line="360" w:lineRule="auto"/>
        <w:ind w:left="0" w:leftChars="0" w:right="0" w:rightChars="0" w:firstLine="560" w:firstLineChars="200"/>
        <w:textAlignment w:val="auto"/>
        <w:outlineLvl w:val="9"/>
        <w:rPr>
          <w:rFonts w:hint="eastAsia" w:ascii="仿宋" w:hAnsi="仿宋" w:eastAsia="仿宋" w:cs="仿宋"/>
          <w:sz w:val="28"/>
          <w:szCs w:val="28"/>
          <w:highlight w:val="none"/>
          <w:lang w:eastAsia="zh-CN"/>
        </w:rPr>
      </w:pPr>
    </w:p>
    <w:p>
      <w:pPr>
        <w:pStyle w:val="30"/>
        <w:keepNext w:val="0"/>
        <w:keepLines w:val="0"/>
        <w:pageBreakBefore w:val="0"/>
        <w:kinsoku/>
        <w:wordWrap/>
        <w:overflowPunct/>
        <w:topLinePunct w:val="0"/>
        <w:autoSpaceDE/>
        <w:autoSpaceDN/>
        <w:bidi w:val="0"/>
        <w:adjustRightInd/>
        <w:snapToGrid/>
        <w:spacing w:beforeLines="0" w:afterLines="0" w:line="360" w:lineRule="auto"/>
        <w:ind w:left="0" w:leftChars="0" w:right="0" w:rightChars="0"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none"/>
          <w:lang w:val="en-US" w:eastAsia="zh-CN"/>
        </w:rPr>
        <w:t>（供应商名称）</w:t>
      </w:r>
      <w:r>
        <w:rPr>
          <w:rFonts w:hint="eastAsia" w:ascii="仿宋" w:hAnsi="仿宋" w:eastAsia="仿宋" w:cs="仿宋"/>
          <w:sz w:val="28"/>
          <w:szCs w:val="28"/>
          <w:highlight w:val="none"/>
        </w:rPr>
        <w:t>作为参加本次</w:t>
      </w:r>
      <w:r>
        <w:rPr>
          <w:rFonts w:hint="eastAsia" w:ascii="仿宋" w:hAnsi="仿宋" w:eastAsia="仿宋" w:cs="仿宋"/>
          <w:sz w:val="28"/>
          <w:szCs w:val="28"/>
          <w:highlight w:val="none"/>
          <w:lang w:eastAsia="zh-CN"/>
        </w:rPr>
        <w:t>磋商</w:t>
      </w:r>
      <w:r>
        <w:rPr>
          <w:rFonts w:hint="eastAsia" w:ascii="仿宋" w:hAnsi="仿宋" w:eastAsia="仿宋" w:cs="仿宋"/>
          <w:sz w:val="28"/>
          <w:szCs w:val="28"/>
          <w:highlight w:val="none"/>
        </w:rPr>
        <w:t>采购活动（</w:t>
      </w:r>
      <w:r>
        <w:rPr>
          <w:rFonts w:hint="eastAsia" w:ascii="仿宋" w:hAnsi="仿宋" w:eastAsia="仿宋" w:cs="仿宋"/>
          <w:sz w:val="28"/>
          <w:szCs w:val="28"/>
          <w:highlight w:val="none"/>
          <w:lang w:eastAsia="zh-CN"/>
        </w:rPr>
        <w:t>项目编号</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，现郑重承诺：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具备《中华人民共和国政府采购法》第二十二条第一款和本项目规定的条件：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（一）具有独立承担民事责任的能力；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　　（二）具有良好的商业信誉和健全的财务会计制度；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　　（三）具有履行合同所必需的设备和专业技术能力；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　　（四）有依法缴纳税收和社会保障资金的良好记录；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　　（五）参加政府采购活动前三年内，在经营活动中没有重大违法记录；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（六）法律、行政法规规定的其他条件；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（七）</w:t>
      </w:r>
      <w:r>
        <w:rPr>
          <w:rFonts w:hint="eastAsia" w:ascii="仿宋" w:hAnsi="仿宋" w:eastAsia="仿宋" w:cs="仿宋"/>
          <w:sz w:val="28"/>
          <w:szCs w:val="28"/>
          <w:highlight w:val="none"/>
          <w:lang w:eastAsia="zh-CN"/>
        </w:rPr>
        <w:t>本</w:t>
      </w:r>
      <w:r>
        <w:rPr>
          <w:rFonts w:hint="eastAsia" w:ascii="仿宋" w:hAnsi="仿宋" w:eastAsia="仿宋" w:cs="仿宋"/>
          <w:sz w:val="28"/>
          <w:szCs w:val="28"/>
          <w:highlight w:val="none"/>
        </w:rPr>
        <w:t>项目提出的特殊条件。</w:t>
      </w:r>
    </w:p>
    <w:p>
      <w:pPr>
        <w:pStyle w:val="30"/>
        <w:keepNext w:val="0"/>
        <w:keepLines w:val="0"/>
        <w:pageBreakBefore w:val="0"/>
        <w:kinsoku/>
        <w:wordWrap/>
        <w:overflowPunct/>
        <w:topLinePunct w:val="0"/>
        <w:autoSpaceDE/>
        <w:autoSpaceDN/>
        <w:bidi w:val="0"/>
        <w:adjustRightInd/>
        <w:snapToGrid/>
        <w:spacing w:beforeLines="0" w:afterLines="0" w:line="360" w:lineRule="auto"/>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本公司对上述承诺的内容事项真实性负责。如经查实上述承诺的内容事项存在虚假，我公司愿意接受以提供虚假材料谋取</w:t>
      </w:r>
      <w:r>
        <w:rPr>
          <w:rFonts w:hint="eastAsia" w:ascii="仿宋" w:hAnsi="仿宋" w:eastAsia="仿宋" w:cs="仿宋"/>
          <w:sz w:val="28"/>
          <w:szCs w:val="28"/>
          <w:highlight w:val="none"/>
          <w:lang w:eastAsia="zh-CN"/>
        </w:rPr>
        <w:t>成交</w:t>
      </w:r>
      <w:r>
        <w:rPr>
          <w:rFonts w:hint="eastAsia" w:ascii="仿宋" w:hAnsi="仿宋" w:eastAsia="仿宋" w:cs="仿宋"/>
          <w:sz w:val="28"/>
          <w:szCs w:val="28"/>
          <w:highlight w:val="none"/>
        </w:rPr>
        <w:t>追究法律责任。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left"/>
        <w:textAlignment w:val="auto"/>
        <w:outlineLvl w:val="9"/>
        <w:rPr>
          <w:rFonts w:hint="eastAsia" w:ascii="仿宋" w:hAnsi="仿宋" w:eastAsia="仿宋" w:cs="仿宋"/>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left"/>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供应商：（名称和加盖公章）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828" w:firstLineChars="296"/>
        <w:jc w:val="left"/>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highlight w:val="none"/>
        </w:rPr>
        <w:t>日期：XXX</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年XX</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XX日</w:t>
      </w:r>
    </w:p>
    <w:p>
      <w:pPr>
        <w:pageBreakBefore w:val="0"/>
        <w:kinsoku/>
        <w:overflowPunct/>
        <w:topLinePunct w:val="0"/>
        <w:bidi w:val="0"/>
        <w:spacing w:line="360" w:lineRule="auto"/>
        <w:ind w:left="0" w:leftChars="0" w:right="0" w:rightChars="0"/>
        <w:textAlignment w:val="auto"/>
        <w:rPr>
          <w:rFonts w:hint="eastAsia" w:ascii="仿宋" w:hAnsi="仿宋" w:eastAsia="仿宋" w:cs="仿宋"/>
          <w:b/>
          <w:bCs/>
          <w:sz w:val="28"/>
          <w:szCs w:val="28"/>
        </w:rPr>
      </w:pPr>
      <w:r>
        <w:rPr>
          <w:rFonts w:hint="eastAsia" w:ascii="仿宋" w:hAnsi="仿宋" w:eastAsia="仿宋" w:cs="仿宋"/>
          <w:b/>
          <w:bCs/>
          <w:sz w:val="28"/>
          <w:szCs w:val="28"/>
        </w:rPr>
        <w:br w:type="page"/>
      </w:r>
    </w:p>
    <w:p>
      <w:pPr>
        <w:pageBreakBefore w:val="0"/>
        <w:kinsoku/>
        <w:overflowPunct/>
        <w:topLinePunct w:val="0"/>
        <w:bidi w:val="0"/>
        <w:spacing w:line="360" w:lineRule="auto"/>
        <w:ind w:left="0" w:leftChars="0" w:right="0" w:rightChars="0"/>
        <w:textAlignment w:val="auto"/>
        <w:outlineLvl w:val="2"/>
        <w:rPr>
          <w:rFonts w:hint="eastAsia" w:ascii="仿宋" w:hAnsi="仿宋" w:eastAsia="仿宋" w:cs="仿宋"/>
          <w:b/>
          <w:bCs/>
          <w:sz w:val="28"/>
          <w:szCs w:val="28"/>
        </w:rPr>
      </w:pPr>
      <w:bookmarkStart w:id="424" w:name="_Toc256000125"/>
      <w:bookmarkStart w:id="425" w:name="_Toc256000060"/>
      <w:bookmarkStart w:id="426" w:name="_Toc7658"/>
      <w:bookmarkStart w:id="427" w:name="_Toc11472"/>
      <w:r>
        <w:rPr>
          <w:rFonts w:hint="eastAsia" w:ascii="仿宋" w:hAnsi="仿宋" w:eastAsia="仿宋" w:cs="仿宋"/>
          <w:b/>
          <w:bCs/>
          <w:sz w:val="28"/>
          <w:szCs w:val="28"/>
        </w:rPr>
        <w:t>七、采购项目的特殊要求</w:t>
      </w:r>
      <w:bookmarkEnd w:id="424"/>
      <w:bookmarkEnd w:id="425"/>
      <w:bookmarkEnd w:id="426"/>
      <w:bookmarkEnd w:id="427"/>
    </w:p>
    <w:p>
      <w:pPr>
        <w:pageBreakBefore w:val="0"/>
        <w:tabs>
          <w:tab w:val="left" w:pos="330"/>
        </w:tabs>
        <w:kinsoku/>
        <w:overflowPunct/>
        <w:topLinePunct w:val="0"/>
        <w:bidi w:val="0"/>
        <w:spacing w:line="360" w:lineRule="auto"/>
        <w:ind w:left="0" w:leftChars="0" w:right="0" w:rightChars="0" w:firstLine="551" w:firstLineChars="196"/>
        <w:textAlignment w:val="auto"/>
        <w:rPr>
          <w:rFonts w:hint="eastAsia" w:ascii="仿宋" w:hAnsi="仿宋" w:eastAsia="仿宋" w:cs="仿宋"/>
          <w:b/>
          <w:bCs/>
          <w:sz w:val="28"/>
          <w:szCs w:val="28"/>
        </w:rPr>
      </w:pPr>
      <w:r>
        <w:rPr>
          <w:rFonts w:hint="eastAsia" w:ascii="仿宋" w:hAnsi="仿宋" w:eastAsia="仿宋" w:cs="仿宋"/>
          <w:b/>
          <w:bCs/>
          <w:sz w:val="28"/>
          <w:szCs w:val="28"/>
        </w:rPr>
        <w:t>（一）磋商承诺函</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u w:val="single"/>
        </w:rPr>
        <w:t>（采购代理机构名称）：</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我方全面研究了________________项目（项目编号：______〔____〕__号）磋商文件，决定参加贵单位组织的竞争性磋商采购活动。我方授权__</w:t>
      </w:r>
      <w:r>
        <w:rPr>
          <w:rFonts w:hint="eastAsia" w:ascii="仿宋" w:hAnsi="仿宋" w:eastAsia="仿宋" w:cs="仿宋"/>
          <w:sz w:val="28"/>
          <w:szCs w:val="28"/>
          <w:u w:val="single"/>
        </w:rPr>
        <w:t>（姓名、职务）</w:t>
      </w:r>
      <w:r>
        <w:rPr>
          <w:rFonts w:hint="eastAsia" w:ascii="仿宋" w:hAnsi="仿宋" w:eastAsia="仿宋" w:cs="仿宋"/>
          <w:sz w:val="28"/>
          <w:szCs w:val="28"/>
        </w:rPr>
        <w:t>__代表我方全权处理本项目政府采购活动的有关事宜。按照磋商文件要求，我方现郑重承诺如下：</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一、我方完全具备《中华人民共和国政府采购法》第二十二条第一款和本项目规定的条件；</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二、我方完全接受和满足本项目磋商文件中规定的实质性要求，知悉并接受本项目有关知识产权的要求，知悉并接受本次磋商响应的有效期为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日，如对磋商文件有异议，已经在提交首次响应文件的截止时间届满前依法进行维权救济，不存在对磋商文件有异议的同时又参加磋商响应以求侥幸成交或者为实现其他非法目的的行为。</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三、参加本次政府采购活动，不存在与单位负责人为同一人或者存在直接控股、管理关系的其他供应商参与同一合同项下的政府采购活动的行为。</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四、参加本次政府采购活动，不存在和其他供应商在同一合同项下的采购项目中，同时委托同一个自然人、同一家庭的人员、同一单位的人员作为代理人的行为。</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五、我方在响应文件中的报价和前往贵处参加磋商活动人员的报价均为有效报价。我方派出赴贵单位参加磋商活动人员，在磋商中所做出的与我方响应文件中承诺不一致时，以现场磋商结果为准。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六、一旦我方成交，我方将严格履行政府采购合同规定的责任和义务。</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我方同意合同履行过程中，我方的行为违反了政府采购法律法规及《关于政府采购领域严重违法失信主体开展联合惩戒的合作备忘录》（发改财金〔2018〕1614号）文件等规定的，采购人将报告同级财政部门给予行政处罚或者以失信行为记入诚信档案。</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rPr>
        <w:t>八、我方在磋商活动中</w:t>
      </w:r>
      <w:r>
        <w:rPr>
          <w:rFonts w:hint="eastAsia" w:ascii="仿宋" w:hAnsi="仿宋" w:eastAsia="仿宋" w:cs="仿宋"/>
          <w:sz w:val="28"/>
          <w:szCs w:val="28"/>
        </w:rPr>
        <w:t>提供的一切文件、证明和资料均是真实、准确、有效的。我方愿意提供贵方可能另外要求的，与政府采购活动有关的文件资料，并保证我方已提供和将要提供的文件资料是真实、准确、有效的。若有违法违规行为，我方将自动放弃参加本次政府采购活动的权利，并自觉接受有关处罚。</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我方郑重承诺，在参加本次政府采购活动前，未被纳入法院、工商行政管理部门、税务部门、银行认定的失信名单且在有效期内，亦未有在前3年政府采购合同履约过程中及其他经营活动履约过程中未依法履约被有关行政部门处罚（处理）的情形。若有以上情形，我方将自动放弃参加本次政府采购活动的权利。</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十、我方郑重承诺，我方的“供应商代表”无行贿犯罪记录，参加本次政府采购活动前三年内，具有良好的商业信誉，在经营活动中没有重大违法违规记录。</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十一、若成交，本承诺函将成为合同不可分割的一部分。</w:t>
      </w:r>
    </w:p>
    <w:p>
      <w:pPr>
        <w:pageBreakBefore w:val="0"/>
        <w:kinsoku/>
        <w:overflowPunct/>
        <w:topLinePunct w:val="0"/>
        <w:bidi w:val="0"/>
        <w:spacing w:line="360" w:lineRule="auto"/>
        <w:ind w:left="0" w:leftChars="0" w:right="0" w:rightChars="0" w:firstLine="4200" w:firstLineChars="1500"/>
        <w:textAlignment w:val="auto"/>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（名称和加盖公章）</w:t>
      </w:r>
    </w:p>
    <w:p>
      <w:pPr>
        <w:pageBreakBefore w:val="0"/>
        <w:kinsoku/>
        <w:overflowPunct/>
        <w:topLinePunct w:val="0"/>
        <w:bidi w:val="0"/>
        <w:spacing w:line="360" w:lineRule="auto"/>
        <w:ind w:left="0" w:leftChars="0" w:right="0" w:rightChars="0" w:firstLine="4200" w:firstLineChars="1500"/>
        <w:textAlignment w:val="auto"/>
        <w:rPr>
          <w:rFonts w:hint="eastAsia" w:ascii="仿宋" w:hAnsi="仿宋" w:eastAsia="仿宋" w:cs="仿宋"/>
          <w:sz w:val="28"/>
          <w:szCs w:val="28"/>
        </w:rPr>
      </w:pPr>
      <w:r>
        <w:rPr>
          <w:rFonts w:hint="eastAsia" w:ascii="仿宋" w:hAnsi="仿宋" w:eastAsia="仿宋" w:cs="仿宋"/>
          <w:sz w:val="28"/>
          <w:szCs w:val="28"/>
        </w:rPr>
        <w:t>供应商代表：</w:t>
      </w:r>
      <w:r>
        <w:rPr>
          <w:rFonts w:hint="eastAsia" w:ascii="仿宋" w:hAnsi="仿宋" w:eastAsia="仿宋" w:cs="仿宋"/>
          <w:sz w:val="28"/>
          <w:szCs w:val="28"/>
          <w:u w:val="single"/>
        </w:rPr>
        <w:t>（签字）</w:t>
      </w:r>
    </w:p>
    <w:p>
      <w:pPr>
        <w:pageBreakBefore w:val="0"/>
        <w:kinsoku/>
        <w:overflowPunct/>
        <w:topLinePunct w:val="0"/>
        <w:bidi w:val="0"/>
        <w:spacing w:line="360" w:lineRule="auto"/>
        <w:ind w:left="0" w:leftChars="0" w:right="0" w:rightChars="0"/>
        <w:jc w:val="right"/>
        <w:textAlignment w:val="auto"/>
        <w:rPr>
          <w:rFonts w:hint="eastAsia" w:ascii="仿宋" w:hAnsi="仿宋" w:eastAsia="仿宋" w:cs="仿宋"/>
          <w:sz w:val="28"/>
          <w:szCs w:val="28"/>
        </w:rPr>
      </w:pPr>
      <w:r>
        <w:rPr>
          <w:rFonts w:hint="eastAsia" w:ascii="仿宋" w:hAnsi="仿宋" w:eastAsia="仿宋" w:cs="仿宋"/>
          <w:sz w:val="28"/>
          <w:szCs w:val="28"/>
        </w:rPr>
        <w:t>______年___月___日</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p>
    <w:p>
      <w:pPr>
        <w:pageBreakBefore w:val="0"/>
        <w:kinsoku/>
        <w:overflowPunct/>
        <w:topLinePunct w:val="0"/>
        <w:bidi w:val="0"/>
        <w:spacing w:line="360" w:lineRule="auto"/>
        <w:ind w:left="0" w:leftChars="0" w:right="0" w:right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br w:type="page"/>
      </w:r>
    </w:p>
    <w:p>
      <w:pPr>
        <w:pageBreakBefore w:val="0"/>
        <w:numPr>
          <w:ilvl w:val="0"/>
          <w:numId w:val="0"/>
        </w:numPr>
        <w:kinsoku/>
        <w:overflowPunct/>
        <w:topLinePunct w:val="0"/>
        <w:bidi w:val="0"/>
        <w:spacing w:line="360" w:lineRule="auto"/>
        <w:ind w:left="0" w:leftChars="0" w:right="0" w:rightChars="0"/>
        <w:jc w:val="left"/>
        <w:textAlignment w:val="auto"/>
        <w:outlineLvl w:val="2"/>
        <w:rPr>
          <w:rFonts w:hint="eastAsia" w:ascii="仿宋" w:hAnsi="仿宋" w:eastAsia="仿宋" w:cs="仿宋"/>
          <w:b/>
          <w:bCs/>
          <w:sz w:val="28"/>
          <w:szCs w:val="28"/>
          <w:highlight w:val="none"/>
          <w:lang w:val="en-US" w:eastAsia="zh-CN"/>
        </w:rPr>
      </w:pPr>
      <w:bookmarkStart w:id="428" w:name="_Toc11949"/>
      <w:bookmarkStart w:id="429" w:name="_Toc256000126"/>
      <w:bookmarkStart w:id="430" w:name="_Toc256000061"/>
      <w:bookmarkStart w:id="431" w:name="_Toc1567"/>
      <w:r>
        <w:rPr>
          <w:rFonts w:hint="eastAsia" w:ascii="仿宋" w:hAnsi="仿宋" w:eastAsia="仿宋" w:cs="仿宋"/>
          <w:b/>
          <w:bCs/>
          <w:sz w:val="28"/>
          <w:szCs w:val="28"/>
          <w:highlight w:val="none"/>
          <w:lang w:val="en-US" w:eastAsia="zh-CN"/>
        </w:rPr>
        <w:t>八、其他格式要求</w:t>
      </w:r>
      <w:bookmarkEnd w:id="428"/>
      <w:bookmarkEnd w:id="429"/>
      <w:bookmarkEnd w:id="430"/>
      <w:bookmarkEnd w:id="431"/>
    </w:p>
    <w:p>
      <w:pPr>
        <w:pageBreakBefore w:val="0"/>
        <w:kinsoku/>
        <w:overflowPunct/>
        <w:topLinePunct w:val="0"/>
        <w:bidi w:val="0"/>
        <w:spacing w:line="360" w:lineRule="auto"/>
        <w:ind w:left="0" w:leftChars="0" w:right="0" w:rightChars="0"/>
        <w:jc w:val="left"/>
        <w:textAlignment w:val="auto"/>
        <w:outlineLvl w:val="3"/>
        <w:rPr>
          <w:rFonts w:hint="eastAsia" w:ascii="仿宋" w:hAnsi="仿宋" w:eastAsia="仿宋" w:cs="仿宋"/>
          <w:color w:val="000000" w:themeColor="text1"/>
          <w:w w:val="66"/>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b/>
          <w:bCs/>
          <w:color w:val="000000" w:themeColor="text1"/>
          <w:sz w:val="28"/>
          <w:szCs w:val="28"/>
          <w:highlight w:val="none"/>
          <w14:textFill>
            <w14:solidFill>
              <w14:schemeClr w14:val="tx1"/>
            </w14:solidFill>
          </w14:textFill>
        </w:rPr>
        <w:t>）</w:t>
      </w:r>
      <w:r>
        <w:rPr>
          <w:rFonts w:hint="eastAsia" w:ascii="仿宋" w:hAnsi="仿宋" w:eastAsia="仿宋" w:cs="仿宋"/>
          <w:b/>
          <w:color w:val="000000" w:themeColor="text1"/>
          <w:sz w:val="28"/>
          <w:szCs w:val="28"/>
          <w:highlight w:val="none"/>
          <w14:textFill>
            <w14:solidFill>
              <w14:schemeClr w14:val="tx1"/>
            </w14:solidFill>
          </w14:textFill>
        </w:rPr>
        <w:t>供应商基本情况表</w:t>
      </w:r>
    </w:p>
    <w:tbl>
      <w:tblPr>
        <w:tblStyle w:val="15"/>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241"/>
        <w:gridCol w:w="91"/>
        <w:gridCol w:w="1254"/>
        <w:gridCol w:w="1344"/>
        <w:gridCol w:w="449"/>
        <w:gridCol w:w="512"/>
        <w:gridCol w:w="384"/>
        <w:gridCol w:w="1049"/>
        <w:gridCol w:w="163"/>
        <w:gridCol w:w="133"/>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33"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Cs/>
                <w:color w:val="000000" w:themeColor="text1"/>
                <w:sz w:val="24"/>
                <w:szCs w:val="24"/>
                <w:highlight w:val="none"/>
                <w14:textFill>
                  <w14:solidFill>
                    <w14:schemeClr w14:val="tx1"/>
                  </w14:solidFill>
                </w14:textFill>
              </w:rPr>
              <w:t>名称</w:t>
            </w:r>
          </w:p>
        </w:tc>
        <w:tc>
          <w:tcPr>
            <w:tcW w:w="7966" w:type="dxa"/>
            <w:gridSpan w:val="11"/>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33"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注册地址</w:t>
            </w:r>
          </w:p>
        </w:tc>
        <w:tc>
          <w:tcPr>
            <w:tcW w:w="4891" w:type="dxa"/>
            <w:gridSpan w:val="6"/>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c>
          <w:tcPr>
            <w:tcW w:w="1596"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邮政编码</w:t>
            </w:r>
          </w:p>
        </w:tc>
        <w:tc>
          <w:tcPr>
            <w:tcW w:w="1479" w:type="dxa"/>
            <w:gridSpan w:val="2"/>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33" w:type="dxa"/>
            <w:vMerge w:val="restart"/>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联系方式</w:t>
            </w:r>
          </w:p>
        </w:tc>
        <w:tc>
          <w:tcPr>
            <w:tcW w:w="1332" w:type="dxa"/>
            <w:gridSpan w:val="2"/>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联系人</w:t>
            </w:r>
          </w:p>
        </w:tc>
        <w:tc>
          <w:tcPr>
            <w:tcW w:w="3559" w:type="dxa"/>
            <w:gridSpan w:val="4"/>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c>
          <w:tcPr>
            <w:tcW w:w="1596"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联系电话</w:t>
            </w:r>
          </w:p>
        </w:tc>
        <w:tc>
          <w:tcPr>
            <w:tcW w:w="1479" w:type="dxa"/>
            <w:gridSpan w:val="2"/>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833" w:type="dxa"/>
            <w:vMerge w:val="continue"/>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c>
          <w:tcPr>
            <w:tcW w:w="1332" w:type="dxa"/>
            <w:gridSpan w:val="2"/>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传真</w:t>
            </w:r>
          </w:p>
        </w:tc>
        <w:tc>
          <w:tcPr>
            <w:tcW w:w="3559" w:type="dxa"/>
            <w:gridSpan w:val="4"/>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c>
          <w:tcPr>
            <w:tcW w:w="1596"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网址</w:t>
            </w:r>
          </w:p>
        </w:tc>
        <w:tc>
          <w:tcPr>
            <w:tcW w:w="1479" w:type="dxa"/>
            <w:gridSpan w:val="2"/>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33"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组织结构</w:t>
            </w:r>
          </w:p>
        </w:tc>
        <w:tc>
          <w:tcPr>
            <w:tcW w:w="7966" w:type="dxa"/>
            <w:gridSpan w:val="11"/>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33"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供应商规模</w:t>
            </w:r>
          </w:p>
        </w:tc>
        <w:tc>
          <w:tcPr>
            <w:tcW w:w="7966" w:type="dxa"/>
            <w:gridSpan w:val="11"/>
            <w:noWrap w:val="0"/>
            <w:vAlign w:val="center"/>
          </w:tcPr>
          <w:p>
            <w:pPr>
              <w:keepNext w:val="0"/>
              <w:keepLines w:val="0"/>
              <w:pageBreakBefore w:val="0"/>
              <w:kinsoku/>
              <w:wordWrap/>
              <w:overflowPunct/>
              <w:topLinePunct w:val="0"/>
              <w:bidi w:val="0"/>
              <w:spacing w:line="360" w:lineRule="auto"/>
              <w:ind w:left="0" w:leftChars="0" w:right="0" w:rightChars="0"/>
              <w:jc w:val="both"/>
              <w:textAlignment w:val="auto"/>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□国有企业</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4"/>
                <w:szCs w:val="24"/>
                <w:highlight w:val="none"/>
                <w:lang w:eastAsia="zh-CN"/>
                <w14:textFill>
                  <w14:solidFill>
                    <w14:schemeClr w14:val="tx1"/>
                  </w14:solidFill>
                </w14:textFill>
              </w:rPr>
              <w:t>□民营企业</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4"/>
                <w:szCs w:val="24"/>
                <w:highlight w:val="none"/>
                <w:lang w:eastAsia="zh-CN"/>
                <w14:textFill>
                  <w14:solidFill>
                    <w14:schemeClr w14:val="tx1"/>
                  </w14:solidFill>
                </w14:textFill>
              </w:rPr>
              <w:t>□其他（对应处打“√”）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833"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供应商性质</w:t>
            </w:r>
          </w:p>
        </w:tc>
        <w:tc>
          <w:tcPr>
            <w:tcW w:w="7966" w:type="dxa"/>
            <w:gridSpan w:val="11"/>
            <w:noWrap w:val="0"/>
            <w:vAlign w:val="center"/>
          </w:tcPr>
          <w:p>
            <w:pPr>
              <w:keepNext w:val="0"/>
              <w:keepLines w:val="0"/>
              <w:pageBreakBefore w:val="0"/>
              <w:kinsoku/>
              <w:wordWrap/>
              <w:overflowPunct/>
              <w:topLinePunct w:val="0"/>
              <w:bidi w:val="0"/>
              <w:spacing w:line="360" w:lineRule="auto"/>
              <w:ind w:left="0" w:leftChars="0" w:right="0" w:rightChars="0"/>
              <w:jc w:val="both"/>
              <w:textAlignment w:val="auto"/>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□大型企业  □中型企业  □小型企业</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4"/>
                <w:szCs w:val="24"/>
                <w:highlight w:val="none"/>
                <w:lang w:eastAsia="zh-CN"/>
                <w14:textFill>
                  <w14:solidFill>
                    <w14:schemeClr w14:val="tx1"/>
                  </w14:solidFill>
                </w14:textFill>
              </w:rPr>
              <w:t>□微型企业</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4"/>
                <w:szCs w:val="24"/>
                <w:highlight w:val="none"/>
                <w:lang w:eastAsia="zh-CN"/>
                <w14:textFill>
                  <w14:solidFill>
                    <w14:schemeClr w14:val="tx1"/>
                  </w14:solidFill>
                </w14:textFill>
              </w:rPr>
              <w:t>□其他（对应处打“√”）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33"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法定代表人</w:t>
            </w:r>
          </w:p>
        </w:tc>
        <w:tc>
          <w:tcPr>
            <w:tcW w:w="1241"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姓名</w:t>
            </w:r>
          </w:p>
        </w:tc>
        <w:tc>
          <w:tcPr>
            <w:tcW w:w="1345" w:type="dxa"/>
            <w:gridSpan w:val="2"/>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c>
          <w:tcPr>
            <w:tcW w:w="1344"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技术职称</w:t>
            </w:r>
          </w:p>
        </w:tc>
        <w:tc>
          <w:tcPr>
            <w:tcW w:w="1345"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c>
          <w:tcPr>
            <w:tcW w:w="1345"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联系电话</w:t>
            </w:r>
          </w:p>
        </w:tc>
        <w:tc>
          <w:tcPr>
            <w:tcW w:w="1346"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33"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技术负责人</w:t>
            </w:r>
          </w:p>
        </w:tc>
        <w:tc>
          <w:tcPr>
            <w:tcW w:w="1241"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姓名</w:t>
            </w:r>
          </w:p>
        </w:tc>
        <w:tc>
          <w:tcPr>
            <w:tcW w:w="1345" w:type="dxa"/>
            <w:gridSpan w:val="2"/>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c>
          <w:tcPr>
            <w:tcW w:w="1344"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技术职称</w:t>
            </w:r>
          </w:p>
        </w:tc>
        <w:tc>
          <w:tcPr>
            <w:tcW w:w="1345"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c>
          <w:tcPr>
            <w:tcW w:w="1345"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联系电话</w:t>
            </w:r>
          </w:p>
        </w:tc>
        <w:tc>
          <w:tcPr>
            <w:tcW w:w="1346"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833"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成立时间</w:t>
            </w:r>
          </w:p>
        </w:tc>
        <w:tc>
          <w:tcPr>
            <w:tcW w:w="2586"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c>
          <w:tcPr>
            <w:tcW w:w="5380" w:type="dxa"/>
            <w:gridSpan w:val="8"/>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833"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企业资质等级</w:t>
            </w:r>
          </w:p>
        </w:tc>
        <w:tc>
          <w:tcPr>
            <w:tcW w:w="2586"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c>
          <w:tcPr>
            <w:tcW w:w="1793" w:type="dxa"/>
            <w:gridSpan w:val="2"/>
            <w:vMerge w:val="restart"/>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其中</w:t>
            </w:r>
          </w:p>
        </w:tc>
        <w:tc>
          <w:tcPr>
            <w:tcW w:w="1945"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项目经理</w:t>
            </w:r>
          </w:p>
        </w:tc>
        <w:tc>
          <w:tcPr>
            <w:tcW w:w="1642"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33"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营业执照</w:t>
            </w:r>
            <w:r>
              <w:rPr>
                <w:rFonts w:hint="eastAsia" w:ascii="仿宋" w:hAnsi="仿宋" w:eastAsia="仿宋" w:cs="仿宋"/>
                <w:color w:val="000000" w:themeColor="text1"/>
                <w:sz w:val="24"/>
                <w:szCs w:val="24"/>
                <w:highlight w:val="none"/>
                <w14:textFill>
                  <w14:solidFill>
                    <w14:schemeClr w14:val="tx1"/>
                  </w14:solidFill>
                </w14:textFill>
              </w:rPr>
              <w:t>号</w:t>
            </w:r>
          </w:p>
        </w:tc>
        <w:tc>
          <w:tcPr>
            <w:tcW w:w="2586"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c>
          <w:tcPr>
            <w:tcW w:w="1793" w:type="dxa"/>
            <w:gridSpan w:val="2"/>
            <w:vMerge w:val="continue"/>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c>
          <w:tcPr>
            <w:tcW w:w="1945"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高级职称人员</w:t>
            </w:r>
          </w:p>
        </w:tc>
        <w:tc>
          <w:tcPr>
            <w:tcW w:w="1642"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33"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注册资金</w:t>
            </w:r>
          </w:p>
        </w:tc>
        <w:tc>
          <w:tcPr>
            <w:tcW w:w="2586"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c>
          <w:tcPr>
            <w:tcW w:w="1793" w:type="dxa"/>
            <w:gridSpan w:val="2"/>
            <w:vMerge w:val="continue"/>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c>
          <w:tcPr>
            <w:tcW w:w="1945"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中级职称人员</w:t>
            </w:r>
          </w:p>
        </w:tc>
        <w:tc>
          <w:tcPr>
            <w:tcW w:w="1642"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33"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开户银行</w:t>
            </w:r>
          </w:p>
        </w:tc>
        <w:tc>
          <w:tcPr>
            <w:tcW w:w="2586"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c>
          <w:tcPr>
            <w:tcW w:w="1793" w:type="dxa"/>
            <w:gridSpan w:val="2"/>
            <w:vMerge w:val="continue"/>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c>
          <w:tcPr>
            <w:tcW w:w="1945"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初级职称人员</w:t>
            </w:r>
          </w:p>
        </w:tc>
        <w:tc>
          <w:tcPr>
            <w:tcW w:w="1642"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33"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账号</w:t>
            </w:r>
          </w:p>
        </w:tc>
        <w:tc>
          <w:tcPr>
            <w:tcW w:w="1332" w:type="dxa"/>
            <w:gridSpan w:val="2"/>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c>
          <w:tcPr>
            <w:tcW w:w="3047"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c>
          <w:tcPr>
            <w:tcW w:w="1945"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技工</w:t>
            </w:r>
          </w:p>
        </w:tc>
        <w:tc>
          <w:tcPr>
            <w:tcW w:w="1642" w:type="dxa"/>
            <w:gridSpan w:val="3"/>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833"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经营范围</w:t>
            </w:r>
          </w:p>
        </w:tc>
        <w:tc>
          <w:tcPr>
            <w:tcW w:w="7966" w:type="dxa"/>
            <w:gridSpan w:val="11"/>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33"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tc>
        <w:tc>
          <w:tcPr>
            <w:tcW w:w="7966" w:type="dxa"/>
            <w:gridSpan w:val="11"/>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r>
    </w:tbl>
    <w:p>
      <w:pPr>
        <w:keepNext w:val="0"/>
        <w:keepLines w:val="0"/>
        <w:pageBreakBefore w:val="0"/>
        <w:kinsoku/>
        <w:wordWrap/>
        <w:overflowPunct/>
        <w:topLinePunct w:val="0"/>
        <w:bidi w:val="0"/>
        <w:adjustRightInd w:val="0"/>
        <w:spacing w:line="36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名称（</w:t>
      </w:r>
      <w:r>
        <w:rPr>
          <w:rFonts w:hint="eastAsia" w:ascii="仿宋" w:hAnsi="仿宋" w:eastAsia="仿宋" w:cs="仿宋"/>
          <w:color w:val="000000"/>
          <w:sz w:val="28"/>
          <w:szCs w:val="28"/>
          <w:highlight w:val="none"/>
          <w:lang w:eastAsia="zh-CN"/>
        </w:rPr>
        <w:t>加盖</w:t>
      </w:r>
      <w:r>
        <w:rPr>
          <w:rFonts w:hint="eastAsia" w:ascii="仿宋" w:hAnsi="仿宋" w:eastAsia="仿宋" w:cs="仿宋"/>
          <w:color w:val="000000"/>
          <w:sz w:val="28"/>
          <w:szCs w:val="28"/>
          <w:highlight w:val="none"/>
        </w:rPr>
        <w:t>公章）：</w:t>
      </w:r>
    </w:p>
    <w:p>
      <w:pPr>
        <w:keepNext w:val="0"/>
        <w:keepLines w:val="0"/>
        <w:pageBreakBefore w:val="0"/>
        <w:kinsoku/>
        <w:wordWrap/>
        <w:overflowPunct/>
        <w:topLinePunct w:val="0"/>
        <w:bidi w:val="0"/>
        <w:adjustRightInd w:val="0"/>
        <w:spacing w:line="360" w:lineRule="auto"/>
        <w:ind w:left="0" w:leftChars="0" w:right="0" w:rightChars="0" w:firstLine="560" w:firstLineChars="200"/>
        <w:jc w:val="left"/>
        <w:textAlignment w:val="auto"/>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日期：XXX年XXX月XXX日</w:t>
      </w:r>
    </w:p>
    <w:p>
      <w:pPr>
        <w:pStyle w:val="30"/>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both"/>
        <w:textAlignment w:val="auto"/>
        <w:outlineLvl w:val="3"/>
        <w:rPr>
          <w:rFonts w:hint="eastAsia" w:ascii="仿宋" w:hAnsi="仿宋" w:eastAsia="仿宋" w:cs="仿宋"/>
          <w:b/>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lang w:eastAsia="zh-CN"/>
        </w:rPr>
        <w:t>）</w:t>
      </w:r>
      <w:r>
        <w:rPr>
          <w:rFonts w:hint="eastAsia" w:ascii="仿宋" w:hAnsi="仿宋" w:eastAsia="仿宋" w:cs="仿宋"/>
          <w:b/>
          <w:bCs/>
          <w:color w:val="000000"/>
          <w:sz w:val="28"/>
          <w:szCs w:val="28"/>
          <w:highlight w:val="none"/>
          <w:lang w:val="en-US" w:eastAsia="zh-CN"/>
        </w:rPr>
        <w:t>主要</w:t>
      </w:r>
      <w:r>
        <w:rPr>
          <w:rFonts w:hint="eastAsia" w:ascii="仿宋" w:hAnsi="仿宋" w:eastAsia="仿宋" w:cs="仿宋"/>
          <w:b/>
          <w:sz w:val="28"/>
          <w:szCs w:val="28"/>
          <w:highlight w:val="none"/>
        </w:rPr>
        <w:t>人员情况表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仿宋" w:hAnsi="仿宋" w:eastAsia="仿宋" w:cs="仿宋"/>
          <w:sz w:val="28"/>
          <w:szCs w:val="28"/>
          <w:highlight w:val="none"/>
        </w:rPr>
      </w:pPr>
      <w:r>
        <w:rPr>
          <w:rFonts w:hint="eastAsia" w:ascii="仿宋" w:hAnsi="仿宋" w:eastAsia="仿宋" w:cs="仿宋"/>
          <w:b/>
          <w:sz w:val="28"/>
          <w:szCs w:val="28"/>
          <w:highlight w:val="none"/>
          <w:lang w:eastAsia="zh-CN"/>
        </w:rPr>
        <w:t>主要</w:t>
      </w:r>
      <w:r>
        <w:rPr>
          <w:rFonts w:hint="eastAsia" w:ascii="仿宋" w:hAnsi="仿宋" w:eastAsia="仿宋" w:cs="仿宋"/>
          <w:b/>
          <w:sz w:val="28"/>
          <w:szCs w:val="28"/>
          <w:highlight w:val="none"/>
        </w:rPr>
        <w:t>人员情况表</w:t>
      </w:r>
    </w:p>
    <w:p>
      <w:pPr>
        <w:pStyle w:val="4"/>
        <w:pageBreakBefore w:val="0"/>
        <w:tabs>
          <w:tab w:val="left" w:pos="7020"/>
        </w:tabs>
        <w:kinsoku/>
        <w:wordWrap/>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lang w:eastAsia="zh-CN"/>
        </w:rPr>
        <w:t>项目名称</w:t>
      </w:r>
      <w:r>
        <w:rPr>
          <w:rFonts w:hint="eastAsia" w:ascii="仿宋" w:hAnsi="仿宋" w:eastAsia="仿宋" w:cs="仿宋"/>
          <w:kern w:val="0"/>
          <w:sz w:val="28"/>
          <w:szCs w:val="28"/>
          <w:highlight w:val="none"/>
        </w:rPr>
        <w:t>：</w:t>
      </w:r>
      <w:r>
        <w:rPr>
          <w:rFonts w:hint="eastAsia" w:ascii="仿宋" w:hAnsi="仿宋" w:eastAsia="仿宋" w:cs="仿宋"/>
          <w:sz w:val="28"/>
          <w:szCs w:val="28"/>
          <w:highlight w:val="none"/>
        </w:rPr>
        <w:tab/>
      </w:r>
    </w:p>
    <w:p>
      <w:pPr>
        <w:pStyle w:val="4"/>
        <w:pageBreakBefore w:val="0"/>
        <w:tabs>
          <w:tab w:val="left" w:pos="7560"/>
        </w:tabs>
        <w:kinsoku/>
        <w:wordWrap/>
        <w:overflowPunct/>
        <w:topLinePunct w:val="0"/>
        <w:bidi w:val="0"/>
        <w:spacing w:line="360" w:lineRule="auto"/>
        <w:ind w:left="0" w:leftChars="0"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kern w:val="0"/>
          <w:sz w:val="28"/>
          <w:szCs w:val="28"/>
          <w:highlight w:val="none"/>
          <w:lang w:eastAsia="zh-CN"/>
        </w:rPr>
        <w:t>项目编号</w:t>
      </w:r>
      <w:r>
        <w:rPr>
          <w:rFonts w:hint="eastAsia" w:ascii="仿宋" w:hAnsi="仿宋" w:eastAsia="仿宋" w:cs="仿宋"/>
          <w:kern w:val="0"/>
          <w:sz w:val="28"/>
          <w:szCs w:val="28"/>
          <w:highlight w:val="none"/>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488"/>
        <w:gridCol w:w="914"/>
        <w:gridCol w:w="914"/>
        <w:gridCol w:w="1229"/>
        <w:gridCol w:w="914"/>
        <w:gridCol w:w="914"/>
        <w:gridCol w:w="91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restart"/>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类别</w:t>
            </w:r>
          </w:p>
        </w:tc>
        <w:tc>
          <w:tcPr>
            <w:tcW w:w="1488" w:type="dxa"/>
            <w:vMerge w:val="restart"/>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职务</w:t>
            </w:r>
          </w:p>
        </w:tc>
        <w:tc>
          <w:tcPr>
            <w:tcW w:w="914" w:type="dxa"/>
            <w:vMerge w:val="restart"/>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p>
        </w:tc>
        <w:tc>
          <w:tcPr>
            <w:tcW w:w="914" w:type="dxa"/>
            <w:vMerge w:val="restart"/>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职称</w:t>
            </w:r>
          </w:p>
        </w:tc>
        <w:tc>
          <w:tcPr>
            <w:tcW w:w="1229" w:type="dxa"/>
            <w:vMerge w:val="restart"/>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常住地</w:t>
            </w:r>
          </w:p>
        </w:tc>
        <w:tc>
          <w:tcPr>
            <w:tcW w:w="3656" w:type="dxa"/>
            <w:gridSpan w:val="4"/>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p>
        </w:tc>
        <w:tc>
          <w:tcPr>
            <w:tcW w:w="1488" w:type="dxa"/>
            <w:vMerge w:val="continue"/>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p>
        </w:tc>
        <w:tc>
          <w:tcPr>
            <w:tcW w:w="914" w:type="dxa"/>
            <w:vMerge w:val="continue"/>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p>
        </w:tc>
        <w:tc>
          <w:tcPr>
            <w:tcW w:w="914" w:type="dxa"/>
            <w:vMerge w:val="continue"/>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p>
        </w:tc>
        <w:tc>
          <w:tcPr>
            <w:tcW w:w="1229" w:type="dxa"/>
            <w:vMerge w:val="continue"/>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p>
        </w:tc>
        <w:tc>
          <w:tcPr>
            <w:tcW w:w="914"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证书</w:t>
            </w:r>
          </w:p>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w:t>
            </w:r>
          </w:p>
        </w:tc>
        <w:tc>
          <w:tcPr>
            <w:tcW w:w="914"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级别</w:t>
            </w:r>
          </w:p>
        </w:tc>
        <w:tc>
          <w:tcPr>
            <w:tcW w:w="914"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证号</w:t>
            </w:r>
          </w:p>
        </w:tc>
        <w:tc>
          <w:tcPr>
            <w:tcW w:w="914" w:type="dxa"/>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restart"/>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项目负责人</w:t>
            </w:r>
          </w:p>
        </w:tc>
        <w:tc>
          <w:tcPr>
            <w:tcW w:w="1488"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1229"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p>
        </w:tc>
        <w:tc>
          <w:tcPr>
            <w:tcW w:w="1488"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1229"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p>
        </w:tc>
        <w:tc>
          <w:tcPr>
            <w:tcW w:w="1488"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1229"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restart"/>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技术负责人</w:t>
            </w:r>
          </w:p>
        </w:tc>
        <w:tc>
          <w:tcPr>
            <w:tcW w:w="1488"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1229"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p>
        </w:tc>
        <w:tc>
          <w:tcPr>
            <w:tcW w:w="1488"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1229"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p>
        </w:tc>
        <w:tc>
          <w:tcPr>
            <w:tcW w:w="1488"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1229"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restart"/>
            <w:noWrap w:val="0"/>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其他项目人员</w:t>
            </w:r>
          </w:p>
        </w:tc>
        <w:tc>
          <w:tcPr>
            <w:tcW w:w="1488"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1229"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1488"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1229"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1488"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1229"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top"/>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售后服</w:t>
            </w:r>
          </w:p>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务人员</w:t>
            </w:r>
          </w:p>
        </w:tc>
        <w:tc>
          <w:tcPr>
            <w:tcW w:w="1488"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1229"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c>
          <w:tcPr>
            <w:tcW w:w="914" w:type="dxa"/>
            <w:noWrap w:val="0"/>
            <w:vAlign w:val="top"/>
          </w:tcPr>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8"/>
                <w:szCs w:val="28"/>
                <w:highlight w:val="none"/>
              </w:rPr>
            </w:pPr>
          </w:p>
        </w:tc>
      </w:tr>
    </w:tbl>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供应商：（名称和加盖公章）</w:t>
      </w:r>
    </w:p>
    <w:p>
      <w:pPr>
        <w:pageBreakBefore w:val="0"/>
        <w:kinsoku/>
        <w:overflowPunct/>
        <w:topLinePunct w:val="0"/>
        <w:bidi w:val="0"/>
        <w:spacing w:line="360" w:lineRule="auto"/>
        <w:ind w:left="0" w:leftChars="0" w:right="0" w:rightChars="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日期：XXX</w:t>
      </w:r>
      <w:r>
        <w:rPr>
          <w:rFonts w:hint="eastAsia" w:ascii="仿宋" w:hAnsi="仿宋" w:eastAsia="仿宋" w:cs="仿宋"/>
          <w:color w:val="000000" w:themeColor="text1"/>
          <w:sz w:val="28"/>
          <w:szCs w:val="28"/>
          <w:highlight w:val="none"/>
          <w:lang w:val="en-US" w:eastAsia="zh-CN"/>
          <w14:textFill>
            <w14:solidFill>
              <w14:schemeClr w14:val="tx1"/>
            </w14:solidFill>
          </w14:textFill>
        </w:rPr>
        <w:t>X</w:t>
      </w:r>
      <w:r>
        <w:rPr>
          <w:rFonts w:hint="eastAsia" w:ascii="仿宋" w:hAnsi="仿宋" w:eastAsia="仿宋" w:cs="仿宋"/>
          <w:color w:val="000000" w:themeColor="text1"/>
          <w:sz w:val="28"/>
          <w:szCs w:val="28"/>
          <w:highlight w:val="none"/>
          <w14:textFill>
            <w14:solidFill>
              <w14:schemeClr w14:val="tx1"/>
            </w14:solidFill>
          </w14:textFill>
        </w:rPr>
        <w:t>年XX</w:t>
      </w:r>
      <w:r>
        <w:rPr>
          <w:rFonts w:hint="eastAsia" w:ascii="仿宋" w:hAnsi="仿宋" w:eastAsia="仿宋" w:cs="仿宋"/>
          <w:color w:val="000000" w:themeColor="text1"/>
          <w:sz w:val="28"/>
          <w:szCs w:val="28"/>
          <w:highlight w:val="none"/>
          <w:lang w:eastAsia="zh-CN"/>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XX日</w:t>
      </w:r>
    </w:p>
    <w:p>
      <w:pPr>
        <w:pageBreakBefore w:val="0"/>
        <w:kinsoku/>
        <w:overflowPunct/>
        <w:topLinePunct w:val="0"/>
        <w:bidi w:val="0"/>
        <w:spacing w:line="360" w:lineRule="auto"/>
        <w:ind w:left="0" w:leftChars="0" w:right="0" w:rightChars="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3"/>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（三）供应商类似项目业绩一览表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eastAsia="zh-CN"/>
        </w:rPr>
        <w:t>供应商类似项目业绩一览表</w:t>
      </w:r>
    </w:p>
    <w:tbl>
      <w:tblPr>
        <w:tblStyle w:val="15"/>
        <w:tblW w:w="959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53"/>
        <w:gridCol w:w="3261"/>
        <w:gridCol w:w="1590"/>
        <w:gridCol w:w="1570"/>
        <w:gridCol w:w="1570"/>
        <w:gridCol w:w="6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3" w:hRule="atLeast"/>
        </w:trPr>
        <w:tc>
          <w:tcPr>
            <w:tcW w:w="953"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年份</w:t>
            </w:r>
          </w:p>
        </w:tc>
        <w:tc>
          <w:tcPr>
            <w:tcW w:w="3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送审</w:t>
            </w:r>
            <w:r>
              <w:rPr>
                <w:rFonts w:hint="eastAsia" w:ascii="仿宋" w:hAnsi="仿宋" w:eastAsia="仿宋" w:cs="仿宋"/>
                <w:sz w:val="28"/>
                <w:szCs w:val="28"/>
                <w:highlight w:val="none"/>
              </w:rPr>
              <w:t>金额</w:t>
            </w:r>
          </w:p>
        </w:tc>
        <w:tc>
          <w:tcPr>
            <w:tcW w:w="15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合同签订时间</w:t>
            </w:r>
          </w:p>
        </w:tc>
        <w:tc>
          <w:tcPr>
            <w:tcW w:w="15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完成时间</w:t>
            </w:r>
          </w:p>
        </w:tc>
        <w:tc>
          <w:tcPr>
            <w:tcW w:w="6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trPr>
        <w:tc>
          <w:tcPr>
            <w:tcW w:w="95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3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6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trPr>
        <w:tc>
          <w:tcPr>
            <w:tcW w:w="95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3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6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trPr>
        <w:tc>
          <w:tcPr>
            <w:tcW w:w="95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3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6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trPr>
        <w:tc>
          <w:tcPr>
            <w:tcW w:w="95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326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6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trPr>
        <w:tc>
          <w:tcPr>
            <w:tcW w:w="95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326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9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6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trPr>
        <w:tc>
          <w:tcPr>
            <w:tcW w:w="95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3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6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trPr>
        <w:tc>
          <w:tcPr>
            <w:tcW w:w="95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3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6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trPr>
        <w:tc>
          <w:tcPr>
            <w:tcW w:w="95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3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6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9" w:hRule="atLeast"/>
        </w:trPr>
        <w:tc>
          <w:tcPr>
            <w:tcW w:w="95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326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9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650" w:type="dxa"/>
            <w:tcBorders>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8" w:hRule="atLeast"/>
        </w:trPr>
        <w:tc>
          <w:tcPr>
            <w:tcW w:w="95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3261"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9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650"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8" w:hRule="atLeast"/>
        </w:trPr>
        <w:tc>
          <w:tcPr>
            <w:tcW w:w="95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3261"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9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650"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71" w:hRule="atLeast"/>
        </w:trPr>
        <w:tc>
          <w:tcPr>
            <w:tcW w:w="95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3261"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9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650"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81" w:hRule="atLeast"/>
        </w:trPr>
        <w:tc>
          <w:tcPr>
            <w:tcW w:w="953"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3261"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9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1570" w:type="dxa"/>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c>
          <w:tcPr>
            <w:tcW w:w="650" w:type="dxa"/>
            <w:tcBorders>
              <w:top w:val="single" w:color="auto" w:sz="4"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8" w:firstLineChars="196"/>
              <w:jc w:val="center"/>
              <w:textAlignment w:val="auto"/>
              <w:outlineLvl w:val="9"/>
              <w:rPr>
                <w:rFonts w:hint="eastAsia" w:ascii="仿宋" w:hAnsi="仿宋" w:eastAsia="仿宋" w:cs="仿宋"/>
                <w:sz w:val="28"/>
                <w:szCs w:val="28"/>
                <w:highlight w:val="none"/>
              </w:rPr>
            </w:pPr>
          </w:p>
        </w:tc>
      </w:tr>
    </w:tbl>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供应商：（名称和加盖公章）</w:t>
      </w:r>
    </w:p>
    <w:p>
      <w:pPr>
        <w:pageBreakBefore w:val="0"/>
        <w:kinsoku/>
        <w:overflowPunct/>
        <w:topLinePunct w:val="0"/>
        <w:bidi w:val="0"/>
        <w:spacing w:line="360" w:lineRule="auto"/>
        <w:ind w:left="0" w:leftChars="0" w:right="0" w:rightChars="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日期：XXX</w:t>
      </w:r>
      <w:r>
        <w:rPr>
          <w:rFonts w:hint="eastAsia" w:ascii="仿宋" w:hAnsi="仿宋" w:eastAsia="仿宋" w:cs="仿宋"/>
          <w:color w:val="000000" w:themeColor="text1"/>
          <w:sz w:val="28"/>
          <w:szCs w:val="28"/>
          <w:highlight w:val="none"/>
          <w:lang w:val="en-US" w:eastAsia="zh-CN"/>
          <w14:textFill>
            <w14:solidFill>
              <w14:schemeClr w14:val="tx1"/>
            </w14:solidFill>
          </w14:textFill>
        </w:rPr>
        <w:t>X</w:t>
      </w:r>
      <w:r>
        <w:rPr>
          <w:rFonts w:hint="eastAsia" w:ascii="仿宋" w:hAnsi="仿宋" w:eastAsia="仿宋" w:cs="仿宋"/>
          <w:color w:val="000000" w:themeColor="text1"/>
          <w:sz w:val="28"/>
          <w:szCs w:val="28"/>
          <w:highlight w:val="none"/>
          <w14:textFill>
            <w14:solidFill>
              <w14:schemeClr w14:val="tx1"/>
            </w14:solidFill>
          </w14:textFill>
        </w:rPr>
        <w:t>年XX</w:t>
      </w:r>
      <w:r>
        <w:rPr>
          <w:rFonts w:hint="eastAsia" w:ascii="仿宋" w:hAnsi="仿宋" w:eastAsia="仿宋" w:cs="仿宋"/>
          <w:color w:val="000000" w:themeColor="text1"/>
          <w:sz w:val="28"/>
          <w:szCs w:val="28"/>
          <w:highlight w:val="none"/>
          <w:lang w:eastAsia="zh-CN"/>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XX日</w:t>
      </w:r>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（N）……</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__________________</w:t>
      </w:r>
    </w:p>
    <w:p>
      <w:pPr>
        <w:pageBreakBefore w:val="0"/>
        <w:widowControl/>
        <w:kinsoku/>
        <w:overflowPunct/>
        <w:topLinePunct w:val="0"/>
        <w:bidi w:val="0"/>
        <w:spacing w:line="360" w:lineRule="auto"/>
        <w:ind w:left="0" w:leftChars="0" w:right="0" w:rightChars="0"/>
        <w:jc w:val="left"/>
        <w:textAlignment w:val="auto"/>
        <w:rPr>
          <w:rFonts w:hint="eastAsia" w:ascii="仿宋" w:hAnsi="仿宋" w:eastAsia="仿宋" w:cs="仿宋"/>
          <w:b/>
          <w:sz w:val="28"/>
          <w:szCs w:val="28"/>
        </w:rPr>
      </w:pPr>
    </w:p>
    <w:p>
      <w:pPr>
        <w:pageBreakBefore w:val="0"/>
        <w:widowControl/>
        <w:kinsoku/>
        <w:overflowPunct/>
        <w:topLinePunct w:val="0"/>
        <w:bidi w:val="0"/>
        <w:spacing w:line="360" w:lineRule="auto"/>
        <w:ind w:left="0" w:leftChars="0" w:right="0" w:rightChars="0"/>
        <w:jc w:val="left"/>
        <w:textAlignment w:val="auto"/>
        <w:rPr>
          <w:rFonts w:hint="eastAsia" w:ascii="仿宋" w:hAnsi="仿宋" w:eastAsia="仿宋" w:cs="仿宋"/>
          <w:b/>
          <w:sz w:val="28"/>
          <w:szCs w:val="28"/>
        </w:rPr>
      </w:pPr>
      <w:r>
        <w:rPr>
          <w:rFonts w:hint="eastAsia" w:ascii="仿宋" w:hAnsi="仿宋" w:eastAsia="仿宋" w:cs="仿宋"/>
          <w:b/>
          <w:sz w:val="28"/>
          <w:szCs w:val="28"/>
        </w:rPr>
        <w:br w:type="page"/>
      </w:r>
    </w:p>
    <w:p>
      <w:pPr>
        <w:pStyle w:val="5"/>
        <w:pageBreakBefore w:val="0"/>
        <w:numPr>
          <w:ilvl w:val="0"/>
          <w:numId w:val="5"/>
        </w:numPr>
        <w:kinsoku/>
        <w:overflowPunct/>
        <w:topLinePunct w:val="0"/>
        <w:bidi w:val="0"/>
        <w:spacing w:before="0" w:after="0" w:line="360" w:lineRule="auto"/>
        <w:ind w:left="0" w:leftChars="0" w:right="0" w:rightChars="0"/>
        <w:jc w:val="center"/>
        <w:textAlignment w:val="auto"/>
        <w:rPr>
          <w:rFonts w:hint="eastAsia" w:ascii="仿宋" w:hAnsi="仿宋" w:eastAsia="仿宋" w:cs="仿宋"/>
          <w:sz w:val="28"/>
          <w:szCs w:val="28"/>
        </w:rPr>
      </w:pPr>
      <w:bookmarkStart w:id="432" w:name="_Toc256000062"/>
      <w:bookmarkStart w:id="433" w:name="_Toc63765813"/>
      <w:bookmarkStart w:id="434" w:name="_Toc32624"/>
      <w:bookmarkStart w:id="435" w:name="_Toc256000127"/>
      <w:bookmarkStart w:id="436" w:name="_Toc6497"/>
      <w:r>
        <w:rPr>
          <w:rFonts w:hint="eastAsia" w:ascii="仿宋" w:hAnsi="仿宋" w:eastAsia="仿宋" w:cs="仿宋"/>
          <w:sz w:val="28"/>
          <w:szCs w:val="28"/>
        </w:rPr>
        <w:t>报价部分</w:t>
      </w:r>
      <w:bookmarkEnd w:id="432"/>
      <w:bookmarkEnd w:id="433"/>
      <w:bookmarkEnd w:id="434"/>
      <w:bookmarkEnd w:id="435"/>
      <w:bookmarkEnd w:id="436"/>
    </w:p>
    <w:p>
      <w:pPr>
        <w:pageBreakBefore w:val="0"/>
        <w:kinsoku/>
        <w:overflowPunct/>
        <w:topLinePunct w:val="0"/>
        <w:bidi w:val="0"/>
        <w:spacing w:line="360" w:lineRule="auto"/>
        <w:ind w:left="0" w:leftChars="0" w:right="0" w:rightChars="0"/>
        <w:textAlignment w:val="auto"/>
        <w:rPr>
          <w:rFonts w:hint="eastAsia" w:ascii="仿宋" w:hAnsi="仿宋" w:eastAsia="仿宋" w:cs="仿宋"/>
          <w:b/>
          <w:bCs/>
          <w:sz w:val="28"/>
          <w:szCs w:val="28"/>
        </w:rPr>
      </w:pPr>
      <w:r>
        <w:rPr>
          <w:rFonts w:hint="eastAsia" w:ascii="仿宋" w:hAnsi="仿宋" w:eastAsia="仿宋" w:cs="仿宋"/>
          <w:b/>
          <w:bCs/>
          <w:sz w:val="28"/>
          <w:szCs w:val="28"/>
        </w:rPr>
        <w:t>一、报价一览表</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采购项目名称：</w:t>
      </w:r>
      <w:bookmarkStart w:id="437" w:name="【Bobole_项目名称_4】"/>
      <w:r>
        <w:rPr>
          <w:rFonts w:hint="eastAsia" w:ascii="仿宋" w:hAnsi="仿宋" w:eastAsia="仿宋" w:cs="仿宋"/>
          <w:sz w:val="28"/>
          <w:szCs w:val="28"/>
        </w:rPr>
        <w:t>巴中市巴州区2023年百花溪小流域综合治理提质增效项目(第二次)</w:t>
      </w:r>
      <w:bookmarkEnd w:id="437"/>
      <w:r>
        <w:rPr>
          <w:rFonts w:hint="eastAsia" w:ascii="仿宋" w:hAnsi="仿宋" w:eastAsia="仿宋" w:cs="仿宋"/>
          <w:sz w:val="28"/>
          <w:szCs w:val="28"/>
        </w:rPr>
        <w:t xml:space="preserve"> </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 xml:space="preserve">采购文件编号： </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bookmarkStart w:id="438" w:name="【bobole_开标一览表表格】"/>
      <w:r>
        <w:rPr>
          <w:rFonts w:hint="eastAsia" w:ascii="仿宋" w:hAnsi="仿宋" w:eastAsia="仿宋" w:cs="仿宋"/>
          <w:sz w:val="28"/>
          <w:szCs w:val="28"/>
        </w:rPr>
        <w:t xml:space="preserve"> </w:t>
      </w:r>
      <w:r>
        <w:rPr>
          <w:rFonts w:hint="eastAsia" w:ascii="仿宋" w:hAnsi="仿宋" w:eastAsia="仿宋" w:cs="仿宋"/>
          <w:b w:val="0"/>
          <w:sz w:val="28"/>
          <w:szCs w:val="28"/>
        </w:rPr>
        <w:t xml:space="preserve"> </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4742"/>
        <w:gridCol w:w="1707"/>
        <w:gridCol w:w="1313"/>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sz w:val="28"/>
                <w:szCs w:val="28"/>
              </w:rPr>
            </w:pPr>
            <w:r>
              <w:rPr>
                <w:rFonts w:hint="eastAsia" w:ascii="仿宋" w:hAnsi="仿宋" w:eastAsia="仿宋" w:cs="仿宋"/>
                <w:b/>
                <w:sz w:val="28"/>
                <w:szCs w:val="28"/>
              </w:rPr>
              <w:t>序号</w:t>
            </w:r>
          </w:p>
        </w:tc>
        <w:tc>
          <w:tcPr>
            <w:tcW w:w="2406"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sz w:val="28"/>
                <w:szCs w:val="28"/>
              </w:rPr>
            </w:pPr>
            <w:r>
              <w:rPr>
                <w:rFonts w:hint="eastAsia" w:ascii="仿宋" w:hAnsi="仿宋" w:eastAsia="仿宋" w:cs="仿宋"/>
                <w:b/>
                <w:sz w:val="28"/>
                <w:szCs w:val="28"/>
              </w:rPr>
              <w:t>采购内容</w:t>
            </w:r>
          </w:p>
        </w:tc>
        <w:tc>
          <w:tcPr>
            <w:tcW w:w="866"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rPr>
              <w:t>数量</w:t>
            </w:r>
            <w:r>
              <w:rPr>
                <w:rFonts w:hint="eastAsia" w:ascii="仿宋" w:hAnsi="仿宋" w:eastAsia="仿宋" w:cs="仿宋"/>
                <w:b/>
                <w:sz w:val="28"/>
                <w:szCs w:val="28"/>
                <w:lang w:val="en-US" w:eastAsia="zh-CN"/>
              </w:rPr>
              <w:t>及单位</w:t>
            </w:r>
          </w:p>
        </w:tc>
        <w:tc>
          <w:tcPr>
            <w:tcW w:w="666"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sz w:val="28"/>
                <w:szCs w:val="28"/>
              </w:rPr>
            </w:pPr>
            <w:r>
              <w:rPr>
                <w:rFonts w:hint="eastAsia" w:ascii="仿宋" w:hAnsi="仿宋" w:eastAsia="仿宋" w:cs="仿宋"/>
                <w:b/>
                <w:sz w:val="28"/>
                <w:szCs w:val="28"/>
              </w:rPr>
              <w:t>报价</w:t>
            </w:r>
          </w:p>
        </w:tc>
        <w:tc>
          <w:tcPr>
            <w:tcW w:w="575"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8"/>
                <w:szCs w:val="28"/>
              </w:rPr>
            </w:pPr>
            <w:r>
              <w:rPr>
                <w:rFonts w:hint="eastAsia" w:ascii="仿宋" w:hAnsi="仿宋" w:eastAsia="仿宋" w:cs="仿宋"/>
                <w:b w:val="0"/>
                <w:sz w:val="28"/>
                <w:szCs w:val="28"/>
              </w:rPr>
              <w:t>1</w:t>
            </w:r>
          </w:p>
        </w:tc>
        <w:tc>
          <w:tcPr>
            <w:tcW w:w="2406"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8"/>
                <w:szCs w:val="28"/>
              </w:rPr>
            </w:pPr>
            <w:r>
              <w:rPr>
                <w:rFonts w:hint="eastAsia" w:ascii="仿宋" w:hAnsi="仿宋" w:eastAsia="仿宋" w:cs="仿宋"/>
                <w:b w:val="0"/>
                <w:sz w:val="28"/>
                <w:szCs w:val="28"/>
              </w:rPr>
              <w:t>巴中市巴州区2023年百花溪小流域综合治理提质增效项目</w:t>
            </w:r>
          </w:p>
        </w:tc>
        <w:tc>
          <w:tcPr>
            <w:tcW w:w="866"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8"/>
                <w:szCs w:val="28"/>
              </w:rPr>
            </w:pPr>
            <w:r>
              <w:rPr>
                <w:rFonts w:hint="eastAsia" w:ascii="仿宋" w:hAnsi="仿宋" w:eastAsia="仿宋" w:cs="仿宋"/>
                <w:b w:val="0"/>
                <w:sz w:val="28"/>
                <w:szCs w:val="28"/>
              </w:rPr>
              <w:t>1项</w:t>
            </w:r>
          </w:p>
        </w:tc>
        <w:tc>
          <w:tcPr>
            <w:tcW w:w="666"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8"/>
                <w:szCs w:val="28"/>
              </w:rPr>
            </w:pPr>
          </w:p>
        </w:tc>
        <w:tc>
          <w:tcPr>
            <w:tcW w:w="575"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000" w:type="pct"/>
            <w:gridSpan w:val="5"/>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8"/>
                <w:szCs w:val="28"/>
              </w:rPr>
            </w:pPr>
            <w:r>
              <w:rPr>
                <w:rFonts w:hint="eastAsia" w:ascii="仿宋" w:hAnsi="仿宋" w:eastAsia="仿宋" w:cs="仿宋"/>
                <w:b w:val="0"/>
                <w:sz w:val="28"/>
                <w:szCs w:val="28"/>
              </w:rPr>
              <w:t>供应商报价:_________ 元   (大写:_________ )</w:t>
            </w:r>
          </w:p>
        </w:tc>
      </w:tr>
      <w:bookmarkEnd w:id="438"/>
    </w:tbl>
    <w:p>
      <w:pPr>
        <w:rPr>
          <w:rFonts w:hint="eastAsia" w:ascii="仿宋" w:hAnsi="仿宋" w:eastAsia="仿宋" w:cs="仿宋"/>
          <w:sz w:val="28"/>
          <w:szCs w:val="28"/>
        </w:rPr>
      </w:pP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（名称和加盖公章）</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供应商代表：</w:t>
      </w:r>
      <w:r>
        <w:rPr>
          <w:rFonts w:hint="eastAsia" w:ascii="仿宋" w:hAnsi="仿宋" w:eastAsia="仿宋" w:cs="仿宋"/>
          <w:sz w:val="28"/>
          <w:szCs w:val="28"/>
          <w:u w:val="single"/>
        </w:rPr>
        <w:t>（签字）</w:t>
      </w:r>
    </w:p>
    <w:p>
      <w:pPr>
        <w:pageBreakBefore w:val="0"/>
        <w:kinsoku/>
        <w:overflowPunct/>
        <w:topLinePunct w:val="0"/>
        <w:bidi w:val="0"/>
        <w:spacing w:line="360" w:lineRule="auto"/>
        <w:ind w:left="0" w:leftChars="0" w:right="0" w:rightChars="0"/>
        <w:textAlignment w:val="auto"/>
        <w:rPr>
          <w:rFonts w:hint="eastAsia" w:ascii="仿宋" w:hAnsi="仿宋" w:eastAsia="仿宋" w:cs="仿宋"/>
        </w:rPr>
      </w:pPr>
      <w:r>
        <w:rPr>
          <w:rFonts w:hint="eastAsia" w:ascii="仿宋" w:hAnsi="仿宋" w:eastAsia="仿宋" w:cs="仿宋"/>
          <w:sz w:val="28"/>
          <w:szCs w:val="28"/>
        </w:rPr>
        <w:br w:type="page"/>
      </w:r>
      <w:r>
        <w:rPr>
          <w:rFonts w:hint="eastAsia" w:ascii="仿宋" w:hAnsi="仿宋" w:eastAsia="仿宋" w:cs="仿宋"/>
          <w:sz w:val="24"/>
        </w:rPr>
        <w:t xml:space="preserve"> </w:t>
      </w:r>
    </w:p>
    <w:p>
      <w:pPr>
        <w:pStyle w:val="5"/>
        <w:pageBreakBefore w:val="0"/>
        <w:numPr>
          <w:ilvl w:val="0"/>
          <w:numId w:val="5"/>
        </w:numPr>
        <w:kinsoku/>
        <w:overflowPunct/>
        <w:topLinePunct w:val="0"/>
        <w:bidi w:val="0"/>
        <w:spacing w:before="0" w:after="0" w:line="360" w:lineRule="auto"/>
        <w:ind w:left="0" w:leftChars="0" w:right="0" w:rightChars="0"/>
        <w:jc w:val="center"/>
        <w:textAlignment w:val="auto"/>
        <w:rPr>
          <w:rFonts w:hint="eastAsia" w:ascii="仿宋" w:hAnsi="仿宋" w:eastAsia="仿宋" w:cs="仿宋"/>
        </w:rPr>
      </w:pPr>
      <w:bookmarkStart w:id="439" w:name="_Toc256000063"/>
      <w:bookmarkStart w:id="440" w:name="_Toc63765814"/>
      <w:bookmarkStart w:id="441" w:name="_Toc5998"/>
      <w:bookmarkStart w:id="442" w:name="_Toc256000128"/>
      <w:bookmarkStart w:id="443" w:name="_Toc8889"/>
      <w:r>
        <w:rPr>
          <w:rFonts w:hint="eastAsia" w:ascii="仿宋" w:hAnsi="仿宋" w:eastAsia="仿宋" w:cs="仿宋"/>
        </w:rPr>
        <w:t>技术、服务响应部分</w:t>
      </w:r>
      <w:bookmarkEnd w:id="439"/>
      <w:bookmarkEnd w:id="440"/>
      <w:bookmarkEnd w:id="441"/>
      <w:bookmarkEnd w:id="442"/>
      <w:bookmarkEnd w:id="443"/>
    </w:p>
    <w:p>
      <w:pPr>
        <w:pageBreakBefore w:val="0"/>
        <w:widowControl/>
        <w:numPr>
          <w:ilvl w:val="0"/>
          <w:numId w:val="7"/>
        </w:numPr>
        <w:kinsoku/>
        <w:overflowPunct/>
        <w:topLinePunct w:val="0"/>
        <w:bidi w:val="0"/>
        <w:spacing w:line="360" w:lineRule="auto"/>
        <w:ind w:left="0" w:leftChars="0" w:right="0" w:rightChars="0"/>
        <w:jc w:val="both"/>
        <w:textAlignment w:val="auto"/>
        <w:outlineLvl w:val="2"/>
        <w:rPr>
          <w:rFonts w:hint="eastAsia" w:ascii="仿宋" w:hAnsi="仿宋" w:eastAsia="仿宋" w:cs="仿宋"/>
          <w:b/>
          <w:bCs/>
          <w:color w:val="auto"/>
          <w:sz w:val="24"/>
          <w:highlight w:val="none"/>
        </w:rPr>
      </w:pPr>
      <w:bookmarkStart w:id="444" w:name="_Toc256000129"/>
      <w:bookmarkStart w:id="445" w:name="_Toc13907"/>
      <w:bookmarkStart w:id="446" w:name="_Toc256000064"/>
      <w:bookmarkStart w:id="447" w:name="_Toc13627"/>
      <w:bookmarkStart w:id="448" w:name="_Toc6982"/>
      <w:r>
        <w:rPr>
          <w:rFonts w:hint="eastAsia" w:ascii="仿宋" w:hAnsi="仿宋" w:eastAsia="仿宋" w:cs="仿宋"/>
          <w:b/>
          <w:bCs/>
          <w:color w:val="auto"/>
          <w:sz w:val="24"/>
          <w:highlight w:val="none"/>
          <w:lang w:val="en-US" w:eastAsia="zh-CN"/>
        </w:rPr>
        <w:t>服务</w:t>
      </w:r>
      <w:r>
        <w:rPr>
          <w:rFonts w:hint="eastAsia" w:ascii="仿宋" w:hAnsi="仿宋" w:eastAsia="仿宋" w:cs="仿宋"/>
          <w:b/>
          <w:bCs/>
          <w:color w:val="auto"/>
          <w:sz w:val="24"/>
          <w:highlight w:val="none"/>
        </w:rPr>
        <w:t>要求应答表</w:t>
      </w:r>
      <w:bookmarkEnd w:id="444"/>
      <w:bookmarkEnd w:id="445"/>
      <w:bookmarkEnd w:id="446"/>
      <w:bookmarkEnd w:id="447"/>
      <w:bookmarkEnd w:id="448"/>
    </w:p>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项目名称</w:t>
      </w:r>
      <w:r>
        <w:rPr>
          <w:rFonts w:hint="eastAsia" w:ascii="仿宋" w:hAnsi="仿宋" w:eastAsia="仿宋" w:cs="仿宋"/>
          <w:color w:val="000000"/>
          <w:sz w:val="24"/>
          <w:szCs w:val="24"/>
          <w:highlight w:val="none"/>
        </w:rPr>
        <w:t xml:space="preserve">： </w:t>
      </w:r>
    </w:p>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both"/>
        <w:textAlignment w:val="auto"/>
        <w:rPr>
          <w:rFonts w:hint="eastAsia" w:ascii="仿宋" w:hAnsi="仿宋" w:eastAsia="仿宋" w:cs="仿宋"/>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eastAsia="zh-CN"/>
        </w:rPr>
        <w:t>项目编号</w:t>
      </w:r>
      <w:r>
        <w:rPr>
          <w:rFonts w:hint="eastAsia" w:ascii="仿宋" w:hAnsi="仿宋" w:eastAsia="仿宋" w:cs="仿宋"/>
          <w:color w:val="000000"/>
          <w:sz w:val="24"/>
          <w:szCs w:val="24"/>
          <w:highlight w:val="none"/>
        </w:rPr>
        <w:t>：</w:t>
      </w:r>
    </w:p>
    <w:tbl>
      <w:tblPr>
        <w:tblStyle w:val="15"/>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4736"/>
        <w:gridCol w:w="3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序号</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要求</w:t>
            </w:r>
          </w:p>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eastAsia="zh-CN"/>
              </w:rPr>
              <w:t>竞争性磋商文件第</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章</w:t>
            </w:r>
            <w:r>
              <w:rPr>
                <w:rFonts w:hint="eastAsia" w:ascii="仿宋" w:hAnsi="仿宋" w:eastAsia="仿宋" w:cs="仿宋"/>
                <w:color w:val="auto"/>
                <w:sz w:val="24"/>
                <w:szCs w:val="24"/>
                <w:highlight w:val="none"/>
              </w:rPr>
              <w:t>）</w:t>
            </w:r>
          </w:p>
        </w:tc>
        <w:tc>
          <w:tcPr>
            <w:tcW w:w="3395"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的应答</w:t>
            </w:r>
            <w:r>
              <w:rPr>
                <w:rFonts w:hint="eastAsia" w:ascii="仿宋" w:hAnsi="仿宋" w:eastAsia="仿宋" w:cs="仿宋"/>
                <w:color w:val="auto"/>
                <w:sz w:val="24"/>
                <w:szCs w:val="24"/>
                <w:highlight w:val="none"/>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3395"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3395"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3395"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3395"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3395"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3395"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3395"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3395"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3395"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r>
    </w:tbl>
    <w:p>
      <w:pPr>
        <w:keepNext w:val="0"/>
        <w:keepLines w:val="0"/>
        <w:pageBreakBefore w:val="0"/>
        <w:kinsoku/>
        <w:wordWrap/>
        <w:overflowPunct/>
        <w:topLinePunct w:val="0"/>
        <w:autoSpaceDE/>
        <w:autoSpaceDN/>
        <w:bidi w:val="0"/>
        <w:snapToGrid/>
        <w:spacing w:line="360" w:lineRule="auto"/>
        <w:ind w:left="0" w:leftChars="0" w:right="0" w:rightChars="0" w:firstLine="482"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注：</w:t>
      </w:r>
      <w:r>
        <w:rPr>
          <w:rFonts w:hint="eastAsia" w:ascii="仿宋" w:hAnsi="仿宋" w:eastAsia="仿宋" w:cs="仿宋"/>
          <w:b/>
          <w:bCs/>
          <w:color w:val="000000"/>
          <w:sz w:val="24"/>
          <w:szCs w:val="24"/>
          <w:highlight w:val="none"/>
          <w:lang w:val="en-US" w:eastAsia="zh-CN"/>
        </w:rPr>
        <w:t>1.</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eastAsia="zh-CN"/>
        </w:rPr>
        <w:t>竞争性磋商文件</w:t>
      </w:r>
      <w:r>
        <w:rPr>
          <w:rFonts w:hint="eastAsia" w:ascii="仿宋" w:hAnsi="仿宋" w:eastAsia="仿宋" w:cs="仿宋"/>
          <w:color w:val="000000"/>
          <w:sz w:val="24"/>
          <w:szCs w:val="24"/>
          <w:highlight w:val="none"/>
        </w:rPr>
        <w:t>要求据实逐条填写，不得虚假响应，虚假响应的，其</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无效并按规定追究其相关责任。</w:t>
      </w:r>
    </w:p>
    <w:p>
      <w:pPr>
        <w:pageBreakBefore w:val="0"/>
        <w:kinsoku/>
        <w:overflowPunct/>
        <w:topLinePunct w:val="0"/>
        <w:bidi w:val="0"/>
        <w:spacing w:line="36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的应答</w:t>
      </w:r>
      <w:r>
        <w:rPr>
          <w:rFonts w:hint="eastAsia" w:ascii="仿宋" w:hAnsi="仿宋" w:eastAsia="仿宋" w:cs="仿宋"/>
          <w:color w:val="000000"/>
          <w:sz w:val="24"/>
          <w:szCs w:val="24"/>
          <w:highlight w:val="none"/>
          <w:lang w:eastAsia="zh-CN"/>
        </w:rPr>
        <w:t>情况</w:t>
      </w:r>
      <w:r>
        <w:rPr>
          <w:rFonts w:hint="eastAsia" w:ascii="仿宋" w:hAnsi="仿宋" w:eastAsia="仿宋" w:cs="仿宋"/>
          <w:sz w:val="24"/>
          <w:highlight w:val="none"/>
        </w:rPr>
        <w:t>”一列，填写“符合”、“部分符合”或“不符合”。</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加盖</w:t>
      </w:r>
      <w:r>
        <w:rPr>
          <w:rFonts w:hint="eastAsia" w:ascii="仿宋" w:hAnsi="仿宋" w:eastAsia="仿宋" w:cs="仿宋"/>
          <w:color w:val="auto"/>
          <w:sz w:val="24"/>
          <w:szCs w:val="24"/>
          <w:highlight w:val="none"/>
        </w:rPr>
        <w:t>公章）：</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XXX年XXX月XXX日</w:t>
      </w:r>
    </w:p>
    <w:p>
      <w:pPr>
        <w:pageBreakBefore w:val="0"/>
        <w:kinsoku/>
        <w:overflowPunct/>
        <w:topLinePunct w:val="0"/>
        <w:bidi w:val="0"/>
        <w:spacing w:line="36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 </w:t>
      </w:r>
    </w:p>
    <w:p>
      <w:pPr>
        <w:pageBreakBefore w:val="0"/>
        <w:kinsoku/>
        <w:overflowPunct/>
        <w:topLinePunct w:val="0"/>
        <w:bidi w:val="0"/>
        <w:spacing w:line="360" w:lineRule="auto"/>
        <w:ind w:left="0" w:leftChars="0" w:right="0" w:rightChars="0"/>
        <w:jc w:val="right"/>
        <w:textAlignment w:val="auto"/>
        <w:rPr>
          <w:rFonts w:hint="eastAsia" w:ascii="仿宋" w:hAnsi="仿宋" w:eastAsia="仿宋" w:cs="仿宋"/>
          <w:sz w:val="32"/>
          <w:szCs w:val="32"/>
        </w:rPr>
      </w:pPr>
    </w:p>
    <w:p>
      <w:pPr>
        <w:pageBreakBefore w:val="0"/>
        <w:kinsoku/>
        <w:overflowPunct/>
        <w:topLinePunct w:val="0"/>
        <w:bidi w:val="0"/>
        <w:spacing w:line="360" w:lineRule="auto"/>
        <w:ind w:left="0" w:leftChars="0" w:right="0" w:rightChars="0"/>
        <w:textAlignment w:val="auto"/>
        <w:rPr>
          <w:rFonts w:hint="eastAsia" w:ascii="仿宋" w:hAnsi="仿宋" w:eastAsia="仿宋" w:cs="仿宋"/>
          <w:b/>
          <w:bCs/>
          <w:sz w:val="24"/>
        </w:rPr>
      </w:pPr>
      <w:bookmarkStart w:id="449" w:name="_Toc23289"/>
      <w:r>
        <w:rPr>
          <w:rFonts w:hint="eastAsia" w:ascii="仿宋" w:hAnsi="仿宋" w:eastAsia="仿宋" w:cs="仿宋"/>
          <w:b/>
          <w:bCs/>
          <w:sz w:val="24"/>
        </w:rPr>
        <w:br w:type="page"/>
      </w:r>
    </w:p>
    <w:p>
      <w:pPr>
        <w:pageBreakBefore w:val="0"/>
        <w:widowControl/>
        <w:kinsoku/>
        <w:overflowPunct/>
        <w:topLinePunct w:val="0"/>
        <w:bidi w:val="0"/>
        <w:spacing w:line="360" w:lineRule="auto"/>
        <w:ind w:left="0" w:leftChars="0" w:right="0" w:rightChars="0"/>
        <w:jc w:val="both"/>
        <w:textAlignment w:val="auto"/>
        <w:outlineLvl w:val="2"/>
        <w:rPr>
          <w:rFonts w:hint="eastAsia" w:ascii="仿宋" w:hAnsi="仿宋" w:eastAsia="仿宋" w:cs="仿宋"/>
          <w:b/>
          <w:bCs/>
          <w:color w:val="auto"/>
          <w:sz w:val="24"/>
          <w:highlight w:val="none"/>
        </w:rPr>
      </w:pPr>
      <w:bookmarkStart w:id="450" w:name="_Toc256000065"/>
      <w:bookmarkStart w:id="451" w:name="_Toc21494"/>
      <w:bookmarkStart w:id="452" w:name="_Toc256000130"/>
      <w:bookmarkStart w:id="453" w:name="_Toc6676"/>
      <w:r>
        <w:rPr>
          <w:rFonts w:hint="eastAsia" w:ascii="仿宋" w:hAnsi="仿宋" w:eastAsia="仿宋" w:cs="仿宋"/>
          <w:b/>
          <w:bCs/>
          <w:sz w:val="24"/>
        </w:rPr>
        <w:t>二、</w:t>
      </w:r>
      <w:r>
        <w:rPr>
          <w:rFonts w:hint="eastAsia" w:ascii="仿宋" w:hAnsi="仿宋" w:eastAsia="仿宋" w:cs="仿宋"/>
          <w:b/>
          <w:bCs/>
          <w:color w:val="auto"/>
          <w:sz w:val="24"/>
          <w:highlight w:val="none"/>
          <w:lang w:eastAsia="zh-CN"/>
        </w:rPr>
        <w:t>商务应答表</w:t>
      </w:r>
      <w:bookmarkEnd w:id="449"/>
      <w:bookmarkEnd w:id="450"/>
      <w:bookmarkEnd w:id="451"/>
      <w:bookmarkEnd w:id="452"/>
      <w:bookmarkEnd w:id="453"/>
    </w:p>
    <w:tbl>
      <w:tblPr>
        <w:tblStyle w:val="1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4736"/>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序号</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要求</w:t>
            </w:r>
          </w:p>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eastAsia="zh-CN"/>
              </w:rPr>
              <w:t>竞争性磋商文件第</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章</w:t>
            </w:r>
            <w:r>
              <w:rPr>
                <w:rFonts w:hint="eastAsia" w:ascii="仿宋" w:hAnsi="仿宋" w:eastAsia="仿宋" w:cs="仿宋"/>
                <w:color w:val="auto"/>
                <w:sz w:val="24"/>
                <w:szCs w:val="24"/>
                <w:highlight w:val="none"/>
              </w:rPr>
              <w:t>）</w:t>
            </w:r>
          </w:p>
        </w:tc>
        <w:tc>
          <w:tcPr>
            <w:tcW w:w="332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的应答</w:t>
            </w:r>
            <w:r>
              <w:rPr>
                <w:rFonts w:hint="eastAsia" w:ascii="仿宋" w:hAnsi="仿宋" w:eastAsia="仿宋" w:cs="仿宋"/>
                <w:color w:val="auto"/>
                <w:sz w:val="24"/>
                <w:szCs w:val="24"/>
                <w:highlight w:val="none"/>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332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332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332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332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332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332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332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332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4736"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3320" w:type="dxa"/>
            <w:noWrap w:val="0"/>
            <w:vAlign w:val="center"/>
          </w:tcPr>
          <w:p>
            <w:pPr>
              <w:pStyle w:val="10"/>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r>
    </w:tbl>
    <w:p>
      <w:pPr>
        <w:keepNext w:val="0"/>
        <w:keepLines w:val="0"/>
        <w:pageBreakBefore w:val="0"/>
        <w:kinsoku/>
        <w:wordWrap/>
        <w:overflowPunct/>
        <w:topLinePunct w:val="0"/>
        <w:autoSpaceDE/>
        <w:autoSpaceDN/>
        <w:bidi w:val="0"/>
        <w:snapToGrid/>
        <w:spacing w:line="360" w:lineRule="auto"/>
        <w:ind w:left="0" w:leftChars="0" w:right="0" w:rightChars="0" w:firstLine="482"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注：</w:t>
      </w:r>
      <w:r>
        <w:rPr>
          <w:rFonts w:hint="eastAsia" w:ascii="仿宋" w:hAnsi="仿宋" w:eastAsia="仿宋" w:cs="仿宋"/>
          <w:b/>
          <w:bCs/>
          <w:color w:val="000000"/>
          <w:sz w:val="24"/>
          <w:szCs w:val="24"/>
          <w:highlight w:val="none"/>
          <w:lang w:val="en-US" w:eastAsia="zh-CN"/>
        </w:rPr>
        <w:t>1.</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eastAsia="zh-CN"/>
        </w:rPr>
        <w:t>竞争性磋商文件</w:t>
      </w:r>
      <w:r>
        <w:rPr>
          <w:rFonts w:hint="eastAsia" w:ascii="仿宋" w:hAnsi="仿宋" w:eastAsia="仿宋" w:cs="仿宋"/>
          <w:color w:val="000000"/>
          <w:sz w:val="24"/>
          <w:szCs w:val="24"/>
          <w:highlight w:val="none"/>
        </w:rPr>
        <w:t>要求据实逐条填写，不得虚假响应，虚假响应的，其</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无效并按规定追究其相关责任。</w:t>
      </w:r>
    </w:p>
    <w:p>
      <w:pPr>
        <w:pageBreakBefore w:val="0"/>
        <w:kinsoku/>
        <w:overflowPunct/>
        <w:topLinePunct w:val="0"/>
        <w:bidi w:val="0"/>
        <w:spacing w:line="36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的应答</w:t>
      </w:r>
      <w:r>
        <w:rPr>
          <w:rFonts w:hint="eastAsia" w:ascii="仿宋" w:hAnsi="仿宋" w:eastAsia="仿宋" w:cs="仿宋"/>
          <w:color w:val="000000"/>
          <w:sz w:val="24"/>
          <w:szCs w:val="24"/>
          <w:highlight w:val="none"/>
          <w:lang w:eastAsia="zh-CN"/>
        </w:rPr>
        <w:t>情况</w:t>
      </w:r>
      <w:r>
        <w:rPr>
          <w:rFonts w:hint="eastAsia" w:ascii="仿宋" w:hAnsi="仿宋" w:eastAsia="仿宋" w:cs="仿宋"/>
          <w:sz w:val="24"/>
          <w:highlight w:val="none"/>
        </w:rPr>
        <w:t>”一列，填写“符合”、“部分符合”或“不符合”。</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加盖</w:t>
      </w:r>
      <w:r>
        <w:rPr>
          <w:rFonts w:hint="eastAsia" w:ascii="仿宋" w:hAnsi="仿宋" w:eastAsia="仿宋" w:cs="仿宋"/>
          <w:color w:val="auto"/>
          <w:sz w:val="24"/>
          <w:szCs w:val="24"/>
          <w:highlight w:val="none"/>
        </w:rPr>
        <w:t>公章）：</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XXX年XXX月XXX日</w:t>
      </w:r>
    </w:p>
    <w:p>
      <w:pPr>
        <w:pageBreakBefore w:val="0"/>
        <w:kinsoku/>
        <w:overflowPunct/>
        <w:topLinePunct w:val="0"/>
        <w:bidi w:val="0"/>
        <w:spacing w:line="360" w:lineRule="auto"/>
        <w:ind w:left="0" w:leftChars="0" w:right="0" w:rightChars="0" w:firstLine="480" w:firstLineChars="200"/>
        <w:textAlignment w:val="auto"/>
        <w:rPr>
          <w:rFonts w:hint="eastAsia" w:ascii="仿宋" w:hAnsi="仿宋" w:eastAsia="仿宋" w:cs="仿宋"/>
          <w:sz w:val="24"/>
        </w:rPr>
      </w:pP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4"/>
        </w:rPr>
      </w:pPr>
    </w:p>
    <w:p>
      <w:pPr>
        <w:pageBreakBefore w:val="0"/>
        <w:kinsoku/>
        <w:overflowPunct/>
        <w:topLinePunct w:val="0"/>
        <w:bidi w:val="0"/>
        <w:spacing w:line="360" w:lineRule="auto"/>
        <w:ind w:left="0" w:leftChars="0" w:right="0" w:rightChars="0" w:firstLine="4680" w:firstLineChars="1950"/>
        <w:textAlignment w:val="auto"/>
        <w:rPr>
          <w:rFonts w:hint="eastAsia" w:ascii="仿宋" w:hAnsi="仿宋" w:eastAsia="仿宋" w:cs="仿宋"/>
        </w:rPr>
      </w:pPr>
      <w:r>
        <w:rPr>
          <w:rFonts w:hint="eastAsia" w:ascii="仿宋" w:hAnsi="仿宋" w:eastAsia="仿宋" w:cs="仿宋"/>
          <w:sz w:val="24"/>
        </w:rPr>
        <w:t xml:space="preserve"> </w:t>
      </w:r>
    </w:p>
    <w:p>
      <w:pPr>
        <w:pageBreakBefore w:val="0"/>
        <w:kinsoku/>
        <w:overflowPunct/>
        <w:topLinePunct w:val="0"/>
        <w:bidi w:val="0"/>
        <w:spacing w:line="360" w:lineRule="auto"/>
        <w:ind w:left="0" w:leftChars="0" w:right="0" w:rightChars="0"/>
        <w:textAlignment w:val="auto"/>
        <w:rPr>
          <w:rFonts w:hint="eastAsia" w:ascii="仿宋" w:hAnsi="仿宋" w:eastAsia="仿宋" w:cs="仿宋"/>
          <w:b/>
          <w:bCs/>
          <w:sz w:val="24"/>
        </w:rPr>
      </w:pPr>
      <w:r>
        <w:rPr>
          <w:rFonts w:hint="eastAsia" w:ascii="仿宋" w:hAnsi="仿宋" w:eastAsia="仿宋" w:cs="仿宋"/>
          <w:b/>
          <w:bCs/>
          <w:sz w:val="24"/>
        </w:rPr>
        <w:t>三、项目实施方案</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rPr>
      </w:pPr>
      <w:r>
        <w:rPr>
          <w:rFonts w:hint="eastAsia" w:ascii="仿宋" w:hAnsi="仿宋" w:eastAsia="仿宋" w:cs="仿宋"/>
          <w:sz w:val="28"/>
          <w:u w:val="single"/>
        </w:rPr>
        <w:t xml:space="preserve">                               </w:t>
      </w:r>
    </w:p>
    <w:p>
      <w:pPr>
        <w:pageBreakBefore w:val="0"/>
        <w:kinsoku/>
        <w:overflowPunct/>
        <w:topLinePunct w:val="0"/>
        <w:bidi w:val="0"/>
        <w:spacing w:line="360" w:lineRule="auto"/>
        <w:ind w:left="0" w:leftChars="0" w:right="0" w:rightChars="0"/>
        <w:textAlignment w:val="auto"/>
        <w:rPr>
          <w:rFonts w:hint="eastAsia" w:ascii="仿宋" w:hAnsi="仿宋" w:eastAsia="仿宋" w:cs="仿宋"/>
          <w:b/>
          <w:bCs/>
          <w:sz w:val="24"/>
        </w:rPr>
      </w:pPr>
      <w:r>
        <w:rPr>
          <w:rFonts w:hint="eastAsia" w:ascii="仿宋" w:hAnsi="仿宋" w:eastAsia="仿宋" w:cs="仿宋"/>
          <w:b/>
          <w:bCs/>
          <w:sz w:val="24"/>
        </w:rPr>
        <w:t>四、售后服务相关材料</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rPr>
      </w:pPr>
      <w:r>
        <w:rPr>
          <w:rFonts w:hint="eastAsia" w:ascii="仿宋" w:hAnsi="仿宋" w:eastAsia="仿宋" w:cs="仿宋"/>
          <w:sz w:val="28"/>
          <w:u w:val="single"/>
        </w:rPr>
        <w:t xml:space="preserve">                               </w:t>
      </w:r>
    </w:p>
    <w:p>
      <w:pPr>
        <w:pageBreakBefore w:val="0"/>
        <w:kinsoku/>
        <w:overflowPunct/>
        <w:topLinePunct w:val="0"/>
        <w:bidi w:val="0"/>
        <w:spacing w:line="360" w:lineRule="auto"/>
        <w:ind w:left="0" w:leftChars="0" w:right="0" w:rightChars="0"/>
        <w:textAlignment w:val="auto"/>
        <w:rPr>
          <w:rFonts w:hint="eastAsia" w:ascii="仿宋" w:hAnsi="仿宋" w:eastAsia="仿宋" w:cs="仿宋"/>
          <w:b/>
          <w:bCs/>
          <w:sz w:val="24"/>
        </w:rPr>
      </w:pPr>
      <w:r>
        <w:rPr>
          <w:rFonts w:hint="eastAsia" w:ascii="仿宋" w:hAnsi="仿宋" w:eastAsia="仿宋" w:cs="仿宋"/>
          <w:b/>
          <w:bCs/>
          <w:sz w:val="24"/>
        </w:rPr>
        <w:br w:type="page"/>
      </w:r>
    </w:p>
    <w:p>
      <w:pPr>
        <w:pageBreakBefore w:val="0"/>
        <w:kinsoku/>
        <w:overflowPunct/>
        <w:topLinePunct w:val="0"/>
        <w:bidi w:val="0"/>
        <w:spacing w:line="360" w:lineRule="auto"/>
        <w:ind w:left="0" w:leftChars="0" w:right="0" w:rightChars="0"/>
        <w:textAlignment w:val="auto"/>
        <w:rPr>
          <w:rFonts w:hint="eastAsia" w:ascii="仿宋" w:hAnsi="仿宋" w:eastAsia="仿宋" w:cs="仿宋"/>
          <w:b/>
          <w:bCs/>
          <w:sz w:val="24"/>
        </w:rPr>
      </w:pPr>
      <w:r>
        <w:rPr>
          <w:rFonts w:hint="eastAsia" w:ascii="仿宋" w:hAnsi="仿宋" w:eastAsia="仿宋" w:cs="仿宋"/>
          <w:b/>
          <w:bCs/>
          <w:sz w:val="24"/>
        </w:rPr>
        <w:t>五、供应商认为需要提供的其它相关资料</w:t>
      </w:r>
    </w:p>
    <w:p>
      <w:pPr>
        <w:pageBreakBefore w:val="0"/>
        <w:kinsoku/>
        <w:overflowPunct/>
        <w:topLinePunct w:val="0"/>
        <w:bidi w:val="0"/>
        <w:spacing w:line="360" w:lineRule="auto"/>
        <w:ind w:left="0" w:leftChars="0" w:right="0" w:rightChars="0"/>
        <w:textAlignment w:val="auto"/>
        <w:rPr>
          <w:rFonts w:hint="eastAsia" w:ascii="仿宋" w:hAnsi="仿宋" w:eastAsia="仿宋" w:cs="仿宋"/>
          <w:b/>
          <w:sz w:val="28"/>
          <w:szCs w:val="28"/>
        </w:rPr>
      </w:pPr>
      <w:r>
        <w:rPr>
          <w:rFonts w:hint="eastAsia" w:ascii="仿宋" w:hAnsi="仿宋" w:eastAsia="仿宋" w:cs="仿宋"/>
          <w:b/>
          <w:sz w:val="28"/>
          <w:szCs w:val="28"/>
        </w:rPr>
        <w:t>（一）关于享受价格扣除提供的材料</w:t>
      </w:r>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1.中小企业声明函</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本公司郑重声明，根据《政府采购促进中小企业发展管理办法》（财库﹝2020﹞46 号）的规定，本公司参加</w:t>
      </w:r>
      <w:r>
        <w:rPr>
          <w:rFonts w:hint="eastAsia" w:ascii="仿宋" w:hAnsi="仿宋" w:eastAsia="仿宋" w:cs="仿宋"/>
          <w:sz w:val="28"/>
          <w:szCs w:val="28"/>
          <w:u w:val="single"/>
        </w:rPr>
        <w:t xml:space="preserve">       </w:t>
      </w:r>
      <w:r>
        <w:rPr>
          <w:rFonts w:hint="eastAsia" w:ascii="仿宋" w:hAnsi="仿宋" w:eastAsia="仿宋" w:cs="仿宋"/>
          <w:sz w:val="28"/>
          <w:szCs w:val="28"/>
        </w:rPr>
        <w:t>的</w:t>
      </w:r>
      <w:r>
        <w:rPr>
          <w:rFonts w:hint="eastAsia" w:ascii="仿宋" w:hAnsi="仿宋" w:eastAsia="仿宋" w:cs="仿宋"/>
          <w:sz w:val="28"/>
          <w:szCs w:val="28"/>
          <w:u w:val="single"/>
        </w:rPr>
        <w:t xml:space="preserve">        </w:t>
      </w:r>
      <w:r>
        <w:rPr>
          <w:rFonts w:hint="eastAsia" w:ascii="仿宋" w:hAnsi="仿宋" w:eastAsia="仿宋" w:cs="仿宋"/>
          <w:sz w:val="28"/>
          <w:szCs w:val="28"/>
        </w:rPr>
        <w:t>采购活动，服务全部由符合政策要求的中小企业承接。相关企业的具体情况如下：</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rPr>
        <w:t>（标的名称）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行业；</w:t>
      </w:r>
      <w:r>
        <w:rPr>
          <w:rFonts w:hint="eastAsia" w:ascii="仿宋" w:hAnsi="仿宋" w:eastAsia="仿宋" w:cs="仿宋"/>
          <w:sz w:val="28"/>
          <w:szCs w:val="28"/>
          <w:lang w:eastAsia="zh-CN"/>
        </w:rPr>
        <w:t>承接企业</w:t>
      </w:r>
      <w:r>
        <w:rPr>
          <w:rFonts w:hint="eastAsia" w:ascii="仿宋" w:hAnsi="仿宋" w:eastAsia="仿宋" w:cs="仿宋"/>
          <w:sz w:val="28"/>
          <w:szCs w:val="28"/>
        </w:rPr>
        <w:t>为</w:t>
      </w:r>
      <w:r>
        <w:rPr>
          <w:rFonts w:hint="eastAsia" w:ascii="仿宋" w:hAnsi="仿宋" w:eastAsia="仿宋" w:cs="仿宋"/>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万元，属于（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w:t>
      </w:r>
      <w:r>
        <w:rPr>
          <w:rFonts w:hint="eastAsia" w:ascii="仿宋" w:hAnsi="仿宋" w:eastAsia="仿宋" w:cs="仿宋"/>
          <w:sz w:val="28"/>
          <w:szCs w:val="28"/>
          <w:lang w:eastAsia="zh-CN"/>
        </w:rPr>
        <w:t>（注：从业人员、营业收入、资产总额填报上一年度数据，无上一年度数据的新成立企业可不填报）</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pageBreakBefore w:val="0"/>
        <w:kinsoku/>
        <w:overflowPunct/>
        <w:topLinePunct w:val="0"/>
        <w:bidi w:val="0"/>
        <w:spacing w:line="360" w:lineRule="auto"/>
        <w:ind w:left="0" w:leftChars="0" w:right="0" w:rightChars="0" w:firstLine="5600" w:firstLineChars="2000"/>
        <w:textAlignment w:val="auto"/>
        <w:rPr>
          <w:rFonts w:hint="eastAsia" w:ascii="仿宋" w:hAnsi="仿宋" w:eastAsia="仿宋" w:cs="仿宋"/>
          <w:sz w:val="28"/>
        </w:rPr>
      </w:pPr>
    </w:p>
    <w:p>
      <w:pPr>
        <w:pageBreakBefore w:val="0"/>
        <w:kinsoku/>
        <w:overflowPunct/>
        <w:topLinePunct w:val="0"/>
        <w:bidi w:val="0"/>
        <w:spacing w:line="360" w:lineRule="auto"/>
        <w:ind w:left="0" w:leftChars="0" w:right="0" w:rightChars="0" w:firstLine="5600" w:firstLineChars="2000"/>
        <w:textAlignment w:val="auto"/>
        <w:rPr>
          <w:rFonts w:hint="eastAsia" w:ascii="仿宋" w:hAnsi="仿宋" w:eastAsia="仿宋" w:cs="仿宋"/>
          <w:sz w:val="28"/>
        </w:rPr>
      </w:pPr>
      <w:r>
        <w:rPr>
          <w:rFonts w:hint="eastAsia" w:ascii="仿宋" w:hAnsi="仿宋" w:eastAsia="仿宋" w:cs="仿宋"/>
          <w:sz w:val="28"/>
        </w:rPr>
        <w:t>供应商：</w:t>
      </w:r>
      <w:r>
        <w:rPr>
          <w:rFonts w:hint="eastAsia" w:ascii="仿宋" w:hAnsi="仿宋" w:eastAsia="仿宋" w:cs="仿宋"/>
          <w:sz w:val="28"/>
          <w:u w:val="single"/>
        </w:rPr>
        <w:t>（名称和加盖公章）</w:t>
      </w:r>
    </w:p>
    <w:p>
      <w:pPr>
        <w:pageBreakBefore w:val="0"/>
        <w:kinsoku/>
        <w:overflowPunct/>
        <w:topLinePunct w:val="0"/>
        <w:bidi w:val="0"/>
        <w:spacing w:line="360" w:lineRule="auto"/>
        <w:ind w:left="0" w:leftChars="0" w:right="0" w:rightChars="0" w:firstLine="3360" w:firstLineChars="1200"/>
        <w:textAlignment w:val="auto"/>
        <w:rPr>
          <w:rFonts w:hint="eastAsia" w:ascii="仿宋" w:hAnsi="仿宋" w:eastAsia="仿宋" w:cs="仿宋"/>
          <w:sz w:val="28"/>
        </w:rPr>
      </w:pPr>
    </w:p>
    <w:p>
      <w:pPr>
        <w:pageBreakBefore w:val="0"/>
        <w:kinsoku/>
        <w:overflowPunct/>
        <w:topLinePunct w:val="0"/>
        <w:bidi w:val="0"/>
        <w:spacing w:line="360" w:lineRule="auto"/>
        <w:ind w:left="0" w:leftChars="0" w:right="0" w:rightChars="0"/>
        <w:jc w:val="right"/>
        <w:textAlignment w:val="auto"/>
        <w:rPr>
          <w:rFonts w:hint="eastAsia" w:ascii="仿宋" w:hAnsi="仿宋" w:eastAsia="仿宋" w:cs="仿宋"/>
          <w:sz w:val="28"/>
        </w:rPr>
      </w:pPr>
      <w:r>
        <w:rPr>
          <w:rFonts w:hint="eastAsia" w:ascii="仿宋" w:hAnsi="仿宋" w:eastAsia="仿宋" w:cs="仿宋"/>
          <w:sz w:val="28"/>
        </w:rPr>
        <w:t>______年___月___日</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p>
    <w:p>
      <w:pPr>
        <w:pageBreakBefore w:val="0"/>
        <w:kinsoku/>
        <w:overflowPunct/>
        <w:topLinePunct w:val="0"/>
        <w:bidi w:val="0"/>
        <w:spacing w:line="360" w:lineRule="auto"/>
        <w:ind w:left="0" w:leftChars="0" w:right="0" w:rightChars="0"/>
        <w:textAlignment w:val="auto"/>
        <w:rPr>
          <w:rFonts w:hint="eastAsia" w:ascii="仿宋" w:hAnsi="仿宋" w:eastAsia="仿宋" w:cs="仿宋"/>
          <w:b/>
          <w:sz w:val="28"/>
          <w:szCs w:val="28"/>
        </w:rPr>
      </w:pPr>
      <w:bookmarkStart w:id="454" w:name="_Hlk531942533"/>
      <w:r>
        <w:rPr>
          <w:rFonts w:hint="eastAsia" w:ascii="仿宋" w:hAnsi="仿宋" w:eastAsia="仿宋" w:cs="仿宋"/>
          <w:b/>
          <w:sz w:val="28"/>
          <w:szCs w:val="28"/>
        </w:rPr>
        <w:br w:type="page"/>
      </w:r>
    </w:p>
    <w:p>
      <w:pPr>
        <w:pageBreakBefore w:val="0"/>
        <w:kinsoku/>
        <w:overflowPunct/>
        <w:topLinePunct w:val="0"/>
        <w:bidi w:val="0"/>
        <w:spacing w:line="360" w:lineRule="auto"/>
        <w:ind w:left="0" w:leftChars="0" w:right="0" w:rightChars="0"/>
        <w:textAlignment w:val="auto"/>
        <w:rPr>
          <w:rFonts w:hint="eastAsia" w:ascii="仿宋" w:hAnsi="仿宋" w:eastAsia="仿宋" w:cs="仿宋"/>
          <w:b/>
          <w:sz w:val="28"/>
          <w:szCs w:val="28"/>
        </w:rPr>
      </w:pPr>
      <w:r>
        <w:rPr>
          <w:rFonts w:hint="eastAsia" w:ascii="仿宋" w:hAnsi="仿宋" w:eastAsia="仿宋" w:cs="仿宋"/>
          <w:b/>
          <w:sz w:val="28"/>
          <w:szCs w:val="28"/>
        </w:rPr>
        <w:t>2.监狱企业</w:t>
      </w:r>
      <w:bookmarkEnd w:id="454"/>
      <w:r>
        <w:rPr>
          <w:rFonts w:hint="eastAsia" w:ascii="仿宋" w:hAnsi="仿宋" w:eastAsia="仿宋" w:cs="仿宋"/>
          <w:b/>
          <w:sz w:val="28"/>
          <w:szCs w:val="28"/>
        </w:rPr>
        <w:t>证明材料（若有）</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（供应商需自证或证明生产厂商是监狱企业的，应提供由省级及以上监狱管理局、戒毒管理局（含新疆生产建设兵团）出具的证明文件复印件）</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p>
    <w:p>
      <w:pPr>
        <w:pageBreakBefore w:val="0"/>
        <w:kinsoku/>
        <w:overflowPunct/>
        <w:topLinePunct w:val="0"/>
        <w:bidi w:val="0"/>
        <w:spacing w:line="360" w:lineRule="auto"/>
        <w:ind w:left="0" w:leftChars="0" w:right="0" w:rightChars="0"/>
        <w:jc w:val="right"/>
        <w:textAlignment w:val="auto"/>
        <w:rPr>
          <w:rFonts w:hint="eastAsia" w:ascii="仿宋" w:hAnsi="仿宋" w:eastAsia="仿宋" w:cs="仿宋"/>
          <w:sz w:val="28"/>
          <w:szCs w:val="28"/>
          <w:u w:val="single"/>
        </w:rPr>
      </w:pPr>
      <w:r>
        <w:rPr>
          <w:rFonts w:hint="eastAsia" w:ascii="仿宋" w:hAnsi="仿宋" w:eastAsia="仿宋" w:cs="仿宋"/>
          <w:sz w:val="28"/>
          <w:szCs w:val="28"/>
        </w:rPr>
        <w:t>供应商：</w:t>
      </w:r>
      <w:r>
        <w:rPr>
          <w:rFonts w:hint="eastAsia" w:ascii="仿宋" w:hAnsi="仿宋" w:eastAsia="仿宋" w:cs="仿宋"/>
          <w:sz w:val="28"/>
          <w:szCs w:val="28"/>
          <w:u w:val="single"/>
        </w:rPr>
        <w:t>（名称和加盖公章）</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p>
    <w:p>
      <w:pPr>
        <w:pageBreakBefore w:val="0"/>
        <w:kinsoku/>
        <w:overflowPunct/>
        <w:topLinePunct w:val="0"/>
        <w:bidi w:val="0"/>
        <w:spacing w:line="360" w:lineRule="auto"/>
        <w:ind w:left="0" w:leftChars="0" w:right="0" w:rightChars="0"/>
        <w:jc w:val="right"/>
        <w:textAlignment w:val="auto"/>
        <w:rPr>
          <w:rFonts w:hint="eastAsia" w:ascii="仿宋" w:hAnsi="仿宋" w:eastAsia="仿宋" w:cs="仿宋"/>
          <w:sz w:val="28"/>
          <w:szCs w:val="28"/>
        </w:rPr>
      </w:pPr>
      <w:r>
        <w:rPr>
          <w:rFonts w:hint="eastAsia" w:ascii="仿宋" w:hAnsi="仿宋" w:eastAsia="仿宋" w:cs="仿宋"/>
          <w:sz w:val="28"/>
          <w:szCs w:val="28"/>
        </w:rPr>
        <w:t>______年___月___日</w:t>
      </w:r>
    </w:p>
    <w:p>
      <w:pPr>
        <w:pageBreakBefore w:val="0"/>
        <w:kinsoku/>
        <w:wordWrap w:val="0"/>
        <w:overflowPunct/>
        <w:topLinePunct w:val="0"/>
        <w:bidi w:val="0"/>
        <w:spacing w:line="360" w:lineRule="auto"/>
        <w:ind w:left="0" w:leftChars="0" w:right="0" w:rightChars="0"/>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p>
    <w:p>
      <w:pPr>
        <w:pageBreakBefore w:val="0"/>
        <w:kinsoku/>
        <w:overflowPunct/>
        <w:topLinePunct w:val="0"/>
        <w:bidi w:val="0"/>
        <w:spacing w:line="360" w:lineRule="auto"/>
        <w:ind w:left="0" w:leftChars="0" w:right="0" w:rightChars="0"/>
        <w:textAlignment w:val="auto"/>
        <w:rPr>
          <w:rFonts w:hint="eastAsia" w:ascii="仿宋" w:hAnsi="仿宋" w:eastAsia="仿宋" w:cs="仿宋"/>
          <w:b/>
          <w:sz w:val="28"/>
          <w:szCs w:val="28"/>
        </w:rPr>
      </w:pPr>
      <w:r>
        <w:rPr>
          <w:rFonts w:hint="eastAsia" w:ascii="仿宋" w:hAnsi="仿宋" w:eastAsia="仿宋" w:cs="仿宋"/>
          <w:b/>
          <w:sz w:val="28"/>
          <w:szCs w:val="28"/>
        </w:rPr>
        <w:br w:type="page"/>
      </w:r>
    </w:p>
    <w:p>
      <w:pPr>
        <w:pageBreakBefore w:val="0"/>
        <w:kinsoku/>
        <w:overflowPunct/>
        <w:topLinePunct w:val="0"/>
        <w:bidi w:val="0"/>
        <w:spacing w:line="360" w:lineRule="auto"/>
        <w:ind w:left="0" w:leftChars="0" w:right="0" w:rightChars="0"/>
        <w:textAlignment w:val="auto"/>
        <w:rPr>
          <w:rFonts w:hint="eastAsia" w:ascii="仿宋" w:hAnsi="仿宋" w:eastAsia="仿宋" w:cs="仿宋"/>
          <w:b/>
          <w:sz w:val="28"/>
          <w:szCs w:val="28"/>
        </w:rPr>
      </w:pPr>
      <w:r>
        <w:rPr>
          <w:rFonts w:hint="eastAsia" w:ascii="仿宋" w:hAnsi="仿宋" w:eastAsia="仿宋" w:cs="仿宋"/>
          <w:b/>
          <w:sz w:val="28"/>
          <w:szCs w:val="28"/>
        </w:rPr>
        <w:t>3.残疾人福利性单位声明函（若有）</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中国残疾人联合会关于促进残疾人就业政府采购政策的通知》（财库〔2017〕141号）的规定，本单位为符合条件的残疾人福利性单位，且本单位参加“___________”项目采购活动提供本单位，由本单位提供服务。</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p>
    <w:p>
      <w:pPr>
        <w:pageBreakBefore w:val="0"/>
        <w:kinsoku/>
        <w:overflowPunct/>
        <w:topLinePunct w:val="0"/>
        <w:bidi w:val="0"/>
        <w:spacing w:line="360" w:lineRule="auto"/>
        <w:ind w:left="0" w:leftChars="0" w:right="0" w:rightChars="0"/>
        <w:jc w:val="right"/>
        <w:textAlignment w:val="auto"/>
        <w:rPr>
          <w:rFonts w:hint="eastAsia" w:ascii="仿宋" w:hAnsi="仿宋" w:eastAsia="仿宋" w:cs="仿宋"/>
          <w:sz w:val="28"/>
          <w:szCs w:val="28"/>
          <w:u w:val="single"/>
        </w:rPr>
      </w:pPr>
      <w:r>
        <w:rPr>
          <w:rFonts w:hint="eastAsia" w:ascii="仿宋" w:hAnsi="仿宋" w:eastAsia="仿宋" w:cs="仿宋"/>
          <w:sz w:val="28"/>
          <w:szCs w:val="28"/>
        </w:rPr>
        <w:t>供应商：</w:t>
      </w:r>
      <w:r>
        <w:rPr>
          <w:rFonts w:hint="eastAsia" w:ascii="仿宋" w:hAnsi="仿宋" w:eastAsia="仿宋" w:cs="仿宋"/>
          <w:sz w:val="28"/>
          <w:szCs w:val="28"/>
          <w:u w:val="single"/>
        </w:rPr>
        <w:t>（名称和加盖公章）</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p>
    <w:p>
      <w:pPr>
        <w:pageBreakBefore w:val="0"/>
        <w:kinsoku/>
        <w:overflowPunct/>
        <w:topLinePunct w:val="0"/>
        <w:bidi w:val="0"/>
        <w:spacing w:line="360" w:lineRule="auto"/>
        <w:ind w:left="0" w:leftChars="0" w:right="0" w:rightChars="0"/>
        <w:jc w:val="right"/>
        <w:textAlignment w:val="auto"/>
        <w:rPr>
          <w:rFonts w:hint="eastAsia" w:ascii="仿宋" w:hAnsi="仿宋" w:eastAsia="仿宋" w:cs="仿宋"/>
          <w:sz w:val="28"/>
          <w:szCs w:val="28"/>
        </w:rPr>
      </w:pPr>
      <w:r>
        <w:rPr>
          <w:rFonts w:hint="eastAsia" w:ascii="仿宋" w:hAnsi="仿宋" w:eastAsia="仿宋" w:cs="仿宋"/>
          <w:sz w:val="28"/>
          <w:szCs w:val="28"/>
        </w:rPr>
        <w:t>______年___月___日</w:t>
      </w:r>
    </w:p>
    <w:p>
      <w:pPr>
        <w:pageBreakBefore w:val="0"/>
        <w:kinsoku/>
        <w:overflowPunct/>
        <w:topLinePunct w:val="0"/>
        <w:bidi w:val="0"/>
        <w:spacing w:line="360" w:lineRule="auto"/>
        <w:ind w:left="0" w:leftChars="0" w:right="0" w:rightChars="0" w:firstLine="480" w:firstLineChars="200"/>
        <w:textAlignment w:val="auto"/>
        <w:rPr>
          <w:rFonts w:hint="eastAsia" w:ascii="仿宋" w:hAnsi="仿宋" w:eastAsia="仿宋" w:cs="仿宋"/>
          <w:sz w:val="24"/>
        </w:rPr>
      </w:pPr>
    </w:p>
    <w:p>
      <w:pPr>
        <w:pageBreakBefore w:val="0"/>
        <w:kinsoku/>
        <w:overflowPunct/>
        <w:topLinePunct w:val="0"/>
        <w:bidi w:val="0"/>
        <w:spacing w:line="360" w:lineRule="auto"/>
        <w:ind w:left="0" w:leftChars="0" w:right="0" w:rightChars="0"/>
        <w:textAlignment w:val="auto"/>
        <w:rPr>
          <w:rFonts w:hint="eastAsia" w:ascii="仿宋" w:hAnsi="仿宋" w:eastAsia="仿宋" w:cs="仿宋"/>
          <w:b/>
          <w:sz w:val="24"/>
        </w:rPr>
      </w:pPr>
      <w:r>
        <w:rPr>
          <w:rFonts w:hint="eastAsia" w:ascii="仿宋" w:hAnsi="仿宋" w:eastAsia="仿宋" w:cs="仿宋"/>
          <w:b/>
          <w:sz w:val="24"/>
        </w:rPr>
        <w:t>（二）……</w:t>
      </w:r>
    </w:p>
    <w:p>
      <w:pPr>
        <w:pageBreakBefore w:val="0"/>
        <w:kinsoku/>
        <w:overflowPunct/>
        <w:topLinePunct w:val="0"/>
        <w:bidi w:val="0"/>
        <w:spacing w:line="360" w:lineRule="auto"/>
        <w:ind w:left="0" w:leftChars="0" w:right="0" w:rightChars="0"/>
        <w:textAlignment w:val="auto"/>
        <w:rPr>
          <w:rFonts w:hint="eastAsia" w:ascii="仿宋" w:hAnsi="仿宋" w:eastAsia="仿宋" w:cs="仿宋"/>
          <w:b/>
          <w:sz w:val="24"/>
        </w:rPr>
      </w:pPr>
      <w:r>
        <w:rPr>
          <w:rFonts w:hint="eastAsia" w:ascii="仿宋" w:hAnsi="仿宋" w:eastAsia="仿宋" w:cs="仿宋"/>
          <w:b/>
          <w:sz w:val="24"/>
        </w:rPr>
        <w:t>____________________</w:t>
      </w:r>
    </w:p>
    <w:p>
      <w:pPr>
        <w:pageBreakBefore w:val="0"/>
        <w:kinsoku/>
        <w:overflowPunct/>
        <w:topLinePunct w:val="0"/>
        <w:bidi w:val="0"/>
        <w:spacing w:line="36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w:t>
      </w:r>
    </w:p>
    <w:p>
      <w:pPr>
        <w:pageBreakBefore w:val="0"/>
        <w:kinsoku/>
        <w:overflowPunct/>
        <w:topLinePunct w:val="0"/>
        <w:bidi w:val="0"/>
        <w:spacing w:line="360" w:lineRule="auto"/>
        <w:ind w:left="0" w:leftChars="0" w:right="0" w:rightChars="0"/>
        <w:textAlignment w:val="auto"/>
        <w:rPr>
          <w:rFonts w:hint="eastAsia" w:ascii="仿宋" w:hAnsi="仿宋" w:eastAsia="仿宋" w:cs="仿宋"/>
          <w:b/>
          <w:sz w:val="24"/>
        </w:rPr>
      </w:pPr>
      <w:r>
        <w:rPr>
          <w:rFonts w:hint="eastAsia" w:ascii="仿宋" w:hAnsi="仿宋" w:eastAsia="仿宋" w:cs="仿宋"/>
          <w:b/>
          <w:sz w:val="24"/>
        </w:rPr>
        <w:t>（N）……</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u w:val="single"/>
        </w:rPr>
      </w:pPr>
      <w:r>
        <w:rPr>
          <w:rFonts w:hint="eastAsia" w:ascii="仿宋" w:hAnsi="仿宋" w:eastAsia="仿宋" w:cs="仿宋"/>
          <w:b/>
          <w:sz w:val="24"/>
        </w:rPr>
        <w:t>____________________</w:t>
      </w:r>
    </w:p>
    <w:p>
      <w:pPr>
        <w:pageBreakBefore w:val="0"/>
        <w:kinsoku/>
        <w:overflowPunct/>
        <w:topLinePunct w:val="0"/>
        <w:bidi w:val="0"/>
        <w:spacing w:line="360" w:lineRule="auto"/>
        <w:ind w:left="0" w:leftChars="0" w:right="0" w:rightChars="0"/>
        <w:textAlignment w:val="auto"/>
        <w:rPr>
          <w:rFonts w:hint="eastAsia" w:ascii="仿宋" w:hAnsi="仿宋" w:eastAsia="仿宋" w:cs="仿宋"/>
        </w:rPr>
      </w:pPr>
    </w:p>
    <w:p>
      <w:pPr>
        <w:pageBreakBefore w:val="0"/>
        <w:widowControl/>
        <w:kinsoku/>
        <w:overflowPunct/>
        <w:topLinePunct w:val="0"/>
        <w:bidi w:val="0"/>
        <w:spacing w:line="360" w:lineRule="auto"/>
        <w:ind w:left="0" w:leftChars="0" w:right="0" w:rightChars="0"/>
        <w:jc w:val="left"/>
        <w:textAlignment w:val="auto"/>
        <w:rPr>
          <w:rFonts w:hint="eastAsia" w:ascii="仿宋" w:hAnsi="仿宋" w:eastAsia="仿宋" w:cs="仿宋"/>
          <w:b/>
          <w:color w:val="000000"/>
          <w:sz w:val="44"/>
        </w:rPr>
      </w:pPr>
      <w:r>
        <w:rPr>
          <w:rFonts w:hint="eastAsia" w:ascii="仿宋" w:hAnsi="仿宋" w:eastAsia="仿宋" w:cs="仿宋"/>
          <w:b/>
          <w:color w:val="000000"/>
          <w:sz w:val="44"/>
        </w:rPr>
        <w:br w:type="page"/>
      </w:r>
    </w:p>
    <w:p>
      <w:pPr>
        <w:pStyle w:val="2"/>
        <w:pageBreakBefore w:val="0"/>
        <w:kinsoku/>
        <w:overflowPunct/>
        <w:topLinePunct w:val="0"/>
        <w:bidi w:val="0"/>
        <w:spacing w:before="0" w:after="0" w:line="360" w:lineRule="auto"/>
        <w:ind w:left="0" w:leftChars="0" w:right="0" w:rightChars="0"/>
        <w:jc w:val="center"/>
        <w:textAlignment w:val="auto"/>
        <w:rPr>
          <w:rFonts w:hint="eastAsia" w:ascii="仿宋" w:hAnsi="仿宋" w:eastAsia="仿宋" w:cs="仿宋"/>
          <w:bCs/>
          <w:color w:val="000000"/>
          <w:sz w:val="36"/>
          <w:szCs w:val="36"/>
        </w:rPr>
      </w:pPr>
      <w:bookmarkStart w:id="455" w:name="_Toc471310426"/>
      <w:bookmarkStart w:id="456" w:name="_Toc497143791"/>
      <w:bookmarkStart w:id="457" w:name="_Toc256000066"/>
      <w:bookmarkStart w:id="458" w:name="_Toc16197"/>
      <w:bookmarkStart w:id="459" w:name="_Toc63765815"/>
      <w:bookmarkStart w:id="460" w:name="_Toc12733"/>
      <w:r>
        <w:rPr>
          <w:rFonts w:hint="eastAsia" w:ascii="仿宋" w:hAnsi="仿宋" w:eastAsia="仿宋" w:cs="仿宋"/>
          <w:bCs/>
          <w:color w:val="000000"/>
          <w:sz w:val="36"/>
          <w:szCs w:val="36"/>
        </w:rPr>
        <w:t xml:space="preserve">第六章  </w:t>
      </w:r>
      <w:bookmarkEnd w:id="455"/>
      <w:bookmarkEnd w:id="456"/>
      <w:r>
        <w:rPr>
          <w:rFonts w:hint="eastAsia" w:ascii="仿宋" w:hAnsi="仿宋" w:eastAsia="仿宋" w:cs="仿宋"/>
          <w:bCs/>
          <w:color w:val="000000"/>
          <w:sz w:val="36"/>
          <w:szCs w:val="36"/>
        </w:rPr>
        <w:t>磋商程序和成交标准</w:t>
      </w:r>
      <w:bookmarkEnd w:id="457"/>
      <w:bookmarkEnd w:id="458"/>
      <w:bookmarkEnd w:id="459"/>
      <w:bookmarkEnd w:id="460"/>
    </w:p>
    <w:p>
      <w:pPr>
        <w:pStyle w:val="5"/>
        <w:pageBreakBefore w:val="0"/>
        <w:kinsoku/>
        <w:overflowPunct/>
        <w:topLinePunct w:val="0"/>
        <w:bidi w:val="0"/>
        <w:spacing w:before="0" w:after="0" w:line="360" w:lineRule="auto"/>
        <w:ind w:left="0" w:leftChars="0" w:right="0" w:rightChars="0"/>
        <w:textAlignment w:val="auto"/>
        <w:rPr>
          <w:rFonts w:hint="eastAsia" w:ascii="仿宋" w:hAnsi="仿宋" w:eastAsia="仿宋" w:cs="仿宋"/>
        </w:rPr>
      </w:pPr>
      <w:bookmarkStart w:id="461" w:name="_Toc389231767"/>
      <w:bookmarkStart w:id="462" w:name="_Toc315963032"/>
      <w:bookmarkStart w:id="463" w:name="_Toc307298483"/>
      <w:bookmarkStart w:id="464" w:name="_Toc389552549"/>
      <w:bookmarkStart w:id="465" w:name="_Toc389231677"/>
      <w:bookmarkStart w:id="466" w:name="_Toc439679293"/>
      <w:bookmarkStart w:id="467" w:name="_Toc390774317"/>
      <w:bookmarkStart w:id="468" w:name="_Toc306711441"/>
      <w:bookmarkStart w:id="469" w:name="_Toc22307"/>
      <w:bookmarkStart w:id="470" w:name="_Toc63765816"/>
      <w:bookmarkStart w:id="471" w:name="_Toc256000067"/>
      <w:bookmarkStart w:id="472" w:name="_Toc1595"/>
      <w:bookmarkStart w:id="473" w:name="_Toc307298485"/>
      <w:bookmarkStart w:id="474" w:name="_Toc389552551"/>
      <w:bookmarkStart w:id="475" w:name="_Toc439679295"/>
      <w:bookmarkStart w:id="476" w:name="_Toc217446060"/>
      <w:bookmarkStart w:id="477" w:name="_Toc315963034"/>
      <w:bookmarkStart w:id="478" w:name="_Toc390774319"/>
      <w:bookmarkStart w:id="479" w:name="_Toc389231769"/>
      <w:bookmarkStart w:id="480" w:name="_Toc389231679"/>
      <w:bookmarkStart w:id="481" w:name="_Toc306711443"/>
      <w:bookmarkStart w:id="482" w:name="_Toc256502558"/>
      <w:bookmarkStart w:id="483" w:name="_Toc229395145"/>
      <w:bookmarkStart w:id="484" w:name="_Toc229475781"/>
      <w:bookmarkStart w:id="485" w:name="_Toc229393392"/>
      <w:bookmarkStart w:id="486" w:name="_Toc256004204"/>
      <w:bookmarkStart w:id="487" w:name="_Toc241204651"/>
      <w:bookmarkStart w:id="488" w:name="_Toc241053690"/>
      <w:bookmarkStart w:id="489" w:name="_Toc245097947"/>
      <w:bookmarkStart w:id="490" w:name="_Toc229476110"/>
      <w:bookmarkStart w:id="491" w:name="_Toc229393560"/>
      <w:bookmarkStart w:id="492" w:name="_Toc229395229"/>
      <w:bookmarkStart w:id="493" w:name="_Toc240870198"/>
      <w:bookmarkStart w:id="494" w:name="_Toc229393644"/>
      <w:r>
        <w:rPr>
          <w:rFonts w:hint="eastAsia" w:ascii="仿宋" w:hAnsi="仿宋" w:eastAsia="仿宋" w:cs="仿宋"/>
        </w:rPr>
        <w:t>一、</w:t>
      </w:r>
      <w:bookmarkEnd w:id="461"/>
      <w:bookmarkEnd w:id="462"/>
      <w:bookmarkEnd w:id="463"/>
      <w:bookmarkEnd w:id="464"/>
      <w:bookmarkEnd w:id="465"/>
      <w:bookmarkEnd w:id="466"/>
      <w:bookmarkEnd w:id="467"/>
      <w:bookmarkEnd w:id="468"/>
      <w:r>
        <w:rPr>
          <w:rFonts w:hint="eastAsia" w:ascii="仿宋" w:hAnsi="仿宋" w:eastAsia="仿宋" w:cs="仿宋"/>
        </w:rPr>
        <w:t>磋商程序</w:t>
      </w:r>
      <w:bookmarkEnd w:id="469"/>
      <w:bookmarkEnd w:id="470"/>
      <w:bookmarkEnd w:id="471"/>
      <w:bookmarkEnd w:id="472"/>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bookmarkStart w:id="495" w:name="_Toc217446098"/>
      <w:r>
        <w:rPr>
          <w:rFonts w:hint="eastAsia" w:ascii="仿宋" w:hAnsi="仿宋" w:eastAsia="仿宋" w:cs="仿宋"/>
          <w:sz w:val="28"/>
        </w:rPr>
        <w:t>（一）磋商程序依次为：供应商首次提交响应文件→采购组织单位组建磋商小组→磋商小组进行书面审查并出具书面审查报告→磋商小组与供应商逐一磋商→实质性响应的供应商作出最后一轮报价→磋商小组对供应商的响应文件进行评分→磋商小组汇总评审结果并复核→采购组织单位复核→磋商小组推荐成交候选供应商并出具磋商报告→采购人确定成交供应商→</w:t>
      </w:r>
      <w:bookmarkStart w:id="496" w:name="【Bobole_代理机构名称_145】"/>
      <w:r>
        <w:rPr>
          <w:rFonts w:hint="eastAsia" w:ascii="仿宋" w:hAnsi="仿宋" w:eastAsia="仿宋" w:cs="仿宋"/>
          <w:sz w:val="28"/>
        </w:rPr>
        <w:t>融汇项目管理有限公司</w:t>
      </w:r>
      <w:bookmarkEnd w:id="496"/>
      <w:r>
        <w:rPr>
          <w:rFonts w:hint="eastAsia" w:ascii="仿宋" w:hAnsi="仿宋" w:eastAsia="仿宋" w:cs="仿宋"/>
          <w:sz w:val="28"/>
        </w:rPr>
        <w:t>发布成交结果公告并同时发出成交通知书。</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（二）磋商小组成员应当按照客观、公正、审慎的原则，根据磋商文件规定的评审程序、评审方法和评审标准进行独立评审。</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（三）出现下列情形之一的，采购人或者采购代理机构应当终止磋商采购活动，发布项目终止公告并说明原因，重新开展采购活动：</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1.因情况变化，不再符合规定的竞争性磋商采购方式适用情形的；</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2.出现影响采购公正的违法、违规行为的；</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3.在采购过程中符合竞争要求的供应商或者报价未超过最高限价的供应商不足2家的。</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（四）磋商过程独立、保密。供应商非法干预磋商过程的，其响应文件作为无效处理。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（五）磋商小组评价响应文件，除磋商小组要求其澄清、说明或者纠正而提供的资料外，仅依据响应文件本身的内容，不寻求供应商提供其他外部证据。</w:t>
      </w:r>
    </w:p>
    <w:p>
      <w:pPr>
        <w:pStyle w:val="5"/>
        <w:pageBreakBefore w:val="0"/>
        <w:kinsoku/>
        <w:overflowPunct/>
        <w:topLinePunct w:val="0"/>
        <w:bidi w:val="0"/>
        <w:spacing w:before="0" w:after="0" w:line="360" w:lineRule="auto"/>
        <w:ind w:left="0" w:leftChars="0" w:right="0" w:rightChars="0"/>
        <w:textAlignment w:val="auto"/>
        <w:rPr>
          <w:rFonts w:hint="eastAsia" w:ascii="仿宋" w:hAnsi="仿宋" w:eastAsia="仿宋" w:cs="仿宋"/>
        </w:rPr>
      </w:pPr>
      <w:bookmarkStart w:id="497" w:name="_Toc256000068"/>
      <w:bookmarkStart w:id="498" w:name="_Toc20184"/>
      <w:bookmarkStart w:id="499" w:name="_Toc63765817"/>
      <w:bookmarkStart w:id="500" w:name="_Toc28485"/>
      <w:r>
        <w:rPr>
          <w:rFonts w:hint="eastAsia" w:ascii="仿宋" w:hAnsi="仿宋" w:eastAsia="仿宋" w:cs="仿宋"/>
        </w:rPr>
        <w:t>二、成立磋商小组</w:t>
      </w:r>
      <w:bookmarkEnd w:id="497"/>
      <w:bookmarkEnd w:id="498"/>
      <w:bookmarkEnd w:id="499"/>
      <w:bookmarkEnd w:id="500"/>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（一）采购组织单位组建磋商小组。</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（二）磋商小组成员中专家的产生应当按照四川省政府采购评审专家抽取的有关规定执行。</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（三）磋商小组成员中的采购人代表应当由采购人书面委托。委托评审专家担任的，评审专家只能以采购人代表身份参加采购活动。</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（四）磋商小组成员确定后，不能擅自变更。确需变更的，应当按照本条第（二）（三）款执行。</w:t>
      </w:r>
    </w:p>
    <w:p>
      <w:pPr>
        <w:pStyle w:val="5"/>
        <w:pageBreakBefore w:val="0"/>
        <w:kinsoku/>
        <w:overflowPunct/>
        <w:topLinePunct w:val="0"/>
        <w:bidi w:val="0"/>
        <w:spacing w:before="0" w:after="0" w:line="360" w:lineRule="auto"/>
        <w:ind w:left="0" w:leftChars="0" w:right="0" w:rightChars="0"/>
        <w:textAlignment w:val="auto"/>
        <w:rPr>
          <w:rFonts w:hint="eastAsia" w:ascii="仿宋" w:hAnsi="仿宋" w:eastAsia="仿宋" w:cs="仿宋"/>
        </w:rPr>
      </w:pPr>
      <w:bookmarkStart w:id="501" w:name="_Toc63765818"/>
      <w:bookmarkStart w:id="502" w:name="_Toc960"/>
      <w:bookmarkStart w:id="503" w:name="_Toc256000069"/>
      <w:bookmarkStart w:id="504" w:name="_Toc5580"/>
      <w:r>
        <w:rPr>
          <w:rFonts w:hint="eastAsia" w:ascii="仿宋" w:hAnsi="仿宋" w:eastAsia="仿宋" w:cs="仿宋"/>
        </w:rPr>
        <w:t>三、熟悉磋商文件</w:t>
      </w:r>
      <w:bookmarkEnd w:id="501"/>
      <w:bookmarkEnd w:id="502"/>
      <w:bookmarkEnd w:id="503"/>
      <w:bookmarkEnd w:id="504"/>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（一）磋商小组应当对磋商文件进行熟悉和理解。</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（二）本磋商文件有下列情形之一的，磋商小组应当停止评审：</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1.磋商文件的规定存在歧义、重大缺陷的；</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2.磋商文件明显以不合理条件对供应商实行差别待遇或者歧视待遇的；</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3.采购项目属于国家规定的优先、强制采购范围，但是磋商文件未依法体现优先、强制采购相关规定的；</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4.采购项目属于政府采购促进中小企业发展的范围，但是磋商文件未依法体现促进中小企业发展相关规定的；</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5.磋商文件载明的成交原则不合法的；</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6.磋商文件有违反国家其他有关强制性规定的情形。</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（三）出现上款规定应当停止评审情形的，磋商小组应当向采购人书面说明情况。除规定情形外，磋商小组不得以任何方式和理由停止评审。</w:t>
      </w:r>
    </w:p>
    <w:p>
      <w:pPr>
        <w:pStyle w:val="5"/>
        <w:pageBreakBefore w:val="0"/>
        <w:kinsoku/>
        <w:overflowPunct/>
        <w:topLinePunct w:val="0"/>
        <w:bidi w:val="0"/>
        <w:spacing w:before="0" w:after="0" w:line="360" w:lineRule="auto"/>
        <w:ind w:left="0" w:leftChars="0" w:right="0" w:rightChars="0"/>
        <w:textAlignment w:val="auto"/>
        <w:rPr>
          <w:rFonts w:hint="eastAsia" w:ascii="仿宋" w:hAnsi="仿宋" w:eastAsia="仿宋" w:cs="仿宋"/>
        </w:rPr>
      </w:pPr>
      <w:bookmarkStart w:id="505" w:name="_Toc17187"/>
      <w:bookmarkStart w:id="506" w:name="_Toc256000070"/>
      <w:bookmarkStart w:id="507" w:name="_Toc63765819"/>
      <w:bookmarkStart w:id="508" w:name="_Toc32182"/>
      <w:r>
        <w:rPr>
          <w:rFonts w:hint="eastAsia" w:ascii="仿宋" w:hAnsi="仿宋" w:eastAsia="仿宋" w:cs="仿宋"/>
        </w:rPr>
        <w:t>四、书面审查</w:t>
      </w:r>
      <w:bookmarkEnd w:id="505"/>
      <w:bookmarkEnd w:id="506"/>
      <w:bookmarkEnd w:id="507"/>
      <w:bookmarkEnd w:id="508"/>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（一）磋商小组开启响应文件，对供应商进行书面审查。书面审查包括资格审查和除资格部分外的响应性审查。资格审查时，磋商小组需结合采购人关于信用信息和政府强制采购节能产品的查询结果开展工作。</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（二）磋商小组应结合响应文件接收记录核验提交响应文件有关人员的身份信息。身份核验不一致的，作资格审查不通过处理。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（三）磋商小组关于供应商书面审查的范围不能超过磋商文件的规定。</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四）书面审查结束后，磋商小组应当向采购组织单位出具书面审查报告。书面审查报告包括资格审查报告和除资格部分外的响应性审查报告。磋商小组应在书面审查报告中载明未通过审查的供应商名单及其理由。</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五）磋商小组成员应当在书面审查报告中签字确认，对书面审查过程和结果有不同意见的，应当在书面审查报告中写明并说明理由。签字但不写明不同意见或者不说明理由的，视同无意见。不签字的，不影响书面审查报告的有效性。</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（六）磋商小组出具书面审查报告后，</w:t>
      </w:r>
      <w:bookmarkStart w:id="509" w:name="【Bobole_代理机构名称_146】"/>
      <w:r>
        <w:rPr>
          <w:rFonts w:hint="eastAsia" w:ascii="仿宋" w:hAnsi="仿宋" w:eastAsia="仿宋" w:cs="仿宋"/>
          <w:sz w:val="28"/>
        </w:rPr>
        <w:t>融汇项目管理有限公司</w:t>
      </w:r>
      <w:bookmarkEnd w:id="509"/>
      <w:r>
        <w:rPr>
          <w:rFonts w:hint="eastAsia" w:ascii="仿宋" w:hAnsi="仿宋" w:eastAsia="仿宋" w:cs="仿宋"/>
          <w:sz w:val="28"/>
        </w:rPr>
        <w:t>应当将通过审查和未通过审查的供应商名单向所有提交响应文件的供应商当场宣布。</w:t>
      </w:r>
      <w:bookmarkStart w:id="510" w:name="【Bobole_代理机构名称_147】"/>
      <w:r>
        <w:rPr>
          <w:rFonts w:hint="eastAsia" w:ascii="仿宋" w:hAnsi="仿宋" w:eastAsia="仿宋" w:cs="仿宋"/>
          <w:sz w:val="28"/>
        </w:rPr>
        <w:t>融汇项目管理有限公司</w:t>
      </w:r>
      <w:bookmarkEnd w:id="510"/>
      <w:r>
        <w:rPr>
          <w:rFonts w:hint="eastAsia" w:ascii="仿宋" w:hAnsi="仿宋" w:eastAsia="仿宋" w:cs="仿宋"/>
          <w:sz w:val="28"/>
        </w:rPr>
        <w:t>宣布未通过审查的供应商名单时，应当告知供应商未通过审查的原因。</w:t>
      </w:r>
    </w:p>
    <w:p>
      <w:pPr>
        <w:pStyle w:val="5"/>
        <w:pageBreakBefore w:val="0"/>
        <w:kinsoku/>
        <w:overflowPunct/>
        <w:topLinePunct w:val="0"/>
        <w:bidi w:val="0"/>
        <w:spacing w:before="0" w:after="0" w:line="360" w:lineRule="auto"/>
        <w:ind w:left="0" w:leftChars="0" w:right="0" w:rightChars="0"/>
        <w:textAlignment w:val="auto"/>
        <w:rPr>
          <w:rFonts w:hint="eastAsia" w:ascii="仿宋" w:hAnsi="仿宋" w:eastAsia="仿宋" w:cs="仿宋"/>
        </w:rPr>
      </w:pPr>
      <w:bookmarkStart w:id="511" w:name="_Toc63765820"/>
      <w:bookmarkStart w:id="512" w:name="_Toc5143"/>
      <w:bookmarkStart w:id="513" w:name="_Toc256000071"/>
      <w:bookmarkStart w:id="514" w:name="_Toc29223"/>
      <w:r>
        <w:rPr>
          <w:rFonts w:hint="eastAsia" w:ascii="仿宋" w:hAnsi="仿宋" w:eastAsia="仿宋" w:cs="仿宋"/>
        </w:rPr>
        <w:t>五、磋商</w:t>
      </w:r>
      <w:bookmarkEnd w:id="511"/>
      <w:bookmarkEnd w:id="512"/>
      <w:bookmarkEnd w:id="513"/>
      <w:bookmarkEnd w:id="514"/>
    </w:p>
    <w:p>
      <w:pPr>
        <w:pageBreakBefore w:val="0"/>
        <w:kinsoku/>
        <w:overflowPunct/>
        <w:topLinePunct w:val="0"/>
        <w:bidi w:val="0"/>
        <w:spacing w:line="360" w:lineRule="auto"/>
        <w:ind w:left="0" w:leftChars="0" w:right="0" w:rightChars="0"/>
        <w:textAlignment w:val="auto"/>
        <w:rPr>
          <w:rFonts w:hint="eastAsia" w:ascii="仿宋" w:hAnsi="仿宋" w:eastAsia="仿宋" w:cs="仿宋"/>
          <w:b/>
          <w:sz w:val="28"/>
          <w:szCs w:val="28"/>
        </w:rPr>
      </w:pPr>
      <w:r>
        <w:rPr>
          <w:rFonts w:hint="eastAsia" w:ascii="仿宋" w:hAnsi="仿宋" w:eastAsia="仿宋" w:cs="仿宋"/>
          <w:b/>
          <w:sz w:val="28"/>
          <w:szCs w:val="28"/>
        </w:rPr>
        <w:t>（一）磋商顺序</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磋商小组与通过书面审查的供应商分别进行磋商。磋商的顺序以现场抽签或者其他能够给予供应商平等机会的方式确定。</w:t>
      </w:r>
    </w:p>
    <w:p>
      <w:pPr>
        <w:pStyle w:val="6"/>
        <w:pageBreakBefore w:val="0"/>
        <w:kinsoku/>
        <w:overflowPunct/>
        <w:topLinePunct w:val="0"/>
        <w:bidi w:val="0"/>
        <w:spacing w:line="360" w:lineRule="auto"/>
        <w:ind w:left="0" w:leftChars="0" w:right="0" w:rightChars="0"/>
        <w:textAlignment w:val="auto"/>
        <w:rPr>
          <w:rFonts w:hint="eastAsia" w:ascii="仿宋" w:hAnsi="仿宋" w:eastAsia="仿宋" w:cs="仿宋"/>
          <w:color w:val="FF0000"/>
          <w:sz w:val="28"/>
        </w:rPr>
      </w:pPr>
      <w:bookmarkStart w:id="515" w:name="_Hlk80104713"/>
      <w:r>
        <w:rPr>
          <w:rFonts w:hint="eastAsia" w:ascii="仿宋" w:hAnsi="仿宋" w:eastAsia="仿宋" w:cs="仿宋"/>
          <w:color w:val="FF0000"/>
          <w:sz w:val="28"/>
        </w:rPr>
        <w:t>本次磋商通过“布络供应商门户”远程交易大厅功能进行远程磋商。</w:t>
      </w:r>
      <w:bookmarkEnd w:id="515"/>
    </w:p>
    <w:p>
      <w:pPr>
        <w:pageBreakBefore w:val="0"/>
        <w:kinsoku/>
        <w:overflowPunct/>
        <w:topLinePunct w:val="0"/>
        <w:bidi w:val="0"/>
        <w:spacing w:line="360" w:lineRule="auto"/>
        <w:ind w:left="0" w:leftChars="0" w:right="0" w:rightChars="0"/>
        <w:textAlignment w:val="auto"/>
        <w:rPr>
          <w:rFonts w:hint="eastAsia" w:ascii="仿宋" w:hAnsi="仿宋" w:eastAsia="仿宋" w:cs="仿宋"/>
          <w:b/>
          <w:sz w:val="28"/>
          <w:szCs w:val="28"/>
        </w:rPr>
      </w:pPr>
      <w:r>
        <w:rPr>
          <w:rFonts w:hint="eastAsia" w:ascii="仿宋" w:hAnsi="仿宋" w:eastAsia="仿宋" w:cs="仿宋"/>
          <w:b/>
          <w:sz w:val="28"/>
          <w:szCs w:val="28"/>
        </w:rPr>
        <w:t>（二）磋商内容</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1.本项目所涉及的需求、质量、服务、合同草案条款等作为磋商内容。</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2.除必须满足的技术要求外，供应商可在磋商过程中对本项目的技术参数和方案提出优化建议。</w:t>
      </w:r>
    </w:p>
    <w:p>
      <w:pPr>
        <w:pageBreakBefore w:val="0"/>
        <w:kinsoku/>
        <w:overflowPunct/>
        <w:topLinePunct w:val="0"/>
        <w:bidi w:val="0"/>
        <w:spacing w:line="360" w:lineRule="auto"/>
        <w:ind w:left="0" w:leftChars="0" w:right="0" w:rightChars="0"/>
        <w:textAlignment w:val="auto"/>
        <w:rPr>
          <w:rFonts w:hint="eastAsia" w:ascii="仿宋" w:hAnsi="仿宋" w:eastAsia="仿宋" w:cs="仿宋"/>
          <w:b/>
          <w:sz w:val="28"/>
          <w:szCs w:val="28"/>
        </w:rPr>
      </w:pPr>
      <w:r>
        <w:rPr>
          <w:rFonts w:hint="eastAsia" w:ascii="仿宋" w:hAnsi="仿宋" w:eastAsia="仿宋" w:cs="仿宋"/>
          <w:b/>
          <w:sz w:val="28"/>
          <w:szCs w:val="28"/>
        </w:rPr>
        <w:t>（三）变动磋商文件</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1.磋商小组可以根据磋商文件和磋商情况实质性变动采购需求中的技术、服务要求以及合同草案条款，但磋商文件注明不可变动的特定内容除外。实质性变动的内容，须经采购人代表确认。</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2.磋商小组变动磋商文件的，应当将变动的内容书面通知所有参加磋商的供应商，做好书面记录，同时应当要求供应商就变动的部分重新提交响应文件，并给予供应商重新提交响应文件的合理时间。</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3.磋商小组可以根据磋商情况调整磋商轮次和报价轮次。</w:t>
      </w:r>
    </w:p>
    <w:p>
      <w:pPr>
        <w:pageBreakBefore w:val="0"/>
        <w:kinsoku/>
        <w:overflowPunct/>
        <w:topLinePunct w:val="0"/>
        <w:bidi w:val="0"/>
        <w:spacing w:line="360" w:lineRule="auto"/>
        <w:ind w:left="0" w:leftChars="0" w:right="0" w:rightChars="0"/>
        <w:textAlignment w:val="auto"/>
        <w:rPr>
          <w:rFonts w:hint="eastAsia" w:ascii="仿宋" w:hAnsi="仿宋" w:eastAsia="仿宋" w:cs="仿宋"/>
          <w:b/>
          <w:sz w:val="28"/>
          <w:szCs w:val="28"/>
        </w:rPr>
      </w:pPr>
      <w:r>
        <w:rPr>
          <w:rFonts w:hint="eastAsia" w:ascii="仿宋" w:hAnsi="仿宋" w:eastAsia="仿宋" w:cs="仿宋"/>
          <w:b/>
          <w:sz w:val="28"/>
          <w:szCs w:val="28"/>
        </w:rPr>
        <w:t>（四）重新提交响应文件</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1.磋商文件发生实质性变动的，供应商应当按照磋商文件的变动情况和磋商小组的要求重新提交响应文件；磋商文件未变动的，磋商小组不能要求供应商重新提交响应文件，供应商重新提交响应文件的也不予接收。</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2. 磋商文件发生实质性变动的，由专家在评审系统发起实质性变更，供应商在巴中供应商门户系统中在线提交实质性变更响应文件。</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w:t>
      </w:r>
    </w:p>
    <w:p>
      <w:pPr>
        <w:pageBreakBefore w:val="0"/>
        <w:kinsoku/>
        <w:overflowPunct/>
        <w:topLinePunct w:val="0"/>
        <w:bidi w:val="0"/>
        <w:spacing w:line="360" w:lineRule="auto"/>
        <w:ind w:left="0" w:leftChars="0" w:right="0" w:rightChars="0"/>
        <w:textAlignment w:val="auto"/>
        <w:rPr>
          <w:rFonts w:hint="eastAsia" w:ascii="仿宋" w:hAnsi="仿宋" w:eastAsia="仿宋" w:cs="仿宋"/>
          <w:b/>
          <w:sz w:val="28"/>
          <w:szCs w:val="28"/>
        </w:rPr>
      </w:pPr>
      <w:r>
        <w:rPr>
          <w:rFonts w:hint="eastAsia" w:ascii="仿宋" w:hAnsi="仿宋" w:eastAsia="仿宋" w:cs="仿宋"/>
          <w:b/>
          <w:sz w:val="28"/>
          <w:szCs w:val="28"/>
        </w:rPr>
        <w:t>（五）淘汰供应商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rPr>
      </w:pPr>
      <w:r>
        <w:rPr>
          <w:rFonts w:hint="eastAsia" w:ascii="仿宋" w:hAnsi="仿宋" w:eastAsia="仿宋" w:cs="仿宋"/>
          <w:sz w:val="28"/>
        </w:rPr>
        <w:t>磋商结束后，供应商响应文件仍未实质性响应磋商文件的，或者磋商过程中，磋商小组发现或者知晓供应商存在违法、违规行为的，磋商小组应当对其响应文件按无效处理，并书面告知供应商，说明理由。</w:t>
      </w:r>
    </w:p>
    <w:p>
      <w:pPr>
        <w:pStyle w:val="5"/>
        <w:pageBreakBefore w:val="0"/>
        <w:kinsoku/>
        <w:overflowPunct/>
        <w:topLinePunct w:val="0"/>
        <w:bidi w:val="0"/>
        <w:spacing w:before="0" w:after="0" w:line="360" w:lineRule="auto"/>
        <w:ind w:left="0" w:leftChars="0" w:right="0" w:rightChars="0"/>
        <w:textAlignment w:val="auto"/>
        <w:rPr>
          <w:rFonts w:hint="eastAsia" w:ascii="仿宋" w:hAnsi="仿宋" w:eastAsia="仿宋" w:cs="仿宋"/>
        </w:rPr>
      </w:pPr>
      <w:bookmarkStart w:id="516" w:name="_Toc63765821"/>
      <w:bookmarkStart w:id="517" w:name="_Toc14227"/>
      <w:bookmarkStart w:id="518" w:name="_Toc256000072"/>
      <w:bookmarkStart w:id="519" w:name="_Toc5172"/>
      <w:r>
        <w:rPr>
          <w:rFonts w:hint="eastAsia" w:ascii="仿宋" w:hAnsi="仿宋" w:eastAsia="仿宋" w:cs="仿宋"/>
        </w:rPr>
        <w:t>六、多轮报价</w:t>
      </w:r>
      <w:bookmarkEnd w:id="516"/>
      <w:bookmarkEnd w:id="517"/>
      <w:bookmarkEnd w:id="518"/>
      <w:bookmarkEnd w:id="519"/>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bookmarkStart w:id="520" w:name="_Hlk59013878"/>
      <w:r>
        <w:rPr>
          <w:rFonts w:hint="eastAsia" w:ascii="仿宋" w:hAnsi="仿宋" w:eastAsia="仿宋" w:cs="仿宋"/>
          <w:sz w:val="28"/>
          <w:szCs w:val="28"/>
        </w:rPr>
        <w:t>（一）磋商结束后，谈判小组应当要求所有实质性响应的供应商在规定时间内进行最后报价或者多轮报价后再最后报价。</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（二）上款所述的“规定时间”由谈判小组结合实际确定，通过采购组织单位向供应商传达。</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（三）两轮以上报价的，供应商在未提高响应文件中承诺的产品及其服务质量的情况下，其最后报价不得高于对该项目之前的报价，否则，磋商小组应当对其响应文件按无效处理，并书面告知供应商，说明理由。</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（四）磋商后的报价，由供应商通过系统提供的报价工具中填写，以数字证书签章后加密导出XXX.BJL文件上传至系统，并在上述“规定时间”预授权系统解密。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（五）磋商小组在所有供应商完成预授权系统解密后统一解密报价文件。供应商未上传报价文件或未预授权系统解密的，视为其未作出报价</w:t>
      </w:r>
      <w:bookmarkEnd w:id="520"/>
      <w:r>
        <w:rPr>
          <w:rFonts w:hint="eastAsia" w:ascii="仿宋" w:hAnsi="仿宋" w:eastAsia="仿宋" w:cs="仿宋"/>
          <w:sz w:val="28"/>
          <w:szCs w:val="28"/>
        </w:rPr>
        <w:t>。</w:t>
      </w:r>
    </w:p>
    <w:p>
      <w:pPr>
        <w:pStyle w:val="5"/>
        <w:pageBreakBefore w:val="0"/>
        <w:kinsoku/>
        <w:overflowPunct/>
        <w:topLinePunct w:val="0"/>
        <w:bidi w:val="0"/>
        <w:spacing w:before="0" w:after="0" w:line="360" w:lineRule="auto"/>
        <w:ind w:left="0" w:leftChars="0" w:right="0" w:rightChars="0"/>
        <w:textAlignment w:val="auto"/>
        <w:rPr>
          <w:rFonts w:hint="eastAsia" w:ascii="仿宋" w:hAnsi="仿宋" w:eastAsia="仿宋" w:cs="仿宋"/>
        </w:rPr>
      </w:pPr>
      <w:bookmarkStart w:id="521" w:name="_Toc63765822"/>
      <w:bookmarkStart w:id="522" w:name="_Toc256000073"/>
      <w:bookmarkStart w:id="523" w:name="_Toc32519"/>
      <w:bookmarkStart w:id="524" w:name="_Toc25632"/>
      <w:r>
        <w:rPr>
          <w:rFonts w:hint="eastAsia" w:ascii="仿宋" w:hAnsi="仿宋" w:eastAsia="仿宋" w:cs="仿宋"/>
        </w:rPr>
        <w:t>七、比较与评价</w:t>
      </w:r>
      <w:bookmarkEnd w:id="521"/>
      <w:bookmarkEnd w:id="522"/>
      <w:bookmarkEnd w:id="523"/>
      <w:bookmarkEnd w:id="524"/>
    </w:p>
    <w:bookmarkEnd w:id="473"/>
    <w:bookmarkEnd w:id="474"/>
    <w:bookmarkEnd w:id="475"/>
    <w:bookmarkEnd w:id="476"/>
    <w:bookmarkEnd w:id="477"/>
    <w:bookmarkEnd w:id="478"/>
    <w:bookmarkEnd w:id="479"/>
    <w:bookmarkEnd w:id="480"/>
    <w:bookmarkEnd w:id="481"/>
    <w:bookmarkEnd w:id="495"/>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（一）磋商小组对各供应商报价部分评分时，应按照磋商文件第二章有关“落实政府采购政策进行价格扣除和加成的方法”和“低于成本价不正当竞争预防措施”的规定对供应商报价进行调整和汇总。</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磋商小组成员应当根据自身专业情况对每个有效供应商的响应文件进行独立评分，加权汇总每项评审因素的得分，得出每个有效供应商的总分。技术类评审因素由技术方面磋商小组成员独立评分；经济类评审因素由经济方面磋商小组成员独立评分；政策合同类的评审因素由法律方面磋商小组成员独立评分；采购人代表原则上对技术类评审因素独立评分；价格和其他不能明确区分的评审因素由磋商小组成员共同评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（三）磋商小组按照如下标准，对提交最后报价的磋商响应进行综合比较与评价。</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828"/>
        <w:gridCol w:w="599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pct"/>
            <w:shd w:val="clear" w:color="auto" w:fill="FFFFFF"/>
            <w:vAlign w:val="center"/>
          </w:tcPr>
          <w:p>
            <w:pPr>
              <w:pageBreakBefore w:val="0"/>
              <w:kinsoku/>
              <w:overflowPunct/>
              <w:topLinePunct w:val="0"/>
              <w:bidi w:val="0"/>
              <w:spacing w:line="360" w:lineRule="auto"/>
              <w:ind w:left="0" w:leftChars="0" w:right="0" w:rightChars="0"/>
              <w:textAlignment w:val="auto"/>
              <w:rPr>
                <w:rFonts w:hint="eastAsia" w:ascii="仿宋" w:hAnsi="仿宋" w:eastAsia="仿宋" w:cs="仿宋"/>
                <w:b/>
                <w:sz w:val="24"/>
                <w:szCs w:val="28"/>
              </w:rPr>
            </w:pPr>
            <w:bookmarkStart w:id="525" w:name="【Bobole_评分表】"/>
            <w:r>
              <w:rPr>
                <w:rFonts w:hint="eastAsia" w:ascii="仿宋" w:hAnsi="仿宋" w:eastAsia="仿宋" w:cs="仿宋"/>
                <w:b w:val="0"/>
                <w:sz w:val="24"/>
                <w:szCs w:val="28"/>
              </w:rPr>
              <w:t xml:space="preserve"> </w:t>
            </w:r>
            <w:bookmarkEnd w:id="525"/>
            <w:r>
              <w:rPr>
                <w:rFonts w:hint="eastAsia" w:ascii="仿宋" w:hAnsi="仿宋" w:eastAsia="仿宋" w:cs="仿宋"/>
                <w:b/>
                <w:sz w:val="24"/>
                <w:szCs w:val="28"/>
              </w:rPr>
              <w:t>评审因素</w:t>
            </w:r>
          </w:p>
        </w:tc>
        <w:tc>
          <w:tcPr>
            <w:tcW w:w="420"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sz w:val="24"/>
                <w:szCs w:val="28"/>
              </w:rPr>
            </w:pPr>
            <w:r>
              <w:rPr>
                <w:rFonts w:hint="eastAsia" w:ascii="仿宋" w:hAnsi="仿宋" w:eastAsia="仿宋" w:cs="仿宋"/>
                <w:b/>
                <w:sz w:val="24"/>
                <w:szCs w:val="28"/>
              </w:rPr>
              <w:t>分值</w:t>
            </w:r>
          </w:p>
        </w:tc>
        <w:tc>
          <w:tcPr>
            <w:tcW w:w="3039"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sz w:val="24"/>
                <w:szCs w:val="28"/>
              </w:rPr>
            </w:pPr>
            <w:r>
              <w:rPr>
                <w:rFonts w:hint="eastAsia" w:ascii="仿宋" w:hAnsi="仿宋" w:eastAsia="仿宋" w:cs="仿宋"/>
                <w:b/>
                <w:sz w:val="24"/>
                <w:szCs w:val="28"/>
              </w:rPr>
              <w:t>评分标准</w:t>
            </w:r>
          </w:p>
        </w:tc>
        <w:tc>
          <w:tcPr>
            <w:tcW w:w="833"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rPr>
            </w:pPr>
            <w:r>
              <w:rPr>
                <w:rFonts w:hint="eastAsia" w:ascii="仿宋" w:hAnsi="仿宋" w:eastAsia="仿宋" w:cs="仿宋"/>
                <w:b/>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rPr>
            </w:pPr>
            <w:r>
              <w:rPr>
                <w:rFonts w:hint="eastAsia" w:ascii="仿宋" w:hAnsi="仿宋" w:eastAsia="仿宋" w:cs="仿宋"/>
                <w:b w:val="0"/>
                <w:sz w:val="24"/>
                <w:szCs w:val="28"/>
              </w:rPr>
              <w:t>报价</w:t>
            </w:r>
          </w:p>
        </w:tc>
        <w:tc>
          <w:tcPr>
            <w:tcW w:w="420"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lang w:val="en-US" w:eastAsia="zh-CN"/>
              </w:rPr>
            </w:pPr>
            <w:r>
              <w:rPr>
                <w:rFonts w:hint="eastAsia" w:ascii="仿宋" w:hAnsi="仿宋" w:eastAsia="仿宋" w:cs="仿宋"/>
                <w:b w:val="0"/>
                <w:sz w:val="24"/>
                <w:szCs w:val="28"/>
              </w:rPr>
              <w:t>10</w:t>
            </w:r>
            <w:r>
              <w:rPr>
                <w:rFonts w:hint="eastAsia" w:ascii="仿宋" w:hAnsi="仿宋" w:eastAsia="仿宋" w:cs="仿宋"/>
                <w:b w:val="0"/>
                <w:sz w:val="24"/>
                <w:szCs w:val="28"/>
                <w:lang w:val="en-US" w:eastAsia="zh-CN"/>
              </w:rPr>
              <w:t>分</w:t>
            </w:r>
          </w:p>
        </w:tc>
        <w:tc>
          <w:tcPr>
            <w:tcW w:w="3039"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满足磋商文件要求且响应价格最低的磋商最终报价作为基准价，响应报价得分＝(基准价／有效投标报价)×10。</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注:按四舍五入保留两位小数。</w:t>
            </w:r>
          </w:p>
        </w:tc>
        <w:tc>
          <w:tcPr>
            <w:tcW w:w="833"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rPr>
            </w:pPr>
            <w:r>
              <w:rPr>
                <w:rFonts w:hint="eastAsia" w:ascii="仿宋" w:hAnsi="仿宋" w:eastAsia="仿宋" w:cs="仿宋"/>
                <w:b w:val="0"/>
                <w:sz w:val="24"/>
                <w:szCs w:val="28"/>
              </w:rPr>
              <w:t>以供应商报价一览表为准。</w:t>
            </w:r>
          </w:p>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rPr>
            </w:pPr>
            <w:r>
              <w:rPr>
                <w:rFonts w:hint="eastAsia" w:ascii="仿宋" w:hAnsi="仿宋" w:eastAsia="仿宋" w:cs="仿宋"/>
                <w:b w:val="0"/>
                <w:sz w:val="24"/>
                <w:szCs w:val="2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rPr>
            </w:pPr>
            <w:r>
              <w:rPr>
                <w:rFonts w:hint="eastAsia" w:ascii="仿宋" w:hAnsi="仿宋" w:eastAsia="仿宋" w:cs="仿宋"/>
                <w:b w:val="0"/>
                <w:sz w:val="24"/>
                <w:szCs w:val="28"/>
              </w:rPr>
              <w:t>服务方案</w:t>
            </w:r>
          </w:p>
        </w:tc>
        <w:tc>
          <w:tcPr>
            <w:tcW w:w="420"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lang w:val="en-US" w:eastAsia="zh-CN"/>
              </w:rPr>
            </w:pPr>
            <w:r>
              <w:rPr>
                <w:rFonts w:hint="eastAsia" w:ascii="仿宋" w:hAnsi="仿宋" w:eastAsia="仿宋" w:cs="仿宋"/>
                <w:b w:val="0"/>
                <w:sz w:val="24"/>
                <w:szCs w:val="28"/>
              </w:rPr>
              <w:t>30</w:t>
            </w:r>
            <w:r>
              <w:rPr>
                <w:rFonts w:hint="eastAsia" w:ascii="仿宋" w:hAnsi="仿宋" w:eastAsia="仿宋" w:cs="仿宋"/>
                <w:b w:val="0"/>
                <w:sz w:val="24"/>
                <w:szCs w:val="28"/>
                <w:lang w:val="en-US" w:eastAsia="zh-CN"/>
              </w:rPr>
              <w:t>分</w:t>
            </w:r>
          </w:p>
        </w:tc>
        <w:tc>
          <w:tcPr>
            <w:tcW w:w="3039"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 xml:space="preserve"> 一、根据供应商提供的服务方案进行综合评审，内容包括但不限于：</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1、项目分析及理解；</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2、编制重点、难点分析；</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3、编制思路及依据；</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4、人员安排及岗位设置；</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5、可调用的后备资源；</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6、潜在问题、责任及争议解决措施；</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7、技术审查组织、沟通、协调措施。</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方案包括以上7项内容并完全满足本项目采购需求的得21分；以上内容中每缺少一项扣3分；内容要素中每有一处存在缺陷（缺陷指：内容阐述与实际情况不符或前后内容互相矛盾或存在与本项目无关的内容或描述不符合本项目采购需求）的扣1.5分，直至本项分值扣完为止。</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二、根据供应商提供的管理制度进行综合评审，内容包括但不限于：</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1、员工管理制度；</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2、督导检查制度；</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3、内控管理制度。</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 xml:space="preserve">方案包括以上3项内容并完全满足本项目采购需求的得9分；以上内容中每缺少一项扣3分；内容要素中每有一处存在缺陷（缺陷指：内容阐述与实际情况不符或前后内容互相矛盾或存在与本项目无关的内容或描述不符合本项目采购需求）的扣1.5分，直至本项分值扣完为止。 </w:t>
            </w:r>
          </w:p>
        </w:tc>
        <w:tc>
          <w:tcPr>
            <w:tcW w:w="833"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rPr>
            </w:pPr>
            <w:r>
              <w:rPr>
                <w:rFonts w:hint="eastAsia" w:ascii="仿宋" w:hAnsi="仿宋" w:eastAsia="仿宋" w:cs="仿宋"/>
                <w:b w:val="0"/>
                <w:sz w:val="24"/>
                <w:szCs w:val="28"/>
              </w:rPr>
              <w:t>以供应商提供的服务方案为准。（技术评分因素）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rPr>
            </w:pPr>
            <w:r>
              <w:rPr>
                <w:rFonts w:hint="eastAsia" w:ascii="仿宋" w:hAnsi="仿宋" w:eastAsia="仿宋" w:cs="仿宋"/>
                <w:b w:val="0"/>
                <w:sz w:val="24"/>
                <w:szCs w:val="28"/>
              </w:rPr>
              <w:t>保障措施</w:t>
            </w:r>
          </w:p>
        </w:tc>
        <w:tc>
          <w:tcPr>
            <w:tcW w:w="420"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lang w:val="en-US" w:eastAsia="zh-CN"/>
              </w:rPr>
            </w:pPr>
            <w:r>
              <w:rPr>
                <w:rFonts w:hint="eastAsia" w:ascii="仿宋" w:hAnsi="仿宋" w:eastAsia="仿宋" w:cs="仿宋"/>
                <w:b w:val="0"/>
                <w:sz w:val="24"/>
                <w:szCs w:val="28"/>
              </w:rPr>
              <w:t>15</w:t>
            </w:r>
            <w:r>
              <w:rPr>
                <w:rFonts w:hint="eastAsia" w:ascii="仿宋" w:hAnsi="仿宋" w:eastAsia="仿宋" w:cs="仿宋"/>
                <w:b w:val="0"/>
                <w:sz w:val="24"/>
                <w:szCs w:val="28"/>
                <w:lang w:val="en-US" w:eastAsia="zh-CN"/>
              </w:rPr>
              <w:t>分</w:t>
            </w:r>
          </w:p>
        </w:tc>
        <w:tc>
          <w:tcPr>
            <w:tcW w:w="3039"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 xml:space="preserve"> 根据供应商提供的保障措施方案进行综合评审，方案内容包括但不限于：</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1、质量保障措施；</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2、安全保障措施；</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3、成果保障措施；</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4、进度保障措施；</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5、档案管理措施等。</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 xml:space="preserve">方案包括以上5项内容并完全满足本项目采购需求的得15分；以上内容中每缺少一项扣3分；内容要素中每有一处存在缺陷（缺陷指：内容阐述与实际情况不符或前后内容互相矛盾或存在与本项目无关的内容或描述不符合本项目采购需求）的扣1.5分，直至本项分值扣完为止。 </w:t>
            </w:r>
          </w:p>
        </w:tc>
        <w:tc>
          <w:tcPr>
            <w:tcW w:w="833"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rPr>
            </w:pPr>
            <w:r>
              <w:rPr>
                <w:rFonts w:hint="eastAsia" w:ascii="仿宋" w:hAnsi="仿宋" w:eastAsia="仿宋" w:cs="仿宋"/>
                <w:b w:val="0"/>
                <w:sz w:val="24"/>
                <w:szCs w:val="28"/>
              </w:rPr>
              <w:t xml:space="preserve"> 以供应商提供的保障措施为准。</w:t>
            </w:r>
          </w:p>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rPr>
            </w:pPr>
            <w:r>
              <w:rPr>
                <w:rFonts w:hint="eastAsia" w:ascii="仿宋" w:hAnsi="仿宋" w:eastAsia="仿宋" w:cs="仿宋"/>
                <w:b w:val="0"/>
                <w:sz w:val="24"/>
                <w:szCs w:val="28"/>
              </w:rPr>
              <w:t xml:space="preserve">（技术评分因素）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rPr>
            </w:pPr>
            <w:r>
              <w:rPr>
                <w:rFonts w:hint="eastAsia" w:ascii="仿宋" w:hAnsi="仿宋" w:eastAsia="仿宋" w:cs="仿宋"/>
                <w:b w:val="0"/>
                <w:sz w:val="24"/>
                <w:szCs w:val="28"/>
              </w:rPr>
              <w:t>后续服务</w:t>
            </w:r>
          </w:p>
        </w:tc>
        <w:tc>
          <w:tcPr>
            <w:tcW w:w="420"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lang w:val="en-US" w:eastAsia="zh-CN"/>
              </w:rPr>
            </w:pPr>
            <w:r>
              <w:rPr>
                <w:rFonts w:hint="eastAsia" w:ascii="仿宋" w:hAnsi="仿宋" w:eastAsia="仿宋" w:cs="仿宋"/>
                <w:b w:val="0"/>
                <w:sz w:val="24"/>
                <w:szCs w:val="28"/>
              </w:rPr>
              <w:t>12</w:t>
            </w:r>
            <w:r>
              <w:rPr>
                <w:rFonts w:hint="eastAsia" w:ascii="仿宋" w:hAnsi="仿宋" w:eastAsia="仿宋" w:cs="仿宋"/>
                <w:b w:val="0"/>
                <w:sz w:val="24"/>
                <w:szCs w:val="28"/>
                <w:lang w:val="en-US" w:eastAsia="zh-CN"/>
              </w:rPr>
              <w:t>分</w:t>
            </w:r>
          </w:p>
        </w:tc>
        <w:tc>
          <w:tcPr>
            <w:tcW w:w="3039"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 xml:space="preserve"> 根据供应商针对本项目制定的后续服务方案进行综合评审，内容包括但不限于：</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①后续服务承诺；</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②后续服务计划；</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③后续服务响应时间；</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④后续服务机构及人员配置等。</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 xml:space="preserve">方案包括以上4项内容并完全满足本项目采购需求的得12分；以上内容中每缺少一项扣3分；内容要素中每有一处存在缺陷（缺陷指：内容阐述与实际情况不符或前后内容互相矛盾或存在与本项目无关的内容或描述不符合本项目采购需求）的扣1.5分，直至本项分值扣完为止。 </w:t>
            </w:r>
          </w:p>
        </w:tc>
        <w:tc>
          <w:tcPr>
            <w:tcW w:w="833"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rPr>
            </w:pPr>
            <w:r>
              <w:rPr>
                <w:rFonts w:hint="eastAsia" w:ascii="仿宋" w:hAnsi="仿宋" w:eastAsia="仿宋" w:cs="仿宋"/>
                <w:b w:val="0"/>
                <w:sz w:val="24"/>
                <w:szCs w:val="28"/>
              </w:rPr>
              <w:t xml:space="preserve"> 以供应商提供的后续服务为准。</w:t>
            </w:r>
          </w:p>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rPr>
            </w:pPr>
            <w:r>
              <w:rPr>
                <w:rFonts w:hint="eastAsia" w:ascii="仿宋" w:hAnsi="仿宋" w:eastAsia="仿宋" w:cs="仿宋"/>
                <w:b w:val="0"/>
                <w:sz w:val="24"/>
                <w:szCs w:val="28"/>
              </w:rPr>
              <w:t xml:space="preserve">（技术评分因素）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rPr>
            </w:pPr>
            <w:r>
              <w:rPr>
                <w:rFonts w:hint="eastAsia" w:ascii="仿宋" w:hAnsi="仿宋" w:eastAsia="仿宋" w:cs="仿宋"/>
                <w:b w:val="0"/>
                <w:sz w:val="24"/>
                <w:szCs w:val="28"/>
              </w:rPr>
              <w:t>人员配备</w:t>
            </w:r>
          </w:p>
        </w:tc>
        <w:tc>
          <w:tcPr>
            <w:tcW w:w="420"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lang w:val="en-US" w:eastAsia="zh-CN"/>
              </w:rPr>
            </w:pPr>
            <w:r>
              <w:rPr>
                <w:rFonts w:hint="eastAsia" w:ascii="仿宋" w:hAnsi="仿宋" w:eastAsia="仿宋" w:cs="仿宋"/>
                <w:b w:val="0"/>
                <w:sz w:val="24"/>
                <w:szCs w:val="28"/>
              </w:rPr>
              <w:t>24</w:t>
            </w:r>
            <w:r>
              <w:rPr>
                <w:rFonts w:hint="eastAsia" w:ascii="仿宋" w:hAnsi="仿宋" w:eastAsia="仿宋" w:cs="仿宋"/>
                <w:b w:val="0"/>
                <w:sz w:val="24"/>
                <w:szCs w:val="28"/>
                <w:lang w:val="en-US" w:eastAsia="zh-CN"/>
              </w:rPr>
              <w:t>分</w:t>
            </w:r>
          </w:p>
        </w:tc>
        <w:tc>
          <w:tcPr>
            <w:tcW w:w="3039"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 xml:space="preserve"> 1、项目负责人（7分）</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具有水土保持专业中级职称得3分，具有水土保持专业高级及以上职称得5分，同时具有注册土木工程师（水利水电工程水土保持）加2分；本项最多得7分，未提供不得分。</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2.技术负责人（5分）</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具有水土保持专业中级职称得3分，具有水土保持专业高级及以上职称得5分；本项最多得5分，未提供不得分。</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3.水利（或水利水电）专业负责人（4分）</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具有水利（或水利水电）专业工程师职称得3分，水利（或水利水电）高级及以上工程师职称得4分，本项最多得4分，未提供不得分。</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4.测量专业负责人（4分）</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具有测量专业工程师职称得3分，具有测量专业高级及以上工程师职称得4分，本项最多得4分，未提供不得分。</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5.水保专业负责人（4分）</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具有水土保持专业工程师职称得3分，具有水土保持专业高级及以上工程师职称得4分，本项最多得4分，未提供不得分。</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 xml:space="preserve">注：以上人员重复不计分。 </w:t>
            </w:r>
          </w:p>
        </w:tc>
        <w:tc>
          <w:tcPr>
            <w:tcW w:w="833"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rPr>
            </w:pPr>
            <w:r>
              <w:rPr>
                <w:rFonts w:hint="eastAsia" w:ascii="仿宋" w:hAnsi="仿宋" w:eastAsia="仿宋" w:cs="仿宋"/>
                <w:b w:val="0"/>
                <w:sz w:val="24"/>
                <w:szCs w:val="28"/>
              </w:rPr>
              <w:t xml:space="preserve"> 以供应商编制的响应文件为准，提供相关人员证书复印件并加盖供应商单位鲜章。</w:t>
            </w:r>
          </w:p>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rPr>
            </w:pPr>
            <w:r>
              <w:rPr>
                <w:rFonts w:hint="eastAsia" w:ascii="仿宋" w:hAnsi="仿宋" w:eastAsia="仿宋" w:cs="仿宋"/>
                <w:b w:val="0"/>
                <w:sz w:val="24"/>
                <w:szCs w:val="28"/>
              </w:rPr>
              <w:t xml:space="preserve">（共同评分因素）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rPr>
            </w:pPr>
            <w:r>
              <w:rPr>
                <w:rFonts w:hint="eastAsia" w:ascii="仿宋" w:hAnsi="仿宋" w:eastAsia="仿宋" w:cs="仿宋"/>
                <w:b w:val="0"/>
                <w:sz w:val="24"/>
                <w:szCs w:val="28"/>
              </w:rPr>
              <w:t>履约能力</w:t>
            </w:r>
          </w:p>
        </w:tc>
        <w:tc>
          <w:tcPr>
            <w:tcW w:w="420"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lang w:val="en-US" w:eastAsia="zh-CN"/>
              </w:rPr>
            </w:pPr>
            <w:r>
              <w:rPr>
                <w:rFonts w:hint="eastAsia" w:ascii="仿宋" w:hAnsi="仿宋" w:eastAsia="仿宋" w:cs="仿宋"/>
                <w:b w:val="0"/>
                <w:sz w:val="24"/>
                <w:szCs w:val="28"/>
              </w:rPr>
              <w:t>9</w:t>
            </w:r>
            <w:r>
              <w:rPr>
                <w:rFonts w:hint="eastAsia" w:ascii="仿宋" w:hAnsi="仿宋" w:eastAsia="仿宋" w:cs="仿宋"/>
                <w:b w:val="0"/>
                <w:sz w:val="24"/>
                <w:szCs w:val="28"/>
                <w:lang w:val="en-US" w:eastAsia="zh-CN"/>
              </w:rPr>
              <w:t>分</w:t>
            </w:r>
          </w:p>
        </w:tc>
        <w:tc>
          <w:tcPr>
            <w:tcW w:w="3039" w:type="pct"/>
            <w:shd w:val="clear" w:color="auto" w:fill="FFFFFF"/>
            <w:vAlign w:val="center"/>
          </w:tcPr>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 xml:space="preserve"> 供应商提供近三年类似业绩，每提供一个得3分，本项最多得9分，未提供不得分。</w:t>
            </w: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p>
          <w:p>
            <w:pPr>
              <w:pageBreakBefore w:val="0"/>
              <w:kinsoku/>
              <w:overflowPunct/>
              <w:topLinePunct w:val="0"/>
              <w:bidi w:val="0"/>
              <w:spacing w:line="360" w:lineRule="auto"/>
              <w:ind w:left="0" w:leftChars="0" w:right="0" w:rightChars="0"/>
              <w:jc w:val="left"/>
              <w:textAlignment w:val="auto"/>
              <w:rPr>
                <w:rFonts w:hint="eastAsia" w:ascii="仿宋" w:hAnsi="仿宋" w:eastAsia="仿宋" w:cs="仿宋"/>
                <w:b w:val="0"/>
                <w:sz w:val="24"/>
                <w:szCs w:val="28"/>
              </w:rPr>
            </w:pPr>
            <w:r>
              <w:rPr>
                <w:rFonts w:hint="eastAsia" w:ascii="仿宋" w:hAnsi="仿宋" w:eastAsia="仿宋" w:cs="仿宋"/>
                <w:b w:val="0"/>
                <w:sz w:val="24"/>
                <w:szCs w:val="28"/>
              </w:rPr>
              <w:t xml:space="preserve">类似业绩指：小流域综合治理实施方案编制或施工图设计。 </w:t>
            </w:r>
          </w:p>
        </w:tc>
        <w:tc>
          <w:tcPr>
            <w:tcW w:w="833" w:type="pct"/>
            <w:shd w:val="clear" w:color="auto" w:fill="FFFFFF"/>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rPr>
            </w:pPr>
            <w:r>
              <w:rPr>
                <w:rFonts w:hint="eastAsia" w:ascii="仿宋" w:hAnsi="仿宋" w:eastAsia="仿宋" w:cs="仿宋"/>
                <w:b w:val="0"/>
                <w:sz w:val="24"/>
                <w:szCs w:val="28"/>
              </w:rPr>
              <w:t xml:space="preserve"> 以供应商提供的合同或者中标/成交通知书复印件加盖供应商单位鲜章为准。</w:t>
            </w:r>
          </w:p>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val="0"/>
                <w:sz w:val="24"/>
                <w:szCs w:val="28"/>
              </w:rPr>
            </w:pPr>
            <w:r>
              <w:rPr>
                <w:rFonts w:hint="eastAsia" w:ascii="仿宋" w:hAnsi="仿宋" w:eastAsia="仿宋" w:cs="仿宋"/>
                <w:b w:val="0"/>
                <w:sz w:val="24"/>
                <w:szCs w:val="28"/>
              </w:rPr>
              <w:t xml:space="preserve">（共同评分因素） </w:t>
            </w:r>
          </w:p>
        </w:tc>
      </w:tr>
    </w:tbl>
    <w:p>
      <w:pPr>
        <w:pStyle w:val="5"/>
        <w:pageBreakBefore w:val="0"/>
        <w:kinsoku/>
        <w:overflowPunct/>
        <w:topLinePunct w:val="0"/>
        <w:bidi w:val="0"/>
        <w:spacing w:before="0" w:after="0" w:line="360" w:lineRule="auto"/>
        <w:ind w:left="0" w:leftChars="0" w:right="0" w:rightChars="0"/>
        <w:textAlignment w:val="auto"/>
        <w:rPr>
          <w:rFonts w:hint="eastAsia" w:ascii="仿宋" w:hAnsi="仿宋" w:eastAsia="仿宋" w:cs="仿宋"/>
        </w:rPr>
      </w:pPr>
      <w:bookmarkStart w:id="526" w:name="_Toc63765823"/>
      <w:bookmarkStart w:id="527" w:name="_Toc29734"/>
      <w:bookmarkStart w:id="528" w:name="_Toc256000074"/>
      <w:bookmarkStart w:id="529" w:name="_Toc30102"/>
      <w:r>
        <w:rPr>
          <w:rFonts w:hint="eastAsia" w:ascii="仿宋" w:hAnsi="仿宋" w:eastAsia="仿宋" w:cs="仿宋"/>
        </w:rPr>
        <w:t>八、</w:t>
      </w:r>
      <w:bookmarkEnd w:id="526"/>
      <w:r>
        <w:rPr>
          <w:rFonts w:hint="eastAsia" w:ascii="仿宋" w:hAnsi="仿宋" w:eastAsia="仿宋" w:cs="仿宋"/>
        </w:rPr>
        <w:t>评审结果复核</w:t>
      </w:r>
      <w:bookmarkEnd w:id="527"/>
      <w:bookmarkEnd w:id="528"/>
      <w:bookmarkEnd w:id="529"/>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（一）磋商小组完成评分后，应汇总评审结果，进行评审复核，对拟推荐为成交候选供应商的、报价最低的、供应商书面审查未通过的、供应商被淘汰的重点复核。</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（二）磋商报告出具前，采购组织单位应组织2名以上的本单位工作人员，在采购现场监督人员的监督之下，依据有关的法律制度和磋商文件对评审结果进行复核，出具复核报告。</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（三）有下列情形之一的，不得现场修改评审结果：</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1.磋商小组已经出具磋商报告并且离开评审现场的；</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2.采购组织单位现场复核时，复核工作人员数量不足的；</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3.采购组织单位现场复核时，没有采购监督人员现场监督的；</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4.采购组织单位现场复核内容超出规定范围的；</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5.采购组织单位未提供书面建议的。</w:t>
      </w:r>
    </w:p>
    <w:bookmarkEnd w:id="482"/>
    <w:bookmarkEnd w:id="483"/>
    <w:bookmarkEnd w:id="484"/>
    <w:bookmarkEnd w:id="485"/>
    <w:bookmarkEnd w:id="486"/>
    <w:bookmarkEnd w:id="487"/>
    <w:bookmarkEnd w:id="488"/>
    <w:bookmarkEnd w:id="489"/>
    <w:bookmarkEnd w:id="490"/>
    <w:bookmarkEnd w:id="491"/>
    <w:bookmarkEnd w:id="492"/>
    <w:bookmarkEnd w:id="493"/>
    <w:bookmarkEnd w:id="494"/>
    <w:p>
      <w:pPr>
        <w:pStyle w:val="5"/>
        <w:pageBreakBefore w:val="0"/>
        <w:kinsoku/>
        <w:overflowPunct/>
        <w:topLinePunct w:val="0"/>
        <w:bidi w:val="0"/>
        <w:spacing w:before="0" w:after="0" w:line="360" w:lineRule="auto"/>
        <w:ind w:left="0" w:leftChars="0" w:right="0" w:rightChars="0"/>
        <w:textAlignment w:val="auto"/>
        <w:rPr>
          <w:rFonts w:hint="eastAsia" w:ascii="仿宋" w:hAnsi="仿宋" w:eastAsia="仿宋" w:cs="仿宋"/>
        </w:rPr>
      </w:pPr>
      <w:bookmarkStart w:id="530" w:name="_Toc256000075"/>
      <w:bookmarkStart w:id="531" w:name="_Toc20165"/>
      <w:bookmarkStart w:id="532" w:name="_Toc63765824"/>
      <w:bookmarkStart w:id="533" w:name="_Toc4918"/>
      <w:r>
        <w:rPr>
          <w:rFonts w:hint="eastAsia" w:ascii="仿宋" w:hAnsi="仿宋" w:eastAsia="仿宋" w:cs="仿宋"/>
        </w:rPr>
        <w:t>九、供应商澄清、说明、更正</w:t>
      </w:r>
      <w:bookmarkEnd w:id="530"/>
      <w:bookmarkEnd w:id="531"/>
      <w:bookmarkEnd w:id="532"/>
      <w:bookmarkEnd w:id="533"/>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一）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（二）磋商小组要求供应商澄清、说明或者更正响应文件应当在</w:t>
      </w:r>
    </w:p>
    <w:p>
      <w:pPr>
        <w:pageBreakBefore w:val="0"/>
        <w:kinsoku/>
        <w:overflowPunct/>
        <w:topLinePunct w:val="0"/>
        <w:bidi w:val="0"/>
        <w:snapToGrid w:val="0"/>
        <w:spacing w:line="360" w:lineRule="auto"/>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巴中市电子化政府采购评标系统对供应商发起澄清。</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（三）供应商的澄清、说明或者更正材料应当在</w:t>
      </w:r>
      <w:r>
        <w:rPr>
          <w:rFonts w:hint="eastAsia" w:ascii="仿宋" w:hAnsi="仿宋" w:eastAsia="仿宋" w:cs="仿宋"/>
          <w:color w:val="FF0000"/>
          <w:sz w:val="28"/>
        </w:rPr>
        <w:t>布络供应商门户系统</w:t>
      </w:r>
      <w:r>
        <w:rPr>
          <w:rFonts w:hint="eastAsia" w:ascii="仿宋" w:hAnsi="仿宋" w:eastAsia="仿宋" w:cs="仿宋"/>
          <w:b/>
          <w:bCs/>
          <w:sz w:val="28"/>
          <w:szCs w:val="28"/>
        </w:rPr>
        <w:t>—&gt;远程交易大厅—&gt;响应回复</w:t>
      </w:r>
      <w:r>
        <w:rPr>
          <w:rFonts w:hint="eastAsia" w:ascii="仿宋" w:hAnsi="仿宋" w:eastAsia="仿宋" w:cs="仿宋"/>
          <w:sz w:val="28"/>
          <w:szCs w:val="28"/>
        </w:rPr>
        <w:t>处点击回复后并对系统生成的澄清函进行电子印章的加盖提交，否则视为供应商未作出澄清、说明或者更正。</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（四）供应商报价如果出现下列不一致的，可按以下原则进行修改：</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1.大写金额和小写金额不一致的，以大写金额为准，但大写金额文字存在错误的，应当先对大写金额的文字错误进行澄清、说明或者更正，再行修正。</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2.总价金额与按单价汇总金额不一致的，以单价金额计算结果为准，但单价或者单价汇总金额存在数字或者文字错误的，应当先对数字或者文字错误进行澄清、说明或者更正，再行修正。</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3.单价金额小数点或者百分比有明显错位的，以总价为准，修正单价。</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同时出现两种以上不一致的，按照上述规定的顺序修正。修正后的报价经供应商确认后产生约束力，供应商不确认的，其响应文件作为无效处理。</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（五）有效的澄清、说明或者更正材料，是响应文件的组成部分。</w:t>
      </w:r>
    </w:p>
    <w:p>
      <w:pPr>
        <w:pStyle w:val="5"/>
        <w:pageBreakBefore w:val="0"/>
        <w:kinsoku/>
        <w:overflowPunct/>
        <w:topLinePunct w:val="0"/>
        <w:bidi w:val="0"/>
        <w:spacing w:before="0" w:after="0" w:line="360" w:lineRule="auto"/>
        <w:ind w:left="0" w:leftChars="0" w:right="0" w:rightChars="0"/>
        <w:textAlignment w:val="auto"/>
        <w:rPr>
          <w:rFonts w:hint="eastAsia" w:ascii="仿宋" w:hAnsi="仿宋" w:eastAsia="仿宋" w:cs="仿宋"/>
        </w:rPr>
      </w:pPr>
      <w:bookmarkStart w:id="534" w:name="_Toc256000076"/>
      <w:bookmarkStart w:id="535" w:name="_Toc63765825"/>
      <w:bookmarkStart w:id="536" w:name="_Toc31654"/>
      <w:bookmarkStart w:id="537" w:name="_Toc829"/>
      <w:r>
        <w:rPr>
          <w:rFonts w:hint="eastAsia" w:ascii="仿宋" w:hAnsi="仿宋" w:eastAsia="仿宋" w:cs="仿宋"/>
        </w:rPr>
        <w:t>十、推荐成交候选供应商和出具磋商报告</w:t>
      </w:r>
      <w:bookmarkEnd w:id="534"/>
      <w:bookmarkEnd w:id="535"/>
      <w:bookmarkEnd w:id="536"/>
      <w:bookmarkEnd w:id="537"/>
    </w:p>
    <w:p>
      <w:pPr>
        <w:pageBreakBefore w:val="0"/>
        <w:kinsoku/>
        <w:overflowPunct/>
        <w:topLinePunct w:val="0"/>
        <w:bidi w:val="0"/>
        <w:spacing w:line="360" w:lineRule="auto"/>
        <w:ind w:left="0" w:leftChars="0" w:right="0" w:rightChars="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一）磋商小组应按照评审后供应商得分由高到低的顺序，推荐成交候选供应商。供应商得分相同的，按最后报价由低到高顺序排列。得分且最后报价相同的，按照技术指标优劣顺序推荐。供应商得分且最后报价且技术指标分项得分均相同的，成交候选供应商并列。</w:t>
      </w:r>
    </w:p>
    <w:p>
      <w:pPr>
        <w:pageBreakBefore w:val="0"/>
        <w:kinsoku/>
        <w:overflowPunct/>
        <w:topLinePunct w:val="0"/>
        <w:bidi w:val="0"/>
        <w:spacing w:line="360" w:lineRule="auto"/>
        <w:ind w:left="0" w:leftChars="0" w:right="0" w:rightChars="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（二）磋商小组推荐成交候选供应商后，应当向采购组织单位出具磋商报告。</w:t>
      </w:r>
    </w:p>
    <w:p>
      <w:pPr>
        <w:pageBreakBefore w:val="0"/>
        <w:kinsoku/>
        <w:overflowPunct/>
        <w:topLinePunct w:val="0"/>
        <w:bidi w:val="0"/>
        <w:spacing w:line="360" w:lineRule="auto"/>
        <w:ind w:left="0" w:leftChars="0" w:right="0" w:rightChars="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（三）磋商报告应当包括下列内容：</w:t>
      </w:r>
    </w:p>
    <w:p>
      <w:pPr>
        <w:pageBreakBefore w:val="0"/>
        <w:kinsoku/>
        <w:overflowPunct/>
        <w:topLinePunct w:val="0"/>
        <w:bidi w:val="0"/>
        <w:spacing w:line="360" w:lineRule="auto"/>
        <w:ind w:left="0" w:leftChars="0" w:right="0" w:rightChars="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1.邀请供应商参加采购活动的具体方式和相关情况，以及参加采购活动的供应商名单；</w:t>
      </w:r>
    </w:p>
    <w:p>
      <w:pPr>
        <w:pageBreakBefore w:val="0"/>
        <w:kinsoku/>
        <w:overflowPunct/>
        <w:topLinePunct w:val="0"/>
        <w:bidi w:val="0"/>
        <w:spacing w:line="360" w:lineRule="auto"/>
        <w:ind w:left="0" w:leftChars="0" w:right="0" w:rightChars="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2.磋商日期和地点，评审委员会成员名单；</w:t>
      </w:r>
    </w:p>
    <w:p>
      <w:pPr>
        <w:pageBreakBefore w:val="0"/>
        <w:kinsoku/>
        <w:overflowPunct/>
        <w:topLinePunct w:val="0"/>
        <w:bidi w:val="0"/>
        <w:spacing w:line="360" w:lineRule="auto"/>
        <w:ind w:left="0" w:leftChars="0" w:right="0" w:rightChars="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3.参加报价的供应商名单及报价情况和未参加报价的供应商名单及原因；</w:t>
      </w:r>
    </w:p>
    <w:p>
      <w:pPr>
        <w:pageBreakBefore w:val="0"/>
        <w:kinsoku/>
        <w:overflowPunct/>
        <w:topLinePunct w:val="0"/>
        <w:bidi w:val="0"/>
        <w:spacing w:line="360" w:lineRule="auto"/>
        <w:ind w:left="0" w:leftChars="0" w:right="0" w:rightChars="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4.变动磋商文件实质性内容的有关资料及记录；</w:t>
      </w:r>
    </w:p>
    <w:p>
      <w:pPr>
        <w:pageBreakBefore w:val="0"/>
        <w:kinsoku/>
        <w:overflowPunct/>
        <w:topLinePunct w:val="0"/>
        <w:bidi w:val="0"/>
        <w:spacing w:line="360" w:lineRule="auto"/>
        <w:ind w:left="0" w:leftChars="0" w:right="0" w:rightChars="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5.供应商响应文件响应磋商文件实质性要求情况及供应商变动响应文件有关资料及记录；</w:t>
      </w:r>
    </w:p>
    <w:p>
      <w:pPr>
        <w:pageBreakBefore w:val="0"/>
        <w:kinsoku/>
        <w:overflowPunct/>
        <w:topLinePunct w:val="0"/>
        <w:bidi w:val="0"/>
        <w:spacing w:line="360" w:lineRule="auto"/>
        <w:ind w:left="0" w:leftChars="0" w:right="0" w:rightChars="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6.磋商情况记录和说明，包括对供应商的书面审查情况、供应商响应文件磋商情况等；</w:t>
      </w:r>
    </w:p>
    <w:p>
      <w:pPr>
        <w:pageBreakBefore w:val="0"/>
        <w:kinsoku/>
        <w:overflowPunct/>
        <w:topLinePunct w:val="0"/>
        <w:bidi w:val="0"/>
        <w:spacing w:line="360" w:lineRule="auto"/>
        <w:ind w:left="0" w:leftChars="0" w:right="0" w:rightChars="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7.推荐的成交候选供应商名单及理由。</w:t>
      </w:r>
    </w:p>
    <w:p>
      <w:pPr>
        <w:pageBreakBefore w:val="0"/>
        <w:kinsoku/>
        <w:overflowPunct/>
        <w:topLinePunct w:val="0"/>
        <w:bidi w:val="0"/>
        <w:spacing w:line="360" w:lineRule="auto"/>
        <w:ind w:left="0" w:leftChars="0" w:right="0" w:rightChars="0"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三）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5"/>
        <w:pageBreakBefore w:val="0"/>
        <w:kinsoku/>
        <w:overflowPunct/>
        <w:topLinePunct w:val="0"/>
        <w:bidi w:val="0"/>
        <w:spacing w:before="0" w:after="0" w:line="360" w:lineRule="auto"/>
        <w:ind w:left="0" w:leftChars="0" w:right="0" w:rightChars="0"/>
        <w:textAlignment w:val="auto"/>
        <w:rPr>
          <w:rFonts w:hint="eastAsia" w:ascii="仿宋" w:hAnsi="仿宋" w:eastAsia="仿宋" w:cs="仿宋"/>
        </w:rPr>
      </w:pPr>
      <w:bookmarkStart w:id="538" w:name="_Toc63765826"/>
      <w:bookmarkStart w:id="539" w:name="_Toc16053"/>
      <w:bookmarkStart w:id="540" w:name="_Toc256000077"/>
      <w:bookmarkStart w:id="541" w:name="_Toc23459"/>
      <w:r>
        <w:rPr>
          <w:rFonts w:hint="eastAsia" w:ascii="仿宋" w:hAnsi="仿宋" w:eastAsia="仿宋" w:cs="仿宋"/>
        </w:rPr>
        <w:t>十一、评审工作纪律</w:t>
      </w:r>
      <w:bookmarkEnd w:id="538"/>
      <w:bookmarkEnd w:id="539"/>
      <w:bookmarkEnd w:id="540"/>
      <w:bookmarkEnd w:id="541"/>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（一）磋商小组在采购活动过程中，应当按照《中华人民共和国政府采购法实施条例》、《政府采购竞争性磋商采购方式管理暂行办法》的规定履行职责和义务，不得违法评审、违反评审工作纪律。</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（二）评审过程在严格保密的情况下进行，任何单位和个人不得非法干预、影响磋商过程和结果。</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（三）磋商小组成员以及与评审工作有关的人员不得泄露评审情况以及评审过程中获悉的国家秘密、商业秘密。</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（四）磋商小组成员应当遵守下列工作纪律：</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1.遵行《政府采购法》第十二条和《政府采购法实施条例》第九条及财政部关于回避的规定；</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2.评审前，应当将通讯工具或者相关电子设备交由采购组织单位统一保管；</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3.评审过程中，不得与外界联系，因发生不可预见情况，确实需要与外界联系的，应当在监督人员监督之下办理；</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4.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5.在评审过程中和评审结束后，不得记录、复制或带走任何评审资料，除因履行法律法规规定的义务外，不得向外界透露评审内容；</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6.服从评审现场采购组织单位的现场秩序管理，接受评审现场监督人员的合法监督；</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7.遵守有关廉洁自律规定，不得私下接触供应商，不得收受供应商及有关业务单位和个人的财物或好处，不得接受采购组织单位的请托。</w:t>
      </w:r>
    </w:p>
    <w:p>
      <w:pPr>
        <w:pStyle w:val="5"/>
        <w:pageBreakBefore w:val="0"/>
        <w:kinsoku/>
        <w:overflowPunct/>
        <w:topLinePunct w:val="0"/>
        <w:bidi w:val="0"/>
        <w:spacing w:before="0" w:after="0" w:line="360" w:lineRule="auto"/>
        <w:ind w:left="0" w:leftChars="0" w:right="0" w:rightChars="0"/>
        <w:textAlignment w:val="auto"/>
        <w:rPr>
          <w:rFonts w:hint="eastAsia" w:ascii="仿宋" w:hAnsi="仿宋" w:eastAsia="仿宋" w:cs="仿宋"/>
        </w:rPr>
      </w:pPr>
      <w:bookmarkStart w:id="542" w:name="_Toc63765827"/>
      <w:bookmarkStart w:id="543" w:name="_Toc256000078"/>
      <w:bookmarkStart w:id="544" w:name="_Toc22691"/>
      <w:bookmarkStart w:id="545" w:name="_Toc3951"/>
      <w:r>
        <w:rPr>
          <w:rFonts w:hint="eastAsia" w:ascii="仿宋" w:hAnsi="仿宋" w:eastAsia="仿宋" w:cs="仿宋"/>
        </w:rPr>
        <w:t>十二、确定成交供应商、发布成交结果公告和发出成交通知书</w:t>
      </w:r>
      <w:bookmarkEnd w:id="542"/>
      <w:bookmarkEnd w:id="543"/>
      <w:bookmarkEnd w:id="544"/>
      <w:bookmarkEnd w:id="545"/>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（一）磋商结束后，</w:t>
      </w:r>
      <w:bookmarkStart w:id="546" w:name="【Bobole_代理机构名称_148】"/>
      <w:r>
        <w:rPr>
          <w:rFonts w:hint="eastAsia" w:ascii="仿宋" w:hAnsi="仿宋" w:eastAsia="仿宋" w:cs="仿宋"/>
          <w:sz w:val="28"/>
          <w:szCs w:val="28"/>
        </w:rPr>
        <w:t>融汇项目管理有限公司</w:t>
      </w:r>
      <w:bookmarkEnd w:id="546"/>
      <w:r>
        <w:rPr>
          <w:rFonts w:hint="eastAsia" w:ascii="仿宋" w:hAnsi="仿宋" w:eastAsia="仿宋" w:cs="仿宋"/>
          <w:sz w:val="28"/>
          <w:szCs w:val="28"/>
        </w:rPr>
        <w:t>应当在2个工作日内将磋商报告及有关资料送交采购人。</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（二）采购人收到磋商报告后，应当在5个工作日以内确定成交供应商，并向</w:t>
      </w:r>
      <w:bookmarkStart w:id="547" w:name="【Bobole_代理机构名称_149】"/>
      <w:r>
        <w:rPr>
          <w:rFonts w:hint="eastAsia" w:ascii="仿宋" w:hAnsi="仿宋" w:eastAsia="仿宋" w:cs="仿宋"/>
          <w:sz w:val="28"/>
          <w:szCs w:val="28"/>
        </w:rPr>
        <w:t>融汇项目管理有限公司</w:t>
      </w:r>
      <w:bookmarkEnd w:id="547"/>
      <w:r>
        <w:rPr>
          <w:rFonts w:hint="eastAsia" w:ascii="仿宋" w:hAnsi="仿宋" w:eastAsia="仿宋" w:cs="仿宋"/>
          <w:sz w:val="28"/>
          <w:szCs w:val="28"/>
        </w:rPr>
        <w:t>出具成交供应商确认书。采购人应当按磋商报告中成交候选供应商的排名顺序确定成交供应商。</w:t>
      </w:r>
    </w:p>
    <w:p>
      <w:pPr>
        <w:pageBreakBefore w:val="0"/>
        <w:kinsoku/>
        <w:overflowPunct/>
        <w:topLinePunct w:val="0"/>
        <w:bidi w:val="0"/>
        <w:snapToGrid w:val="0"/>
        <w:spacing w:line="360" w:lineRule="auto"/>
        <w:ind w:left="0" w:leftChars="0" w:right="0" w:rightChars="0"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（三）</w:t>
      </w:r>
      <w:bookmarkStart w:id="548" w:name="【Bobole_代理机构名称_150】"/>
      <w:r>
        <w:rPr>
          <w:rFonts w:hint="eastAsia" w:ascii="仿宋" w:hAnsi="仿宋" w:eastAsia="仿宋" w:cs="仿宋"/>
          <w:sz w:val="28"/>
          <w:szCs w:val="28"/>
        </w:rPr>
        <w:t>融汇项目管理有限公司</w:t>
      </w:r>
      <w:bookmarkEnd w:id="548"/>
      <w:r>
        <w:rPr>
          <w:rFonts w:hint="eastAsia" w:ascii="仿宋" w:hAnsi="仿宋" w:eastAsia="仿宋" w:cs="仿宋"/>
          <w:sz w:val="28"/>
          <w:szCs w:val="28"/>
        </w:rPr>
        <w:t>将自收到成交供应商确认书的1个工作日内，在指定媒体发布成交结果公告并同时发出成交通知书。</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p>
    <w:p>
      <w:pPr>
        <w:pageBreakBefore w:val="0"/>
        <w:widowControl/>
        <w:kinsoku/>
        <w:overflowPunct/>
        <w:topLinePunct w:val="0"/>
        <w:bidi w:val="0"/>
        <w:spacing w:line="360" w:lineRule="auto"/>
        <w:ind w:left="0" w:leftChars="0" w:right="0" w:rightChars="0"/>
        <w:jc w:val="left"/>
        <w:textAlignment w:val="auto"/>
        <w:rPr>
          <w:rFonts w:hint="eastAsia" w:ascii="仿宋" w:hAnsi="仿宋" w:eastAsia="仿宋" w:cs="仿宋"/>
          <w:b/>
          <w:color w:val="000000"/>
          <w:sz w:val="44"/>
        </w:rPr>
      </w:pPr>
      <w:r>
        <w:rPr>
          <w:rFonts w:hint="eastAsia" w:ascii="仿宋" w:hAnsi="仿宋" w:eastAsia="仿宋" w:cs="仿宋"/>
          <w:b/>
          <w:color w:val="000000"/>
          <w:sz w:val="44"/>
        </w:rPr>
        <w:br w:type="page"/>
      </w:r>
    </w:p>
    <w:p>
      <w:pPr>
        <w:pStyle w:val="2"/>
        <w:pageBreakBefore w:val="0"/>
        <w:kinsoku/>
        <w:overflowPunct/>
        <w:topLinePunct w:val="0"/>
        <w:bidi w:val="0"/>
        <w:spacing w:before="0" w:after="0" w:line="360" w:lineRule="auto"/>
        <w:ind w:left="0" w:leftChars="0" w:right="0" w:rightChars="0"/>
        <w:jc w:val="center"/>
        <w:textAlignment w:val="auto"/>
        <w:rPr>
          <w:rFonts w:hint="eastAsia" w:ascii="仿宋" w:hAnsi="仿宋" w:eastAsia="仿宋" w:cs="仿宋"/>
          <w:bCs/>
          <w:color w:val="000000"/>
          <w:sz w:val="36"/>
          <w:szCs w:val="36"/>
        </w:rPr>
      </w:pPr>
      <w:bookmarkStart w:id="549" w:name="_Toc256000079"/>
      <w:bookmarkStart w:id="550" w:name="_Toc24829"/>
      <w:bookmarkStart w:id="551" w:name="_Toc63765828"/>
      <w:bookmarkStart w:id="552" w:name="_Toc22973"/>
      <w:bookmarkStart w:id="555" w:name="_GoBack"/>
      <w:bookmarkEnd w:id="555"/>
      <w:r>
        <w:rPr>
          <w:rFonts w:hint="eastAsia" w:ascii="仿宋" w:hAnsi="仿宋" w:eastAsia="仿宋" w:cs="仿宋"/>
          <w:bCs/>
          <w:color w:val="000000"/>
          <w:sz w:val="36"/>
          <w:szCs w:val="36"/>
        </w:rPr>
        <w:t>第七章 合同草案条款</w:t>
      </w:r>
      <w:bookmarkEnd w:id="549"/>
      <w:bookmarkEnd w:id="550"/>
      <w:bookmarkEnd w:id="551"/>
      <w:bookmarkEnd w:id="552"/>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rPr>
      </w:pP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合同编号：______</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签订地点：______</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签订时间：______年______月______日</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采购人（甲方）：______</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供应商（乙方）：______</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中华人民共和国政府采购法》、《中华人民共和国民法典》及____采购项目（项目编号：）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第一条：合同标的</w:t>
      </w:r>
    </w:p>
    <w:tbl>
      <w:tblPr>
        <w:tblStyle w:val="1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08"/>
        <w:gridCol w:w="3768"/>
        <w:gridCol w:w="1961"/>
        <w:gridCol w:w="30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562"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912"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sz w:val="24"/>
              </w:rPr>
            </w:pPr>
            <w:r>
              <w:rPr>
                <w:rFonts w:hint="eastAsia" w:ascii="仿宋" w:hAnsi="仿宋" w:eastAsia="仿宋" w:cs="仿宋"/>
                <w:b/>
                <w:sz w:val="24"/>
              </w:rPr>
              <w:t>采购内容</w:t>
            </w:r>
          </w:p>
        </w:tc>
        <w:tc>
          <w:tcPr>
            <w:tcW w:w="995"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sz w:val="24"/>
                <w:lang w:val="en-US" w:eastAsia="zh-CN"/>
              </w:rPr>
            </w:pPr>
            <w:r>
              <w:rPr>
                <w:rFonts w:hint="eastAsia" w:ascii="仿宋" w:hAnsi="仿宋" w:eastAsia="仿宋" w:cs="仿宋"/>
                <w:b/>
                <w:sz w:val="24"/>
              </w:rPr>
              <w:t>数量</w:t>
            </w:r>
            <w:r>
              <w:rPr>
                <w:rFonts w:hint="eastAsia" w:ascii="仿宋" w:hAnsi="仿宋" w:eastAsia="仿宋" w:cs="仿宋"/>
                <w:b/>
                <w:sz w:val="24"/>
                <w:lang w:val="en-US" w:eastAsia="zh-CN"/>
              </w:rPr>
              <w:t>及单位</w:t>
            </w:r>
          </w:p>
        </w:tc>
        <w:tc>
          <w:tcPr>
            <w:tcW w:w="1531"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sz w:val="24"/>
              </w:rPr>
            </w:pPr>
            <w:r>
              <w:rPr>
                <w:rFonts w:hint="eastAsia" w:ascii="仿宋" w:hAnsi="仿宋" w:eastAsia="仿宋" w:cs="仿宋"/>
                <w:b/>
                <w:sz w:val="24"/>
              </w:rPr>
              <w:t xml:space="preserve"> 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562"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1</w:t>
            </w:r>
          </w:p>
        </w:tc>
        <w:tc>
          <w:tcPr>
            <w:tcW w:w="1912"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 xml:space="preserve"> </w:t>
            </w:r>
          </w:p>
        </w:tc>
        <w:tc>
          <w:tcPr>
            <w:tcW w:w="995"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rPr>
            </w:pPr>
            <w:r>
              <w:rPr>
                <w:rFonts w:hint="eastAsia" w:ascii="仿宋" w:hAnsi="仿宋" w:eastAsia="仿宋" w:cs="仿宋"/>
                <w:sz w:val="24"/>
              </w:rPr>
              <w:t xml:space="preserve"> </w:t>
            </w:r>
          </w:p>
        </w:tc>
        <w:tc>
          <w:tcPr>
            <w:tcW w:w="1531" w:type="pc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 w:val="24"/>
              </w:rPr>
            </w:pPr>
          </w:p>
        </w:tc>
      </w:tr>
    </w:tbl>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u w:val="single"/>
          <w:lang w:val="en-US" w:eastAsia="zh-CN"/>
        </w:rPr>
      </w:pPr>
      <w:r>
        <w:rPr>
          <w:rFonts w:hint="eastAsia" w:ascii="仿宋" w:hAnsi="仿宋" w:eastAsia="仿宋" w:cs="仿宋"/>
          <w:b/>
          <w:sz w:val="28"/>
          <w:szCs w:val="28"/>
        </w:rPr>
        <w:t>第二条：合同总价</w:t>
      </w:r>
      <w:r>
        <w:rPr>
          <w:rFonts w:hint="eastAsia" w:ascii="仿宋" w:hAnsi="仿宋" w:eastAsia="仿宋" w:cs="仿宋"/>
          <w:b/>
          <w:sz w:val="28"/>
          <w:szCs w:val="28"/>
          <w:lang w:eastAsia="zh-CN"/>
        </w:rPr>
        <w:t>：</w:t>
      </w:r>
      <w:r>
        <w:rPr>
          <w:rFonts w:hint="eastAsia" w:ascii="仿宋" w:hAnsi="仿宋" w:eastAsia="仿宋" w:cs="仿宋"/>
          <w:b/>
          <w:sz w:val="28"/>
          <w:szCs w:val="28"/>
          <w:u w:val="single"/>
          <w:lang w:val="en-US" w:eastAsia="zh-CN"/>
        </w:rPr>
        <w:t xml:space="preserve">                </w:t>
      </w:r>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u w:val="single"/>
          <w:lang w:val="en-US" w:eastAsia="zh-CN"/>
        </w:rPr>
      </w:pPr>
      <w:r>
        <w:rPr>
          <w:rFonts w:hint="eastAsia" w:ascii="仿宋" w:hAnsi="仿宋" w:eastAsia="仿宋" w:cs="仿宋"/>
          <w:b/>
          <w:sz w:val="28"/>
          <w:szCs w:val="28"/>
        </w:rPr>
        <w:t>第三条：服务内容与质量标准</w:t>
      </w:r>
      <w:r>
        <w:rPr>
          <w:rFonts w:hint="eastAsia" w:ascii="仿宋" w:hAnsi="仿宋" w:eastAsia="仿宋" w:cs="仿宋"/>
          <w:b/>
          <w:sz w:val="28"/>
          <w:szCs w:val="28"/>
          <w:lang w:eastAsia="zh-CN"/>
        </w:rPr>
        <w:t>：</w:t>
      </w:r>
      <w:r>
        <w:rPr>
          <w:rFonts w:hint="eastAsia" w:ascii="仿宋" w:hAnsi="仿宋" w:eastAsia="仿宋" w:cs="仿宋"/>
          <w:b/>
          <w:sz w:val="28"/>
          <w:szCs w:val="28"/>
          <w:u w:val="single"/>
          <w:lang w:val="en-US" w:eastAsia="zh-CN"/>
        </w:rPr>
        <w:t xml:space="preserve">                        </w:t>
      </w:r>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4"/>
        </w:rPr>
      </w:pPr>
      <w:r>
        <w:rPr>
          <w:rFonts w:hint="eastAsia" w:ascii="仿宋" w:hAnsi="仿宋" w:eastAsia="仿宋" w:cs="仿宋"/>
          <w:b/>
          <w:sz w:val="28"/>
          <w:szCs w:val="28"/>
        </w:rPr>
        <w:t>第四条：服务费用支付方式</w:t>
      </w:r>
      <w:r>
        <w:rPr>
          <w:rFonts w:hint="eastAsia" w:ascii="仿宋" w:hAnsi="仿宋" w:eastAsia="仿宋" w:cs="仿宋"/>
          <w:b/>
          <w:sz w:val="28"/>
          <w:szCs w:val="28"/>
          <w:lang w:eastAsia="zh-CN"/>
        </w:rPr>
        <w:t>：</w:t>
      </w:r>
      <w:r>
        <w:rPr>
          <w:rFonts w:hint="eastAsia" w:ascii="仿宋" w:hAnsi="仿宋" w:eastAsia="仿宋" w:cs="仿宋"/>
          <w:b w:val="0"/>
          <w:bCs/>
          <w:sz w:val="28"/>
          <w:szCs w:val="28"/>
          <w:u w:val="single"/>
          <w:lang w:val="en-US" w:eastAsia="zh-CN"/>
        </w:rPr>
        <w:t>实施方案送审稿初稿完成后，提交审查前，支付合同金额的30%做为首付款；实施方案审查通过并取得批复后的10个工作日，支付合同金额的30%进度款；施工图完成并出版正式施工图纸后的10个工作日内，支付合同金额的30%进度款；剩余合同金额10%待项目验收合格后一次性无息支付。</w:t>
      </w:r>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第五条：知识产权</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乙方应保证所提供的服务或其任何一部分均不会侵犯任何第三方的专利权、商标权或著作权。</w:t>
      </w:r>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第六条：无产权瑕疵条款</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乙方保证所提供的服务的所有权完全属于乙方且无任何抵押、查封等产权瑕疵。如有产权瑕疵的，视为乙方违约。乙方应负担由此而产生的一切损失。</w:t>
      </w:r>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4"/>
        </w:rPr>
      </w:pPr>
      <w:r>
        <w:rPr>
          <w:rFonts w:hint="eastAsia" w:ascii="仿宋" w:hAnsi="仿宋" w:eastAsia="仿宋" w:cs="仿宋"/>
          <w:b/>
          <w:sz w:val="28"/>
          <w:szCs w:val="28"/>
        </w:rPr>
        <w:t>第七条：甲方的权利和义务</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1.甲方有权对合同规定范围内乙方的服务行为进行监督和检查，拥有监管权。有权定期核对乙方提供服务所配备的人员数量。对甲方认为不合理的部分有权下达整改通知书，并要求乙方限期整改。</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2.甲方有权依据双方签订的考评办法对乙方提供的服务进行定期考评。当考评结果未达到标准时，有权依据考评办法约定的数额扣除履约担保。</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3.负责检查监督乙方管理工作的实施及制度的执行情况。</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4.根据本合同规定，按时向乙方支付应付服务费用。</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5.国家法律、法规所规定由甲方承担的其它责任。</w:t>
      </w:r>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第八条：乙方的权利和义务</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1.对本合同规定的委托服务范围内的项目享有管理权及服务义务。</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2.根据本合同的规定向甲方收取相关服务费用，并有权在本项目管理范围内管理及合理使用。</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3.及时向甲方通告本项目服务范围内有关服务的重大事项，及时配合处理投诉。</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4.接受项目行业管理部门及政府有关部门的指导，接受甲方的监督。</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5.国家法律、法规所规定由乙方承担的其它责任。</w:t>
      </w:r>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第九条：违约责任</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1.甲乙双方必须遵守本合同并执行合同中的各项规定，保证本合同的正常履行。</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第十条：不可抗力事件处理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1.在合同有效期内，任何一方因不可抗力事件导致不能履行合同，则合同履行期可延长，其延长期与不可抗力影响期相同。</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2.不可抗力事件发生后，应立即通知对方，并寄送有关权威机构出具的证明。</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3.不可抗力事件延续XX天以上，双方应通过友好协商，确定是否继续履行合同。</w:t>
      </w:r>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第十一条：解决合同纠纷的方式</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1.在执行本合同中发生的或与本合同有关的争端，双方应通过友好协商解决，经协商不能达成协议时，应提交巴中市仲裁委员会仲裁或向当地人民法院提起诉讼解决。</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2.仲裁裁决应为最终决定，并对双方具有约束力。</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3.除另有裁决外，仲裁费应由败诉方负担。</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4.在仲裁期间，除正在进行仲裁部分外，合同其他部分继续执行。</w:t>
      </w:r>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第十二条：合同生效及其他</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1.合同经双方法定代表人或授权委托代理人签字并加盖单位公章后生效。</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2.合同执行中涉及采购资金和采购内容修改或补充的，须经政府采购监管部门审批，并签书面补充协议报政府采购监督管理部门备案，方可作为主合同不可分割的一部分。</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3.本合同一式__份，自双方签章之日起起效。甲方__份，乙方__份，政府采购代理机构__份，同级财政部门备案__份，具有同等法律效力。</w:t>
      </w:r>
    </w:p>
    <w:p>
      <w:pPr>
        <w:pageBreakBefore w:val="0"/>
        <w:kinsoku/>
        <w:overflowPunct/>
        <w:topLinePunct w:val="0"/>
        <w:bidi w:val="0"/>
        <w:spacing w:line="360" w:lineRule="auto"/>
        <w:ind w:left="0" w:leftChars="0" w:right="0" w:righ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第十三条：附件</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1.项目磋商文件</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2.项目修改澄清文件</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3.项目响应文件</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4.成交通知书</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5.其他</w:t>
      </w: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 xml:space="preserve">甲方：   （盖单位公章）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乙方：   （盖单位公章）</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法定代表人（授权代表）：           法定代表人（授权代表）：</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地    址：                         地    址：</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开户银行：                         开户银行：</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账号：                             账号：</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电    话：                         电    话：</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传    真：                         传    真：</w:t>
      </w:r>
    </w:p>
    <w:p>
      <w:pPr>
        <w:pageBreakBefore w:val="0"/>
        <w:kinsoku/>
        <w:overflowPunct/>
        <w:topLinePunct w:val="0"/>
        <w:bidi w:val="0"/>
        <w:spacing w:line="360" w:lineRule="auto"/>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 xml:space="preserve">签约日期：____年__月__日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签约日期：____年__月__日</w:t>
      </w:r>
      <w:bookmarkStart w:id="553" w:name="_Toc350864527"/>
      <w:bookmarkEnd w:id="553"/>
      <w:bookmarkStart w:id="554" w:name="_Toc349810624"/>
      <w:bookmarkEnd w:id="554"/>
    </w:p>
    <w:p>
      <w:pPr>
        <w:pageBreakBefore w:val="0"/>
        <w:kinsoku/>
        <w:overflowPunct/>
        <w:topLinePunct w:val="0"/>
        <w:bidi w:val="0"/>
        <w:spacing w:line="360" w:lineRule="auto"/>
        <w:ind w:left="0" w:leftChars="0" w:right="0" w:rightChars="0" w:firstLine="560" w:firstLineChars="200"/>
        <w:textAlignment w:val="auto"/>
        <w:rPr>
          <w:rFonts w:hint="eastAsia" w:ascii="仿宋" w:hAnsi="仿宋" w:eastAsia="仿宋" w:cs="仿宋"/>
          <w:sz w:val="28"/>
          <w:szCs w:val="28"/>
        </w:rPr>
      </w:pPr>
    </w:p>
    <w:sectPr>
      <w:footerReference r:id="rId5"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_GB2312">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w:instrText>
    </w:r>
    <w:r>
      <w:fldChar w:fldCharType="separate"/>
    </w:r>
    <w:r>
      <w:t>27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_GB2312" w:eastAsia="宋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CF480"/>
    <w:multiLevelType w:val="singleLevel"/>
    <w:tmpl w:val="817CF480"/>
    <w:lvl w:ilvl="0" w:tentative="0">
      <w:start w:val="1"/>
      <w:numFmt w:val="decimal"/>
      <w:suff w:val="nothing"/>
      <w:lvlText w:val="%1、"/>
      <w:lvlJc w:val="left"/>
      <w:pPr>
        <w:ind w:left="0" w:firstLine="420"/>
      </w:pPr>
      <w:rPr>
        <w:rFonts w:hint="default"/>
      </w:rPr>
    </w:lvl>
  </w:abstractNum>
  <w:abstractNum w:abstractNumId="1">
    <w:nsid w:val="924905F8"/>
    <w:multiLevelType w:val="singleLevel"/>
    <w:tmpl w:val="924905F8"/>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5"/>
      <w:numFmt w:val="chineseCounting"/>
      <w:suff w:val="nothing"/>
      <w:lvlText w:val="（%1）"/>
      <w:lvlJc w:val="left"/>
      <w:rPr>
        <w:rFonts w:hint="eastAsia"/>
      </w:rPr>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abstractNum w:abstractNumId="4">
    <w:nsid w:val="00000004"/>
    <w:multiLevelType w:val="singleLevel"/>
    <w:tmpl w:val="00000004"/>
    <w:lvl w:ilvl="0" w:tentative="0">
      <w:start w:val="2"/>
      <w:numFmt w:val="chineseCounting"/>
      <w:suff w:val="nothing"/>
      <w:lvlText w:val="（%1）"/>
      <w:lvlJc w:val="left"/>
      <w:rPr>
        <w:rFonts w:hint="eastAsia"/>
      </w:rPr>
    </w:lvl>
  </w:abstractNum>
  <w:abstractNum w:abstractNumId="5">
    <w:nsid w:val="50E40F7B"/>
    <w:multiLevelType w:val="multilevel"/>
    <w:tmpl w:val="50E40F7B"/>
    <w:lvl w:ilvl="0" w:tentative="0">
      <w:start w:val="1"/>
      <w:numFmt w:val="japaneseCounting"/>
      <w:lvlText w:val="第%1节"/>
      <w:lvlJc w:val="left"/>
      <w:pPr>
        <w:ind w:left="1128" w:hanging="112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BB4298"/>
    <w:multiLevelType w:val="singleLevel"/>
    <w:tmpl w:val="51BB4298"/>
    <w:lvl w:ilvl="0" w:tentative="0">
      <w:start w:val="1"/>
      <w:numFmt w:val="decimal"/>
      <w:lvlText w:val="%1."/>
      <w:lvlJc w:val="left"/>
      <w:pPr>
        <w:tabs>
          <w:tab w:val="left" w:pos="312"/>
        </w:tabs>
      </w:pPr>
    </w:lvl>
  </w:abstractNum>
  <w:num w:numId="1">
    <w:abstractNumId w:val="6"/>
  </w:num>
  <w:num w:numId="2">
    <w:abstractNumId w:val="3"/>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lN2RkMjkyYjg0YTA5OGMzYjRmY2M3OWQxODAyYTkifQ=="/>
  </w:docVars>
  <w:rsids>
    <w:rsidRoot w:val="00A85B49"/>
    <w:rsid w:val="0001247B"/>
    <w:rsid w:val="00051D3D"/>
    <w:rsid w:val="0008734A"/>
    <w:rsid w:val="000D0E36"/>
    <w:rsid w:val="00105F11"/>
    <w:rsid w:val="001A0541"/>
    <w:rsid w:val="002A3542"/>
    <w:rsid w:val="002A6411"/>
    <w:rsid w:val="002B1554"/>
    <w:rsid w:val="002C3A9E"/>
    <w:rsid w:val="00354A5C"/>
    <w:rsid w:val="00357092"/>
    <w:rsid w:val="003A666B"/>
    <w:rsid w:val="00422B5F"/>
    <w:rsid w:val="00480AE6"/>
    <w:rsid w:val="0049190F"/>
    <w:rsid w:val="005579CF"/>
    <w:rsid w:val="00563A7C"/>
    <w:rsid w:val="00571979"/>
    <w:rsid w:val="005D5B39"/>
    <w:rsid w:val="0062044A"/>
    <w:rsid w:val="006210CE"/>
    <w:rsid w:val="00692F7A"/>
    <w:rsid w:val="00715F59"/>
    <w:rsid w:val="00791B64"/>
    <w:rsid w:val="007E4CF5"/>
    <w:rsid w:val="00823C9B"/>
    <w:rsid w:val="0083345F"/>
    <w:rsid w:val="008456E6"/>
    <w:rsid w:val="008B070B"/>
    <w:rsid w:val="008C0F57"/>
    <w:rsid w:val="008D09A2"/>
    <w:rsid w:val="008E0AA3"/>
    <w:rsid w:val="008F2079"/>
    <w:rsid w:val="00956FB2"/>
    <w:rsid w:val="009801DC"/>
    <w:rsid w:val="0098383B"/>
    <w:rsid w:val="009C7CB0"/>
    <w:rsid w:val="00A1770C"/>
    <w:rsid w:val="00A34746"/>
    <w:rsid w:val="00A775FD"/>
    <w:rsid w:val="00A85B49"/>
    <w:rsid w:val="00B113E3"/>
    <w:rsid w:val="00B326F6"/>
    <w:rsid w:val="00B340CB"/>
    <w:rsid w:val="00BB13A2"/>
    <w:rsid w:val="00BE0148"/>
    <w:rsid w:val="00CB140A"/>
    <w:rsid w:val="00CE7DDF"/>
    <w:rsid w:val="00D04082"/>
    <w:rsid w:val="00DA5A80"/>
    <w:rsid w:val="00DD6771"/>
    <w:rsid w:val="00DE19CD"/>
    <w:rsid w:val="00E3027A"/>
    <w:rsid w:val="00E42844"/>
    <w:rsid w:val="00E54D70"/>
    <w:rsid w:val="00E613AC"/>
    <w:rsid w:val="00E62523"/>
    <w:rsid w:val="00E659F5"/>
    <w:rsid w:val="00E72A4D"/>
    <w:rsid w:val="00E741CC"/>
    <w:rsid w:val="00E94CC3"/>
    <w:rsid w:val="00F05247"/>
    <w:rsid w:val="00F11291"/>
    <w:rsid w:val="00F14261"/>
    <w:rsid w:val="00F777B5"/>
    <w:rsid w:val="00F82A4A"/>
    <w:rsid w:val="00FB76CE"/>
    <w:rsid w:val="0364405E"/>
    <w:rsid w:val="054229B7"/>
    <w:rsid w:val="07382980"/>
    <w:rsid w:val="082C37CD"/>
    <w:rsid w:val="09840E52"/>
    <w:rsid w:val="0B3C6039"/>
    <w:rsid w:val="0C364685"/>
    <w:rsid w:val="0CC200A9"/>
    <w:rsid w:val="0CFC16EE"/>
    <w:rsid w:val="0F7D220B"/>
    <w:rsid w:val="14497FA7"/>
    <w:rsid w:val="145D075C"/>
    <w:rsid w:val="158201E3"/>
    <w:rsid w:val="15D32127"/>
    <w:rsid w:val="15ED20AB"/>
    <w:rsid w:val="1B7E117D"/>
    <w:rsid w:val="1C9E0430"/>
    <w:rsid w:val="1D1E0E9C"/>
    <w:rsid w:val="1D974C31"/>
    <w:rsid w:val="1E4A0464"/>
    <w:rsid w:val="22F27054"/>
    <w:rsid w:val="248369D4"/>
    <w:rsid w:val="26B75F6B"/>
    <w:rsid w:val="27E203CA"/>
    <w:rsid w:val="2BE26899"/>
    <w:rsid w:val="2EA8720D"/>
    <w:rsid w:val="31CA1248"/>
    <w:rsid w:val="3267118D"/>
    <w:rsid w:val="33A860C9"/>
    <w:rsid w:val="34103597"/>
    <w:rsid w:val="34724034"/>
    <w:rsid w:val="34D9255E"/>
    <w:rsid w:val="36CB1AB3"/>
    <w:rsid w:val="37925438"/>
    <w:rsid w:val="38DC1BB9"/>
    <w:rsid w:val="3BF21338"/>
    <w:rsid w:val="3EB33EC5"/>
    <w:rsid w:val="401C7420"/>
    <w:rsid w:val="412819E3"/>
    <w:rsid w:val="42940463"/>
    <w:rsid w:val="466A4950"/>
    <w:rsid w:val="46B856BC"/>
    <w:rsid w:val="4832249F"/>
    <w:rsid w:val="48DD5CF9"/>
    <w:rsid w:val="490D7584"/>
    <w:rsid w:val="4AD71887"/>
    <w:rsid w:val="4DCA5080"/>
    <w:rsid w:val="4EE91D02"/>
    <w:rsid w:val="5099364D"/>
    <w:rsid w:val="51121E6C"/>
    <w:rsid w:val="5175073C"/>
    <w:rsid w:val="5176368D"/>
    <w:rsid w:val="51923014"/>
    <w:rsid w:val="542D79BD"/>
    <w:rsid w:val="5625355A"/>
    <w:rsid w:val="59267A56"/>
    <w:rsid w:val="59AF0BA0"/>
    <w:rsid w:val="5AD85FDF"/>
    <w:rsid w:val="5B2E684B"/>
    <w:rsid w:val="5C855D5F"/>
    <w:rsid w:val="5CBB2D25"/>
    <w:rsid w:val="5F2B27FF"/>
    <w:rsid w:val="5FF93596"/>
    <w:rsid w:val="61475B62"/>
    <w:rsid w:val="61FD6A7B"/>
    <w:rsid w:val="63096C30"/>
    <w:rsid w:val="63EB62C6"/>
    <w:rsid w:val="664C0ADB"/>
    <w:rsid w:val="6B154282"/>
    <w:rsid w:val="6B6A676A"/>
    <w:rsid w:val="6E38734F"/>
    <w:rsid w:val="6EDD3B52"/>
    <w:rsid w:val="6EEA28A8"/>
    <w:rsid w:val="6F956620"/>
    <w:rsid w:val="7256649A"/>
    <w:rsid w:val="72D02A0A"/>
    <w:rsid w:val="738D4AC4"/>
    <w:rsid w:val="743D3BAE"/>
    <w:rsid w:val="7676051E"/>
    <w:rsid w:val="792F271C"/>
    <w:rsid w:val="7C85043C"/>
    <w:rsid w:val="7CD66ECC"/>
    <w:rsid w:val="7DA97E5E"/>
    <w:rsid w:val="7FC52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6" w:lineRule="auto"/>
      <w:outlineLvl w:val="0"/>
    </w:pPr>
    <w:rPr>
      <w:rFonts w:ascii="Times New Roman" w:hAnsi="Times New Roman" w:eastAsia="宋体" w:cs="Times New Roman"/>
      <w:b/>
      <w:kern w:val="44"/>
      <w:sz w:val="32"/>
      <w:szCs w:val="20"/>
    </w:rPr>
  </w:style>
  <w:style w:type="paragraph" w:styleId="3">
    <w:name w:val="heading 2"/>
    <w:basedOn w:val="1"/>
    <w:next w:val="4"/>
    <w:link w:val="21"/>
    <w:qFormat/>
    <w:uiPriority w:val="0"/>
    <w:pPr>
      <w:keepNext/>
      <w:keepLines/>
      <w:spacing w:before="260" w:after="260" w:line="500" w:lineRule="exact"/>
      <w:outlineLvl w:val="1"/>
    </w:pPr>
    <w:rPr>
      <w:rFonts w:ascii="Arial" w:hAnsi="Arial" w:eastAsia="黑体" w:cs="Times New Roman"/>
      <w:b/>
      <w:sz w:val="28"/>
      <w:szCs w:val="20"/>
    </w:rPr>
  </w:style>
  <w:style w:type="paragraph" w:styleId="5">
    <w:name w:val="heading 3"/>
    <w:basedOn w:val="1"/>
    <w:next w:val="1"/>
    <w:link w:val="22"/>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rPr>
      <w:rFonts w:ascii="Times New Roman" w:hAnsi="Times New Roman" w:eastAsia="宋体" w:cs="Times New Roman"/>
      <w:szCs w:val="24"/>
    </w:rPr>
  </w:style>
  <w:style w:type="paragraph" w:styleId="6">
    <w:name w:val="annotation text"/>
    <w:basedOn w:val="1"/>
    <w:semiHidden/>
    <w:unhideWhenUsed/>
    <w:qFormat/>
    <w:uiPriority w:val="99"/>
    <w:pPr>
      <w:jc w:val="left"/>
    </w:pPr>
  </w:style>
  <w:style w:type="paragraph" w:styleId="7">
    <w:name w:val="Body Text"/>
    <w:basedOn w:val="1"/>
    <w:next w:val="1"/>
    <w:qFormat/>
    <w:uiPriority w:val="0"/>
    <w:pPr>
      <w:spacing w:after="120"/>
    </w:pPr>
    <w:rPr>
      <w:rFonts w:ascii="Calibri" w:hAnsi="Calibri" w:eastAsia="宋体" w:cs="Times New Roman"/>
    </w:rPr>
  </w:style>
  <w:style w:type="paragraph" w:styleId="8">
    <w:name w:val="toc 3"/>
    <w:basedOn w:val="1"/>
    <w:next w:val="1"/>
    <w:unhideWhenUsed/>
    <w:qFormat/>
    <w:uiPriority w:val="39"/>
    <w:pPr>
      <w:ind w:left="840" w:leftChars="400"/>
    </w:p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14">
    <w:name w:val="Title"/>
    <w:basedOn w:val="1"/>
    <w:next w:val="1"/>
    <w:link w:val="23"/>
    <w:qFormat/>
    <w:uiPriority w:val="10"/>
    <w:pPr>
      <w:spacing w:before="240" w:after="60"/>
      <w:jc w:val="center"/>
      <w:outlineLvl w:val="0"/>
    </w:pPr>
    <w:rPr>
      <w:rFonts w:eastAsia="宋体" w:asciiTheme="majorHAnsi" w:hAnsiTheme="majorHAnsi" w:cstheme="majorBidi"/>
      <w:b/>
      <w:bCs/>
      <w:sz w:val="32"/>
      <w:szCs w:val="32"/>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0"/>
    <w:rPr>
      <w:color w:val="0000FF"/>
      <w:u w:val="single"/>
    </w:rPr>
  </w:style>
  <w:style w:type="character" w:customStyle="1" w:styleId="19">
    <w:name w:val="标题 1 Char"/>
    <w:basedOn w:val="17"/>
    <w:link w:val="2"/>
    <w:qFormat/>
    <w:uiPriority w:val="0"/>
    <w:rPr>
      <w:rFonts w:ascii="Times New Roman" w:hAnsi="Times New Roman" w:eastAsia="宋体" w:cs="Times New Roman"/>
      <w:b/>
      <w:kern w:val="44"/>
      <w:sz w:val="32"/>
      <w:szCs w:val="20"/>
    </w:rPr>
  </w:style>
  <w:style w:type="paragraph" w:customStyle="1" w:styleId="20">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character" w:customStyle="1" w:styleId="21">
    <w:name w:val="标题 2 Char"/>
    <w:basedOn w:val="17"/>
    <w:link w:val="3"/>
    <w:qFormat/>
    <w:uiPriority w:val="0"/>
    <w:rPr>
      <w:rFonts w:ascii="Arial" w:hAnsi="Arial" w:eastAsia="黑体" w:cs="Times New Roman"/>
      <w:b/>
      <w:sz w:val="28"/>
      <w:szCs w:val="20"/>
    </w:rPr>
  </w:style>
  <w:style w:type="character" w:customStyle="1" w:styleId="22">
    <w:name w:val="标题 3 Char"/>
    <w:basedOn w:val="17"/>
    <w:link w:val="5"/>
    <w:qFormat/>
    <w:uiPriority w:val="9"/>
    <w:rPr>
      <w:rFonts w:ascii="Times New Roman" w:hAnsi="Times New Roman" w:eastAsia="宋体" w:cs="Times New Roman"/>
      <w:b/>
      <w:bCs/>
      <w:sz w:val="32"/>
      <w:szCs w:val="32"/>
    </w:rPr>
  </w:style>
  <w:style w:type="character" w:customStyle="1" w:styleId="23">
    <w:name w:val="标题 Char"/>
    <w:basedOn w:val="17"/>
    <w:link w:val="14"/>
    <w:qFormat/>
    <w:uiPriority w:val="10"/>
    <w:rPr>
      <w:rFonts w:eastAsia="宋体" w:asciiTheme="majorHAnsi" w:hAnsiTheme="majorHAnsi" w:cstheme="majorBidi"/>
      <w:b/>
      <w:bCs/>
      <w:sz w:val="32"/>
      <w:szCs w:val="32"/>
    </w:rPr>
  </w:style>
  <w:style w:type="paragraph" w:customStyle="1" w:styleId="24">
    <w:name w:val="样式"/>
    <w:qFormat/>
    <w:uiPriority w:val="0"/>
    <w:pPr>
      <w:widowControl w:val="0"/>
      <w:tabs>
        <w:tab w:val="left" w:pos="700"/>
      </w:tabs>
      <w:autoSpaceDE w:val="0"/>
      <w:autoSpaceDN w:val="0"/>
      <w:adjustRightInd w:val="0"/>
    </w:pPr>
    <w:rPr>
      <w:rFonts w:ascii="宋体" w:hAnsi="宋体" w:eastAsia="宋体" w:cs="宋体"/>
      <w:sz w:val="24"/>
      <w:szCs w:val="24"/>
      <w:lang w:val="en-US" w:eastAsia="zh-CN" w:bidi="ar-SA"/>
    </w:rPr>
  </w:style>
  <w:style w:type="paragraph" w:customStyle="1" w:styleId="25">
    <w:name w:val="表格"/>
    <w:basedOn w:val="1"/>
    <w:qFormat/>
    <w:uiPriority w:val="0"/>
    <w:pPr>
      <w:spacing w:line="400" w:lineRule="exact"/>
    </w:pPr>
    <w:rPr>
      <w:rFonts w:ascii="Times New Roman" w:hAnsi="Times New Roman" w:eastAsia="宋体" w:cs="Times New Roman"/>
      <w:sz w:val="24"/>
      <w:szCs w:val="24"/>
    </w:rPr>
  </w:style>
  <w:style w:type="character" w:customStyle="1" w:styleId="26">
    <w:name w:val="列出段落 Char"/>
    <w:link w:val="27"/>
    <w:qFormat/>
    <w:locked/>
    <w:uiPriority w:val="0"/>
    <w:rPr>
      <w:szCs w:val="24"/>
    </w:rPr>
  </w:style>
  <w:style w:type="paragraph" w:customStyle="1" w:styleId="27">
    <w:name w:val="列出段落1"/>
    <w:basedOn w:val="1"/>
    <w:link w:val="26"/>
    <w:qFormat/>
    <w:uiPriority w:val="0"/>
    <w:pPr>
      <w:ind w:firstLine="420" w:firstLineChars="200"/>
    </w:pPr>
    <w:rPr>
      <w:szCs w:val="24"/>
    </w:rPr>
  </w:style>
  <w:style w:type="character" w:customStyle="1" w:styleId="28">
    <w:name w:val="页眉 Char"/>
    <w:basedOn w:val="17"/>
    <w:link w:val="10"/>
    <w:qFormat/>
    <w:uiPriority w:val="99"/>
    <w:rPr>
      <w:sz w:val="18"/>
      <w:szCs w:val="18"/>
    </w:rPr>
  </w:style>
  <w:style w:type="character" w:customStyle="1" w:styleId="29">
    <w:name w:val="页脚 Char"/>
    <w:basedOn w:val="17"/>
    <w:link w:val="9"/>
    <w:qFormat/>
    <w:uiPriority w:val="99"/>
    <w:rPr>
      <w:sz w:val="18"/>
      <w:szCs w:val="18"/>
    </w:rPr>
  </w:style>
  <w:style w:type="paragraph" w:customStyle="1" w:styleId="30">
    <w:name w:val="_正文段落"/>
    <w:basedOn w:val="1"/>
    <w:qFormat/>
    <w:uiPriority w:val="0"/>
    <w:pPr>
      <w:spacing w:beforeLines="15" w:afterLines="15" w:line="360" w:lineRule="auto"/>
      <w:ind w:firstLine="200" w:firstLineChars="200"/>
    </w:pPr>
    <w:rPr>
      <w:rFonts w:ascii="宋体" w:eastAsia="仿宋_GB2312"/>
      <w:kern w:val="0"/>
      <w:sz w:val="28"/>
    </w:rPr>
  </w:style>
  <w:style w:type="table" w:customStyle="1" w:styleId="31">
    <w:name w:val="网格型1"/>
    <w:basedOn w:val="1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25669</Words>
  <Characters>26913</Characters>
  <Lines>23</Lines>
  <Paragraphs>46</Paragraphs>
  <TotalTime>3</TotalTime>
  <ScaleCrop>false</ScaleCrop>
  <LinksUpToDate>false</LinksUpToDate>
  <CharactersWithSpaces>27640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2021-04-30T05:27:00Z</dcterms:created>
  <dc:creator>Windows 用户</dc:creator>
  <cp:lastModifiedBy>A久居深海蓝透人伈</cp:lastModifiedBy>
  <dcterms:modified xsi:type="dcterms:W3CDTF">2023-06-15T02:27:04Z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4FB0D2D28F5149A183F6B39CAA695AB5_13</vt:lpwstr>
  </property>
  <property fmtid="{D5CDD505-2E9C-101B-9397-08002B2CF9AE}" pid="3" name="KSOProductBuildVer">
    <vt:lpwstr>2052-11.1.0.14309</vt:lpwstr>
  </property>
</Properties>
</file>