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numPr>
          <w:ilvl w:val="0"/>
          <w:numId w:val="1"/>
        </w:numPr>
        <w:kinsoku/>
        <w:wordWrap/>
        <w:overflowPunct/>
        <w:topLinePunct w:val="0"/>
        <w:autoSpaceDE/>
        <w:autoSpaceDN/>
        <w:bidi w:val="0"/>
        <w:adjustRightInd/>
        <w:snapToGrid/>
        <w:jc w:val="center"/>
        <w:textAlignment w:val="auto"/>
        <w:rPr>
          <w:rFonts w:hint="eastAsia"/>
          <w:b/>
          <w:bCs/>
          <w:sz w:val="28"/>
          <w:szCs w:val="28"/>
          <w:lang w:val="en-US" w:eastAsia="zh-CN"/>
        </w:rPr>
      </w:pPr>
      <w:r>
        <w:rPr>
          <w:rFonts w:hint="eastAsia"/>
          <w:b/>
          <w:bCs/>
          <w:sz w:val="28"/>
          <w:szCs w:val="28"/>
          <w:lang w:val="en-US" w:eastAsia="zh-CN"/>
        </w:rPr>
        <w:t>技术要求</w:t>
      </w:r>
    </w:p>
    <w:tbl>
      <w:tblPr>
        <w:tblStyle w:val="4"/>
        <w:tblW w:w="96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777"/>
        <w:gridCol w:w="7422"/>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4" w:type="dxa"/>
            <w:noWrap w:val="0"/>
            <w:vAlign w:val="center"/>
          </w:tcPr>
          <w:p>
            <w:pPr>
              <w:jc w:val="center"/>
              <w:rPr>
                <w:rFonts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序号</w:t>
            </w:r>
          </w:p>
        </w:tc>
        <w:tc>
          <w:tcPr>
            <w:tcW w:w="777" w:type="dxa"/>
            <w:noWrap w:val="0"/>
            <w:vAlign w:val="center"/>
          </w:tcPr>
          <w:p>
            <w:pPr>
              <w:jc w:val="center"/>
              <w:rPr>
                <w:rFonts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名称</w:t>
            </w:r>
          </w:p>
        </w:tc>
        <w:tc>
          <w:tcPr>
            <w:tcW w:w="7422" w:type="dxa"/>
            <w:noWrap w:val="0"/>
            <w:vAlign w:val="center"/>
          </w:tcPr>
          <w:p>
            <w:pPr>
              <w:jc w:val="center"/>
              <w:rPr>
                <w:rFonts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参数</w:t>
            </w:r>
          </w:p>
        </w:tc>
        <w:tc>
          <w:tcPr>
            <w:tcW w:w="750" w:type="dxa"/>
            <w:noWrap w:val="0"/>
            <w:vAlign w:val="center"/>
          </w:tcPr>
          <w:p>
            <w:pPr>
              <w:jc w:val="center"/>
              <w:rPr>
                <w:rFonts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jc w:val="center"/>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p>
        </w:tc>
        <w:tc>
          <w:tcPr>
            <w:tcW w:w="777" w:type="dxa"/>
            <w:noWrap w:val="0"/>
            <w:vAlign w:val="center"/>
          </w:tcPr>
          <w:p>
            <w:pPr>
              <w:jc w:val="center"/>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模组式防弹头盔</w:t>
            </w:r>
          </w:p>
        </w:tc>
        <w:tc>
          <w:tcPr>
            <w:tcW w:w="7422" w:type="dxa"/>
            <w:noWrap w:val="0"/>
            <w:vAlign w:val="top"/>
          </w:tcPr>
          <w:p>
            <w:pPr>
              <w:rPr>
                <w:rFonts w:hint="eastAsia" w:ascii="等线" w:hAnsi="等线" w:eastAsia="等线" w:cs="Times New Roman"/>
                <w:kern w:val="2"/>
                <w:sz w:val="21"/>
              </w:rPr>
            </w:pPr>
            <w:r>
              <w:rPr>
                <w:rFonts w:hint="eastAsia" w:ascii="等线" w:hAnsi="等线" w:eastAsia="等线" w:cs="Times New Roman"/>
                <w:kern w:val="2"/>
                <w:sz w:val="21"/>
              </w:rPr>
              <w:t>▲1、防护范围及级别要求：符合《GA293-2012警用防弹头盔及面罩》中2级非金属防弹头盔的有关要求；且能满足1979年式7.62mm轻型冲锋枪发射的1951年式7.62mm手枪弹（铅芯）或QSZ92式9mm手枪发射DAP92式9mm手枪弹（钢芯）在5m距离对头盔进行射击试验，常温状态下5发有效命中情况下头盔悬挂缓冲系统无零件脱落，头盔阻断弹头且最大弹痕高度≤8.5mm悬挂缓冲系统无零件脱落（提供检验报告证明）；</w:t>
            </w:r>
          </w:p>
          <w:p>
            <w:pPr>
              <w:rPr>
                <w:rFonts w:hint="eastAsia" w:ascii="等线" w:hAnsi="等线" w:eastAsia="等线" w:cs="Times New Roman"/>
                <w:kern w:val="2"/>
                <w:sz w:val="21"/>
              </w:rPr>
            </w:pPr>
            <w:r>
              <w:rPr>
                <w:rFonts w:hint="eastAsia" w:ascii="等线" w:hAnsi="等线" w:eastAsia="等线" w:cs="Times New Roman"/>
                <w:kern w:val="2"/>
                <w:sz w:val="21"/>
              </w:rPr>
              <w:t>2、盔型款式：MICH战术型，模组导轨接口可佩戴国际标准皮卡汀尼导轨设备组件，装配便捷、牢固无松动；</w:t>
            </w:r>
          </w:p>
          <w:p>
            <w:pPr>
              <w:rPr>
                <w:rFonts w:hint="eastAsia" w:ascii="等线" w:hAnsi="等线" w:eastAsia="等线" w:cs="Times New Roman"/>
                <w:kern w:val="2"/>
                <w:sz w:val="21"/>
              </w:rPr>
            </w:pPr>
            <w:r>
              <w:rPr>
                <w:rFonts w:hint="eastAsia" w:ascii="等线" w:hAnsi="等线" w:eastAsia="等线" w:cs="Times New Roman"/>
                <w:kern w:val="2"/>
                <w:sz w:val="21"/>
              </w:rPr>
              <w:t>3、扩展功能：头盔前端应适配PVS14/15/31型夜视仪支架底座，可无损挂载夜视仪、热融合等观瞄设备。两侧导轨可挂载国际标准皮卡汀尼接口战术灯、指示器、摄像机等设备，盔面魔术贴可粘贴部别番号及识别标识；</w:t>
            </w:r>
          </w:p>
          <w:p>
            <w:pPr>
              <w:rPr>
                <w:rFonts w:hint="eastAsia" w:ascii="等线" w:hAnsi="等线" w:eastAsia="等线" w:cs="Times New Roman"/>
                <w:kern w:val="2"/>
                <w:sz w:val="21"/>
              </w:rPr>
            </w:pPr>
            <w:r>
              <w:rPr>
                <w:rFonts w:hint="eastAsia" w:ascii="等线" w:hAnsi="等线" w:eastAsia="等线" w:cs="Times New Roman"/>
                <w:kern w:val="2"/>
                <w:sz w:val="21"/>
              </w:rPr>
              <w:t>4、头盔材质：盔壳部分由Kevlar(凯芙拉)或芳纶浸胶机织布层压成型；</w:t>
            </w:r>
          </w:p>
          <w:p>
            <w:pPr>
              <w:rPr>
                <w:rFonts w:hint="eastAsia" w:ascii="等线" w:hAnsi="等线" w:eastAsia="等线" w:cs="Times New Roman"/>
                <w:kern w:val="2"/>
                <w:sz w:val="21"/>
              </w:rPr>
            </w:pPr>
            <w:r>
              <w:rPr>
                <w:rFonts w:hint="eastAsia" w:ascii="等线" w:hAnsi="等线" w:eastAsia="等线" w:cs="Times New Roman"/>
                <w:kern w:val="2"/>
                <w:sz w:val="21"/>
              </w:rPr>
              <w:t>5、头盔结构：由盔壳和悬挂缓冲系统等组成。采用四点式悬挂系统，佩戴牢固稳定且通风透气，在运动奔跑期间不易翻转、脱落。</w:t>
            </w:r>
          </w:p>
          <w:p>
            <w:pPr>
              <w:rPr>
                <w:rFonts w:hint="eastAsia" w:ascii="等线" w:hAnsi="等线" w:eastAsia="等线" w:cs="Times New Roman"/>
                <w:kern w:val="2"/>
                <w:sz w:val="21"/>
              </w:rPr>
            </w:pPr>
            <w:r>
              <w:rPr>
                <w:rFonts w:hint="eastAsia" w:ascii="等线" w:hAnsi="等线" w:eastAsia="等线" w:cs="Times New Roman"/>
                <w:kern w:val="2"/>
                <w:sz w:val="21"/>
              </w:rPr>
              <w:t>6、悬挂系统：四点式下颏带固定，内衬采用可拆卸悬挂记忆棉模块，可通过旋钮快速调节头围松紧并带有自锁功能，佩戴牢固稳定且通风透气。</w:t>
            </w:r>
          </w:p>
          <w:p>
            <w:pPr>
              <w:rPr>
                <w:rFonts w:hint="eastAsia" w:ascii="等线" w:hAnsi="等线" w:eastAsia="等线" w:cs="Times New Roman"/>
                <w:kern w:val="2"/>
                <w:sz w:val="21"/>
              </w:rPr>
            </w:pPr>
            <w:r>
              <w:rPr>
                <w:rFonts w:hint="eastAsia" w:ascii="等线" w:hAnsi="等线" w:eastAsia="等线" w:cs="Times New Roman"/>
                <w:kern w:val="2"/>
                <w:sz w:val="21"/>
              </w:rPr>
              <w:t>▲7、防弹头盔重量：≤1</w:t>
            </w:r>
            <w:r>
              <w:rPr>
                <w:rFonts w:hint="eastAsia" w:ascii="等线" w:hAnsi="等线" w:eastAsia="等线" w:cs="Times New Roman"/>
                <w:kern w:val="2"/>
                <w:sz w:val="21"/>
                <w:lang w:val="en-US" w:eastAsia="zh-CN"/>
              </w:rPr>
              <w:t>800</w:t>
            </w:r>
            <w:r>
              <w:rPr>
                <w:rFonts w:hint="eastAsia" w:ascii="等线" w:hAnsi="等线" w:eastAsia="等线" w:cs="Times New Roman"/>
                <w:kern w:val="2"/>
                <w:sz w:val="21"/>
              </w:rPr>
              <w:t>g（提供检验报告证明）；</w:t>
            </w:r>
          </w:p>
          <w:p>
            <w:pPr>
              <w:rPr>
                <w:rFonts w:hint="eastAsia" w:ascii="等线" w:hAnsi="等线" w:eastAsia="等线" w:cs="Times New Roman"/>
                <w:kern w:val="2"/>
                <w:sz w:val="21"/>
              </w:rPr>
            </w:pPr>
            <w:r>
              <w:rPr>
                <w:rFonts w:hint="eastAsia" w:ascii="等线" w:hAnsi="等线" w:eastAsia="等线" w:cs="Times New Roman"/>
                <w:kern w:val="2"/>
                <w:sz w:val="21"/>
              </w:rPr>
              <w:t>▲8、盔壳阻燃性能：盔壳的外表面续燃时间≤0s，无穿透现象（提供检验报告证明）；</w:t>
            </w:r>
          </w:p>
          <w:p>
            <w:pPr>
              <w:rPr>
                <w:rFonts w:hint="eastAsia" w:ascii="等线" w:hAnsi="等线" w:eastAsia="等线" w:cs="Times New Roman"/>
                <w:kern w:val="2"/>
                <w:sz w:val="21"/>
              </w:rPr>
            </w:pPr>
            <w:r>
              <w:rPr>
                <w:rFonts w:hint="eastAsia" w:ascii="等线" w:hAnsi="等线" w:eastAsia="等线" w:cs="Times New Roman"/>
                <w:kern w:val="2"/>
                <w:sz w:val="21"/>
              </w:rPr>
              <w:t>▲9、侧向刚性方面头盔最大变形量≤6.0mm 残余变形量≤1.1mm，盔壳无碎片脱落（提供检验报告证明）；</w:t>
            </w:r>
          </w:p>
          <w:p>
            <w:pPr>
              <w:rPr>
                <w:rFonts w:hint="eastAsia" w:ascii="等线" w:hAnsi="等线" w:eastAsia="等线" w:cs="Times New Roman"/>
                <w:kern w:val="2"/>
                <w:sz w:val="21"/>
              </w:rPr>
            </w:pPr>
            <w:r>
              <w:rPr>
                <w:rFonts w:hint="eastAsia" w:ascii="等线" w:hAnsi="等线" w:eastAsia="等线" w:cs="Times New Roman"/>
                <w:kern w:val="2"/>
                <w:sz w:val="21"/>
              </w:rPr>
              <w:t>▲10、耐浸水性能：常温下浸水24h后，在有效命中情况下头盔阻断弹头且首发弹着点的盔壳顶部弹痕高度≤7.0mm悬挂缓冲系统无零件脱落（提供检验报告证明）；</w:t>
            </w:r>
          </w:p>
          <w:p>
            <w:pPr>
              <w:rPr>
                <w:rFonts w:hint="eastAsia" w:ascii="等线" w:hAnsi="等线" w:eastAsia="等线" w:cs="Times New Roman"/>
                <w:kern w:val="2"/>
                <w:sz w:val="21"/>
              </w:rPr>
            </w:pPr>
            <w:r>
              <w:rPr>
                <w:rFonts w:hint="eastAsia" w:ascii="等线" w:hAnsi="等线" w:eastAsia="等线" w:cs="Times New Roman"/>
                <w:kern w:val="2"/>
                <w:sz w:val="21"/>
              </w:rPr>
              <w:t>▲11、高温性能：受检样品在高温（+55℃±2℃，恒温3h）状态下使用79式7.62mm轻型冲锋枪发射的51式7.62mm手枪弹（铅心）在距离5</w:t>
            </w:r>
            <w:r>
              <w:rPr>
                <w:rFonts w:hint="eastAsia" w:ascii="等线" w:hAnsi="等线" w:eastAsia="等线" w:cs="Times New Roman"/>
                <w:kern w:val="2"/>
                <w:sz w:val="21"/>
                <w:lang w:val="en-US" w:eastAsia="zh-CN"/>
              </w:rPr>
              <w:t>m</w:t>
            </w:r>
            <w:r>
              <w:rPr>
                <w:rFonts w:hint="eastAsia" w:ascii="等线" w:hAnsi="等线" w:eastAsia="等线" w:cs="Times New Roman"/>
                <w:kern w:val="2"/>
                <w:sz w:val="21"/>
              </w:rPr>
              <w:t>对防弹头盔进行枪击试验，有效击中前部的最大弹痕高度≤9.0mm（提供检验报告证明）；</w:t>
            </w:r>
          </w:p>
          <w:p>
            <w:pPr>
              <w:rPr>
                <w:rFonts w:hint="eastAsia" w:ascii="等线" w:hAnsi="等线" w:eastAsia="等线" w:cs="Times New Roman"/>
                <w:kern w:val="2"/>
                <w:sz w:val="21"/>
              </w:rPr>
            </w:pPr>
            <w:r>
              <w:rPr>
                <w:rFonts w:hint="eastAsia" w:ascii="等线" w:hAnsi="等线" w:eastAsia="等线" w:cs="Times New Roman"/>
                <w:kern w:val="2"/>
                <w:sz w:val="21"/>
              </w:rPr>
              <w:t>▲12、低温测试：受检样品在低温（-25℃±2℃,恒温3h）状态下使用79式7.62mm轻型冲锋枪发射51式7.62mm手枪弹（铅心）对防弹头盔进行枪击试验，有效击中右部的最大弹痕高度≤8.0mm（提供检验报告证明）；</w:t>
            </w:r>
          </w:p>
          <w:p>
            <w:pPr>
              <w:rPr>
                <w:rFonts w:hint="eastAsia" w:ascii="等线" w:hAnsi="等线" w:eastAsia="等线" w:cs="Times New Roman"/>
                <w:kern w:val="2"/>
                <w:sz w:val="21"/>
              </w:rPr>
            </w:pPr>
            <w:r>
              <w:rPr>
                <w:rFonts w:hint="eastAsia" w:ascii="等线" w:hAnsi="等线" w:eastAsia="等线" w:cs="Times New Roman"/>
                <w:kern w:val="2"/>
                <w:sz w:val="21"/>
              </w:rPr>
              <w:t>▲13、依据GJB5115A-2012标准常温下对防弹头盔进行V50值测试V50＞680m/s；</w:t>
            </w:r>
          </w:p>
          <w:p>
            <w:pPr>
              <w:rPr>
                <w:rFonts w:hint="eastAsia" w:ascii="等线" w:hAnsi="等线" w:eastAsia="等线" w:cs="Times New Roman"/>
                <w:kern w:val="2"/>
                <w:sz w:val="21"/>
              </w:rPr>
            </w:pPr>
            <w:r>
              <w:rPr>
                <w:rFonts w:hint="eastAsia" w:ascii="等线" w:hAnsi="等线" w:eastAsia="等线" w:cs="Times New Roman"/>
                <w:kern w:val="2"/>
                <w:sz w:val="21"/>
              </w:rPr>
              <w:t>▲14、依据GJB5115A-2012标准高温（+55℃±2℃，恒温3h）下对防弹头盔进行V50值测试V50≥650 m/s（提供检验报告证明）；</w:t>
            </w:r>
          </w:p>
          <w:p>
            <w:pPr>
              <w:rPr>
                <w:rFonts w:hint="eastAsia" w:ascii="等线" w:hAnsi="等线" w:eastAsia="等线" w:cs="Times New Roman"/>
                <w:kern w:val="2"/>
                <w:sz w:val="21"/>
              </w:rPr>
            </w:pPr>
            <w:r>
              <w:rPr>
                <w:rFonts w:hint="eastAsia" w:ascii="等线" w:hAnsi="等线" w:eastAsia="等线" w:cs="Times New Roman"/>
                <w:kern w:val="2"/>
                <w:sz w:val="21"/>
              </w:rPr>
              <w:t>▲15、依据GJB5115A-2012标准低温（-25℃±2℃,恒温3h）下对防弹头盔进行V50值测试V50≥640 m/s（提供检验报告证明）；</w:t>
            </w:r>
          </w:p>
          <w:p>
            <w:pPr>
              <w:rPr>
                <w:rFonts w:hint="eastAsia" w:ascii="等线" w:hAnsi="等线" w:eastAsia="等线" w:cs="Times New Roman"/>
                <w:kern w:val="2"/>
                <w:sz w:val="21"/>
              </w:rPr>
            </w:pPr>
            <w:r>
              <w:rPr>
                <w:rFonts w:hint="eastAsia" w:ascii="等线" w:hAnsi="等线" w:eastAsia="等线" w:cs="Times New Roman"/>
                <w:kern w:val="2"/>
                <w:sz w:val="21"/>
              </w:rPr>
              <w:t>▲16、依据GJB5115A-2012标准常温下浸水24h后下对防弹头盔进行V50值测试V50≥670 m/s（提供检验报告证明）；</w:t>
            </w:r>
          </w:p>
          <w:p>
            <w:pPr>
              <w:rPr>
                <w:rFonts w:hint="eastAsia" w:ascii="等线" w:hAnsi="等线" w:eastAsia="等线" w:cs="Times New Roman"/>
                <w:kern w:val="2"/>
                <w:sz w:val="21"/>
              </w:rPr>
            </w:pPr>
            <w:r>
              <w:rPr>
                <w:rFonts w:hint="eastAsia" w:ascii="等线" w:hAnsi="等线" w:eastAsia="等线" w:cs="Times New Roman"/>
                <w:kern w:val="2"/>
                <w:sz w:val="21"/>
              </w:rPr>
              <w:t>17、下颏带紧急脱扣的牢固度应大于500N，在外力大于1000N时应解脱或断裂；</w:t>
            </w:r>
          </w:p>
          <w:p>
            <w:pPr>
              <w:rPr>
                <w:rFonts w:hint="eastAsia" w:ascii="等线" w:hAnsi="等线" w:eastAsia="等线" w:cs="Times New Roman"/>
                <w:kern w:val="2"/>
                <w:sz w:val="21"/>
              </w:rPr>
            </w:pPr>
            <w:r>
              <w:rPr>
                <w:rFonts w:hint="eastAsia" w:ascii="等线" w:hAnsi="等线" w:eastAsia="等线" w:cs="Times New Roman"/>
                <w:kern w:val="2"/>
                <w:sz w:val="21"/>
              </w:rPr>
              <w:t>18、盔壳外表面涂层应均匀平滑，无外来杂质、起泡、脱皮、剥落等缺陷；</w:t>
            </w:r>
          </w:p>
          <w:p>
            <w:pPr>
              <w:rPr>
                <w:rFonts w:hint="eastAsia" w:ascii="等线" w:hAnsi="等线" w:eastAsia="等线" w:cs="Times New Roman"/>
                <w:kern w:val="2"/>
                <w:sz w:val="21"/>
              </w:rPr>
            </w:pPr>
            <w:r>
              <w:rPr>
                <w:rFonts w:hint="eastAsia" w:ascii="等线" w:hAnsi="等线" w:eastAsia="等线" w:cs="Times New Roman"/>
                <w:kern w:val="2"/>
                <w:sz w:val="21"/>
              </w:rPr>
              <w:t>19、盔壳包边应符合规定，头盔上应有清晰永久性的产品标志，内容包括：制造厂中文名称或商标；产品名称和代号；产品编号；执行标准号；生产日期，有效期。</w:t>
            </w:r>
          </w:p>
          <w:p>
            <w:pPr>
              <w:rPr>
                <w:rFonts w:hint="eastAsia" w:ascii="等线" w:hAnsi="等线" w:eastAsia="等线" w:cs="Times New Roman"/>
                <w:kern w:val="2"/>
                <w:sz w:val="21"/>
              </w:rPr>
            </w:pPr>
            <w:r>
              <w:rPr>
                <w:rFonts w:hint="eastAsia" w:ascii="等线" w:hAnsi="等线" w:eastAsia="等线" w:cs="Times New Roman"/>
                <w:kern w:val="2"/>
                <w:sz w:val="21"/>
              </w:rPr>
              <w:t>20、执行标准：符合《GA293-2012警用防弹头盔及面罩》；</w:t>
            </w:r>
          </w:p>
          <w:p>
            <w:pPr>
              <w:rPr>
                <w:rFonts w:hint="eastAsia" w:ascii="等线" w:hAnsi="等线" w:eastAsia="等线" w:cs="Times New Roman"/>
                <w:kern w:val="2"/>
                <w:sz w:val="21"/>
              </w:rPr>
            </w:pPr>
            <w:r>
              <w:rPr>
                <w:rFonts w:hint="eastAsia" w:ascii="等线" w:hAnsi="等线" w:eastAsia="等线" w:cs="Times New Roman"/>
                <w:kern w:val="2"/>
                <w:sz w:val="21"/>
              </w:rPr>
              <w:t>21、头盔尺寸：有多个型号可供选择，最大尺寸可满足头围61.5cm；</w:t>
            </w:r>
          </w:p>
          <w:p>
            <w:pPr>
              <w:rPr>
                <w:rFonts w:hint="eastAsia" w:ascii="等线" w:hAnsi="等线" w:eastAsia="等线" w:cs="Times New Roman"/>
                <w:kern w:val="2"/>
                <w:sz w:val="21"/>
              </w:rPr>
            </w:pPr>
            <w:r>
              <w:rPr>
                <w:rFonts w:hint="eastAsia" w:ascii="等线" w:hAnsi="等线" w:eastAsia="等线" w:cs="Times New Roman"/>
                <w:kern w:val="2"/>
                <w:sz w:val="21"/>
              </w:rPr>
              <w:t>▲22、所投产品通过具有CMA 或 CNAS 认证的第三方检验机构检测，提供检测报告复印件；</w:t>
            </w:r>
          </w:p>
          <w:p>
            <w:pPr>
              <w:rPr>
                <w:rFonts w:hint="eastAsia" w:ascii="等线" w:hAnsi="等线" w:eastAsia="等线" w:cs="Times New Roman"/>
                <w:kern w:val="2"/>
                <w:sz w:val="21"/>
                <w:lang w:eastAsia="zh-CN"/>
              </w:rPr>
            </w:pPr>
            <w:r>
              <w:rPr>
                <w:rFonts w:hint="eastAsia" w:ascii="等线" w:hAnsi="等线" w:eastAsia="等线" w:cs="Times New Roman"/>
                <w:kern w:val="2"/>
                <w:sz w:val="21"/>
              </w:rPr>
              <w:t>▲23、所投产品责任保险限额≥300万元，产品质保期8年</w:t>
            </w:r>
            <w:r>
              <w:rPr>
                <w:rFonts w:hint="eastAsia" w:ascii="等线" w:hAnsi="等线" w:eastAsia="等线" w:cs="Times New Roman"/>
                <w:kern w:val="2"/>
                <w:sz w:val="21"/>
                <w:lang w:eastAsia="zh-CN"/>
              </w:rPr>
              <w:t>。</w:t>
            </w:r>
          </w:p>
        </w:tc>
        <w:tc>
          <w:tcPr>
            <w:tcW w:w="750" w:type="dxa"/>
            <w:noWrap w:val="0"/>
            <w:vAlign w:val="center"/>
          </w:tcPr>
          <w:p>
            <w:pPr>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268</w:t>
            </w:r>
            <w:r>
              <w:rPr>
                <w:rFonts w:hint="eastAsia" w:ascii="宋体" w:hAnsi="宋体" w:eastAsia="宋体" w:cs="宋体"/>
                <w:color w:val="auto"/>
                <w:kern w:val="2"/>
                <w:sz w:val="21"/>
                <w:szCs w:val="21"/>
                <w:highlight w:val="none"/>
                <w:lang w:eastAsia="zh-CN"/>
              </w:rPr>
              <w:t>顶</w:t>
            </w:r>
          </w:p>
        </w:tc>
      </w:tr>
    </w:tbl>
    <w:p>
      <w:pPr>
        <w:ind w:firstLine="480"/>
        <w:jc w:val="left"/>
        <w:rPr>
          <w:rFonts w:hint="eastAsia" w:ascii="宋体" w:hAnsi="宋体" w:eastAsia="宋体" w:cs="宋体"/>
          <w:sz w:val="28"/>
          <w:szCs w:val="28"/>
          <w:highlight w:val="yellow"/>
          <w:u w:val="single"/>
          <w:lang w:val="en-US" w:eastAsia="zh-CN"/>
        </w:rPr>
      </w:pPr>
    </w:p>
    <w:p>
      <w:pPr>
        <w:ind w:firstLine="480"/>
        <w:jc w:val="left"/>
        <w:rPr>
          <w:rFonts w:hint="eastAsia" w:ascii="宋体" w:hAnsi="宋体" w:eastAsia="宋体" w:cs="宋体"/>
          <w:b/>
          <w:sz w:val="28"/>
          <w:szCs w:val="28"/>
          <w:highlight w:val="none"/>
          <w:u w:val="none"/>
          <w:lang w:eastAsia="zh-CN"/>
        </w:rPr>
      </w:pPr>
      <w:r>
        <w:rPr>
          <w:rFonts w:hint="eastAsia" w:ascii="Times New Roman" w:hAnsi="Times New Roman" w:eastAsia="宋体" w:cs="Times New Roman"/>
          <w:b/>
          <w:bCs/>
          <w:sz w:val="24"/>
          <w:szCs w:val="20"/>
          <w:highlight w:val="none"/>
          <w:lang w:eastAsia="zh-CN"/>
        </w:rPr>
        <w:t>★</w:t>
      </w:r>
      <w:r>
        <w:rPr>
          <w:rFonts w:hint="eastAsia" w:ascii="宋体" w:hAnsi="宋体" w:eastAsia="宋体" w:cs="宋体"/>
          <w:sz w:val="28"/>
          <w:szCs w:val="28"/>
          <w:highlight w:val="none"/>
          <w:u w:val="none"/>
          <w:lang w:val="en-US" w:eastAsia="zh-CN"/>
        </w:rPr>
        <w:t>1</w:t>
      </w:r>
      <w:r>
        <w:rPr>
          <w:rFonts w:hint="eastAsia" w:ascii="宋体" w:hAnsi="宋体" w:eastAsia="宋体" w:cs="宋体"/>
          <w:sz w:val="28"/>
          <w:szCs w:val="28"/>
          <w:highlight w:val="none"/>
          <w:u w:val="none"/>
        </w:rPr>
        <w:t>、投标人必须提供承诺函，承诺所投产品提供的检测报告或认证证书的有效性和真实性，如未提供视为无效投标</w:t>
      </w:r>
      <w:r>
        <w:rPr>
          <w:rFonts w:hint="eastAsia" w:ascii="宋体" w:hAnsi="宋体" w:eastAsia="宋体" w:cs="宋体"/>
          <w:sz w:val="28"/>
          <w:szCs w:val="28"/>
          <w:highlight w:val="none"/>
          <w:u w:val="none"/>
          <w:lang w:eastAsia="zh-CN"/>
        </w:rPr>
        <w:t>（承诺函格式自拟）</w:t>
      </w:r>
      <w:r>
        <w:rPr>
          <w:rFonts w:hint="eastAsia" w:ascii="宋体" w:hAnsi="宋体" w:eastAsia="宋体" w:cs="宋体"/>
          <w:sz w:val="28"/>
          <w:szCs w:val="28"/>
          <w:highlight w:val="none"/>
          <w:u w:val="none"/>
        </w:rPr>
        <w:t>。</w:t>
      </w:r>
    </w:p>
    <w:p>
      <w:pPr>
        <w:ind w:firstLine="480"/>
        <w:jc w:val="left"/>
        <w:rPr>
          <w:rFonts w:ascii="宋体" w:hAnsi="宋体" w:eastAsia="宋体" w:cs="宋体"/>
          <w:b/>
          <w:sz w:val="28"/>
          <w:szCs w:val="28"/>
          <w:highlight w:val="none"/>
          <w:u w:val="none"/>
        </w:rPr>
      </w:pPr>
      <w:r>
        <w:rPr>
          <w:rFonts w:hint="eastAsia" w:ascii="宋体" w:hAnsi="宋体" w:eastAsia="宋体" w:cs="宋体"/>
          <w:sz w:val="28"/>
          <w:szCs w:val="28"/>
          <w:highlight w:val="none"/>
          <w:u w:val="none"/>
          <w:lang w:val="en-US" w:eastAsia="zh-CN"/>
        </w:rPr>
        <w:t>2</w:t>
      </w:r>
      <w:r>
        <w:rPr>
          <w:rFonts w:hint="eastAsia" w:ascii="宋体" w:hAnsi="宋体" w:eastAsia="宋体" w:cs="宋体"/>
          <w:sz w:val="28"/>
          <w:szCs w:val="28"/>
          <w:highlight w:val="none"/>
          <w:u w:val="none"/>
        </w:rPr>
        <w:t>、中标后，签订合同前，中标人须提供投标文件中所投产品的检测报告或者认证证书原件进行查验,如所提供的资料与投标文件不一致或未提供视为无效投标，取消其中标资格。并按相关法律法规处理。</w:t>
      </w:r>
    </w:p>
    <w:p>
      <w:pPr>
        <w:ind w:firstLine="480"/>
        <w:jc w:val="left"/>
        <w:rPr>
          <w:rFonts w:ascii="宋体" w:hAnsi="宋体" w:eastAsia="宋体" w:cs="宋体"/>
          <w:sz w:val="28"/>
          <w:szCs w:val="28"/>
          <w:highlight w:val="none"/>
          <w:u w:val="none"/>
        </w:rPr>
      </w:pPr>
      <w:r>
        <w:rPr>
          <w:rFonts w:hint="eastAsia" w:ascii="宋体" w:hAnsi="宋体" w:eastAsia="宋体" w:cs="宋体"/>
          <w:sz w:val="28"/>
          <w:szCs w:val="28"/>
          <w:highlight w:val="none"/>
          <w:u w:val="none"/>
          <w:lang w:val="en-US" w:eastAsia="zh-CN"/>
        </w:rPr>
        <w:t>3</w:t>
      </w:r>
      <w:r>
        <w:rPr>
          <w:rFonts w:hint="eastAsia" w:ascii="宋体" w:hAnsi="宋体" w:eastAsia="宋体" w:cs="宋体"/>
          <w:sz w:val="28"/>
          <w:szCs w:val="28"/>
          <w:highlight w:val="none"/>
          <w:u w:val="none"/>
        </w:rPr>
        <w:t>、采购人有权随机抽取本项目投标产品送往国家法定认可检测机构，检测费用（含多次）由中标人承担。</w:t>
      </w:r>
    </w:p>
    <w:p>
      <w:pPr>
        <w:widowControl w:val="0"/>
        <w:numPr>
          <w:ilvl w:val="0"/>
          <w:numId w:val="0"/>
        </w:numPr>
        <w:autoSpaceDE w:val="0"/>
        <w:autoSpaceDN w:val="0"/>
        <w:adjustRightInd w:val="0"/>
        <w:spacing w:beforeLines="0" w:afterLines="0"/>
        <w:jc w:val="both"/>
        <w:rPr>
          <w:rFonts w:hint="eastAsia" w:ascii="Times New Roman" w:hAnsi="Times New Roman" w:eastAsia="宋体" w:cs="Times New Roman"/>
          <w:b/>
          <w:bCs/>
          <w:kern w:val="0"/>
          <w:sz w:val="24"/>
          <w:szCs w:val="22"/>
          <w:highlight w:val="none"/>
          <w:lang w:val="en-US" w:eastAsia="zh-CN" w:bidi="ar-SA"/>
        </w:rPr>
      </w:pPr>
    </w:p>
    <w:p>
      <w:pPr>
        <w:autoSpaceDE w:val="0"/>
        <w:autoSpaceDN w:val="0"/>
        <w:adjustRightInd w:val="0"/>
        <w:spacing w:beforeLines="0" w:afterLines="0"/>
        <w:ind w:firstLine="482" w:firstLineChars="200"/>
        <w:jc w:val="left"/>
        <w:rPr>
          <w:rFonts w:hint="eastAsia" w:ascii="Times New Roman" w:hAnsi="Times New Roman" w:eastAsia="宋体" w:cs="Times New Roman"/>
          <w:sz w:val="24"/>
          <w:szCs w:val="20"/>
          <w:highlight w:val="none"/>
          <w:lang w:eastAsia="zh-CN"/>
        </w:rPr>
      </w:pPr>
      <w:r>
        <w:rPr>
          <w:rFonts w:hint="eastAsia" w:ascii="Times New Roman" w:hAnsi="Times New Roman" w:eastAsia="宋体" w:cs="Times New Roman"/>
          <w:b/>
          <w:bCs/>
          <w:sz w:val="24"/>
          <w:szCs w:val="20"/>
          <w:highlight w:val="none"/>
          <w:lang w:eastAsia="zh-CN"/>
        </w:rPr>
        <w:t>注：以下“▲”项不满足为扣分处理，“★”项不满足为废标处理</w:t>
      </w:r>
      <w:r>
        <w:rPr>
          <w:rFonts w:hint="eastAsia" w:ascii="Times New Roman" w:hAnsi="Times New Roman" w:eastAsia="宋体" w:cs="Times New Roman"/>
          <w:b/>
          <w:bCs/>
          <w:color w:val="000000"/>
          <w:kern w:val="2"/>
          <w:sz w:val="24"/>
          <w:szCs w:val="24"/>
          <w:highlight w:val="none"/>
        </w:rPr>
        <w:t>。</w:t>
      </w:r>
    </w:p>
    <w:p>
      <w:pPr>
        <w:widowControl w:val="0"/>
        <w:numPr>
          <w:ilvl w:val="0"/>
          <w:numId w:val="0"/>
        </w:numPr>
        <w:autoSpaceDE w:val="0"/>
        <w:autoSpaceDN w:val="0"/>
        <w:adjustRightInd w:val="0"/>
        <w:spacing w:beforeLines="0" w:afterLines="0"/>
        <w:jc w:val="both"/>
        <w:rPr>
          <w:rFonts w:hint="eastAsia" w:ascii="Times New Roman" w:hAnsi="Times New Roman" w:eastAsia="宋体" w:cs="Times New Roman"/>
          <w:b/>
          <w:bCs/>
          <w:kern w:val="0"/>
          <w:sz w:val="24"/>
          <w:szCs w:val="22"/>
          <w:highlight w:val="none"/>
          <w:lang w:val="en-US" w:eastAsia="zh-CN" w:bidi="ar-SA"/>
        </w:rPr>
      </w:pPr>
    </w:p>
    <w:p>
      <w:pPr>
        <w:widowControl w:val="0"/>
        <w:numPr>
          <w:ilvl w:val="0"/>
          <w:numId w:val="0"/>
        </w:numPr>
        <w:autoSpaceDE w:val="0"/>
        <w:autoSpaceDN w:val="0"/>
        <w:adjustRightInd w:val="0"/>
        <w:spacing w:beforeLines="0" w:afterLines="0"/>
        <w:jc w:val="both"/>
        <w:rPr>
          <w:rFonts w:hint="eastAsia" w:ascii="宋体" w:hAnsi="Times New Roman" w:eastAsia="宋体" w:cs="Times New Roman"/>
          <w:b/>
          <w:bCs/>
          <w:kern w:val="0"/>
          <w:sz w:val="24"/>
          <w:szCs w:val="22"/>
          <w:highlight w:val="none"/>
          <w:lang w:val="en-US" w:eastAsia="zh-CN" w:bidi="ar-SA"/>
        </w:rPr>
      </w:pPr>
      <w:r>
        <w:rPr>
          <w:rFonts w:hint="eastAsia" w:ascii="Times New Roman" w:hAnsi="Times New Roman" w:eastAsia="宋体" w:cs="Times New Roman"/>
          <w:b/>
          <w:bCs/>
          <w:kern w:val="0"/>
          <w:sz w:val="24"/>
          <w:szCs w:val="22"/>
          <w:highlight w:val="none"/>
          <w:lang w:val="en-US" w:eastAsia="zh-CN" w:bidi="ar-SA"/>
        </w:rPr>
        <w:t>五、样品要求：</w:t>
      </w:r>
    </w:p>
    <w:p>
      <w:pPr>
        <w:autoSpaceDE w:val="0"/>
        <w:autoSpaceDN w:val="0"/>
        <w:adjustRightInd w:val="0"/>
        <w:spacing w:beforeLines="0" w:afterLines="0"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auto"/>
          <w:sz w:val="24"/>
          <w:szCs w:val="20"/>
          <w:highlight w:val="none"/>
        </w:rPr>
        <w:t>1、送样清单</w:t>
      </w:r>
      <w:r>
        <w:rPr>
          <w:rFonts w:hint="eastAsia" w:ascii="宋体" w:hAnsi="宋体" w:eastAsia="宋体" w:cs="宋体"/>
          <w:color w:val="000000"/>
          <w:sz w:val="24"/>
          <w:szCs w:val="24"/>
          <w:highlight w:val="none"/>
        </w:rPr>
        <w:t>：</w:t>
      </w:r>
    </w:p>
    <w:tbl>
      <w:tblPr>
        <w:tblStyle w:val="3"/>
        <w:tblW w:w="9478" w:type="dxa"/>
        <w:tblInd w:w="0" w:type="dxa"/>
        <w:tblLayout w:type="fixed"/>
        <w:tblCellMar>
          <w:top w:w="0" w:type="dxa"/>
          <w:left w:w="108" w:type="dxa"/>
          <w:bottom w:w="0" w:type="dxa"/>
          <w:right w:w="108" w:type="dxa"/>
        </w:tblCellMar>
      </w:tblPr>
      <w:tblGrid>
        <w:gridCol w:w="849"/>
        <w:gridCol w:w="3348"/>
        <w:gridCol w:w="1283"/>
        <w:gridCol w:w="2425"/>
        <w:gridCol w:w="1573"/>
      </w:tblGrid>
      <w:tr>
        <w:tblPrEx>
          <w:tblCellMar>
            <w:top w:w="0" w:type="dxa"/>
            <w:left w:w="108" w:type="dxa"/>
            <w:bottom w:w="0" w:type="dxa"/>
            <w:right w:w="108" w:type="dxa"/>
          </w:tblCellMar>
        </w:tblPrEx>
        <w:trPr>
          <w:trHeight w:val="396" w:hRule="atLeast"/>
        </w:trPr>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beforeLines="0" w:afterLines="0"/>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序号</w:t>
            </w:r>
          </w:p>
        </w:tc>
        <w:tc>
          <w:tcPr>
            <w:tcW w:w="3348" w:type="dxa"/>
            <w:tcBorders>
              <w:top w:val="single" w:color="auto" w:sz="8" w:space="0"/>
              <w:left w:val="single" w:color="auto" w:sz="4" w:space="0"/>
              <w:bottom w:val="single" w:color="auto" w:sz="8" w:space="0"/>
              <w:right w:val="single" w:color="auto" w:sz="8" w:space="0"/>
            </w:tcBorders>
            <w:noWrap w:val="0"/>
            <w:vAlign w:val="center"/>
          </w:tcPr>
          <w:p>
            <w:pPr>
              <w:widowControl/>
              <w:autoSpaceDE w:val="0"/>
              <w:autoSpaceDN w:val="0"/>
              <w:adjustRightInd w:val="0"/>
              <w:spacing w:beforeLines="0" w:afterLines="0"/>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样品名称</w:t>
            </w:r>
          </w:p>
        </w:tc>
        <w:tc>
          <w:tcPr>
            <w:tcW w:w="1283" w:type="dxa"/>
            <w:tcBorders>
              <w:top w:val="single" w:color="auto" w:sz="8" w:space="0"/>
              <w:left w:val="nil"/>
              <w:bottom w:val="single" w:color="auto" w:sz="8" w:space="0"/>
              <w:right w:val="single" w:color="auto" w:sz="8" w:space="0"/>
            </w:tcBorders>
            <w:noWrap w:val="0"/>
            <w:vAlign w:val="center"/>
          </w:tcPr>
          <w:p>
            <w:pPr>
              <w:widowControl/>
              <w:autoSpaceDE w:val="0"/>
              <w:autoSpaceDN w:val="0"/>
              <w:adjustRightInd w:val="0"/>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数量</w:t>
            </w:r>
          </w:p>
        </w:tc>
        <w:tc>
          <w:tcPr>
            <w:tcW w:w="2425" w:type="dxa"/>
            <w:tcBorders>
              <w:top w:val="single" w:color="auto" w:sz="8" w:space="0"/>
              <w:left w:val="nil"/>
              <w:bottom w:val="single" w:color="auto" w:sz="8" w:space="0"/>
              <w:right w:val="single" w:color="auto" w:sz="8" w:space="0"/>
            </w:tcBorders>
            <w:noWrap w:val="0"/>
            <w:vAlign w:val="center"/>
          </w:tcPr>
          <w:p>
            <w:pPr>
              <w:widowControl/>
              <w:autoSpaceDE w:val="0"/>
              <w:autoSpaceDN w:val="0"/>
              <w:adjustRightInd w:val="0"/>
              <w:spacing w:beforeLines="0" w:afterLines="0"/>
              <w:jc w:val="center"/>
              <w:rPr>
                <w:rFonts w:hint="eastAsia" w:ascii="宋体" w:hAnsi="宋体" w:eastAsia="宋体" w:cs="宋体"/>
                <w:color w:val="000000"/>
                <w:sz w:val="24"/>
                <w:szCs w:val="24"/>
                <w:highlight w:val="none"/>
                <w:lang w:eastAsia="zh-CN"/>
              </w:rPr>
            </w:pPr>
            <w:r>
              <w:rPr>
                <w:rFonts w:hint="eastAsia" w:ascii="Times New Roman" w:hAnsi="宋体" w:eastAsia="宋体" w:cs="宋体"/>
                <w:color w:val="000000"/>
                <w:sz w:val="24"/>
                <w:szCs w:val="24"/>
                <w:highlight w:val="none"/>
                <w:lang w:eastAsia="zh-CN"/>
              </w:rPr>
              <w:t>型号</w:t>
            </w:r>
          </w:p>
        </w:tc>
        <w:tc>
          <w:tcPr>
            <w:tcW w:w="1573" w:type="dxa"/>
            <w:tcBorders>
              <w:top w:val="single" w:color="auto" w:sz="8" w:space="0"/>
              <w:left w:val="nil"/>
              <w:bottom w:val="single" w:color="auto" w:sz="8" w:space="0"/>
              <w:right w:val="single" w:color="auto" w:sz="8" w:space="0"/>
            </w:tcBorders>
            <w:noWrap w:val="0"/>
            <w:vAlign w:val="center"/>
          </w:tcPr>
          <w:p>
            <w:pPr>
              <w:widowControl/>
              <w:autoSpaceDE w:val="0"/>
              <w:autoSpaceDN w:val="0"/>
              <w:adjustRightInd w:val="0"/>
              <w:spacing w:beforeLines="0" w:afterLines="0"/>
              <w:jc w:val="center"/>
              <w:rPr>
                <w:rFonts w:hint="default" w:ascii="Times New Roman" w:hAnsi="宋体" w:eastAsia="宋体" w:cs="宋体"/>
                <w:color w:val="000000"/>
                <w:sz w:val="24"/>
                <w:szCs w:val="24"/>
                <w:highlight w:val="none"/>
                <w:lang w:val="en-US" w:eastAsia="zh-CN"/>
              </w:rPr>
            </w:pPr>
            <w:r>
              <w:rPr>
                <w:rFonts w:hint="eastAsia" w:ascii="Times New Roman" w:hAnsi="宋体" w:eastAsia="宋体" w:cs="宋体"/>
                <w:color w:val="000000"/>
                <w:sz w:val="24"/>
                <w:szCs w:val="24"/>
                <w:highlight w:val="none"/>
                <w:lang w:val="en-US" w:eastAsia="zh-CN"/>
              </w:rPr>
              <w:t>备注</w:t>
            </w:r>
          </w:p>
        </w:tc>
      </w:tr>
      <w:tr>
        <w:tblPrEx>
          <w:tblCellMar>
            <w:top w:w="0" w:type="dxa"/>
            <w:left w:w="108" w:type="dxa"/>
            <w:bottom w:w="0" w:type="dxa"/>
            <w:right w:w="108" w:type="dxa"/>
          </w:tblCellMar>
        </w:tblPrEx>
        <w:trPr>
          <w:trHeight w:val="433" w:hRule="atLeast"/>
        </w:trPr>
        <w:tc>
          <w:tcPr>
            <w:tcW w:w="849" w:type="dxa"/>
            <w:tcBorders>
              <w:top w:val="single" w:color="auto" w:sz="4" w:space="0"/>
              <w:left w:val="single" w:color="auto" w:sz="4" w:space="0"/>
              <w:bottom w:val="single" w:color="auto" w:sz="8" w:space="0"/>
              <w:right w:val="single" w:color="auto" w:sz="4" w:space="0"/>
            </w:tcBorders>
            <w:noWrap w:val="0"/>
            <w:vAlign w:val="center"/>
          </w:tcPr>
          <w:p>
            <w:pPr>
              <w:widowControl/>
              <w:autoSpaceDE w:val="0"/>
              <w:autoSpaceDN w:val="0"/>
              <w:adjustRightInd w:val="0"/>
              <w:spacing w:beforeLines="0" w:afterLines="0"/>
              <w:jc w:val="center"/>
              <w:rPr>
                <w:rFonts w:hint="default" w:ascii="宋体" w:hAnsi="宋体" w:eastAsia="宋体" w:cs="宋体"/>
                <w:color w:val="000000"/>
                <w:sz w:val="24"/>
                <w:szCs w:val="24"/>
                <w:highlight w:val="none"/>
                <w:lang w:val="en-US" w:eastAsia="zh-CN"/>
              </w:rPr>
            </w:pPr>
            <w:r>
              <w:rPr>
                <w:rFonts w:hint="eastAsia" w:ascii="Times New Roman" w:hAnsi="宋体" w:eastAsia="宋体" w:cs="宋体"/>
                <w:color w:val="000000"/>
                <w:sz w:val="24"/>
                <w:szCs w:val="24"/>
                <w:highlight w:val="none"/>
                <w:lang w:val="en-US" w:eastAsia="zh-CN"/>
              </w:rPr>
              <w:t>1</w:t>
            </w:r>
          </w:p>
        </w:tc>
        <w:tc>
          <w:tcPr>
            <w:tcW w:w="3348" w:type="dxa"/>
            <w:tcBorders>
              <w:top w:val="single" w:color="auto" w:sz="8" w:space="0"/>
              <w:left w:val="single" w:color="auto" w:sz="4" w:space="0"/>
              <w:bottom w:val="single" w:color="auto" w:sz="8" w:space="0"/>
              <w:right w:val="single" w:color="auto" w:sz="8" w:space="0"/>
            </w:tcBorders>
            <w:noWrap w:val="0"/>
            <w:vAlign w:val="center"/>
          </w:tcPr>
          <w:p>
            <w:pPr>
              <w:widowControl/>
              <w:autoSpaceDE w:val="0"/>
              <w:autoSpaceDN w:val="0"/>
              <w:adjustRightInd w:val="0"/>
              <w:spacing w:beforeLines="0" w:afterLines="0"/>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模组式防弹头盔</w:t>
            </w:r>
          </w:p>
        </w:tc>
        <w:tc>
          <w:tcPr>
            <w:tcW w:w="1283" w:type="dxa"/>
            <w:tcBorders>
              <w:top w:val="single" w:color="auto" w:sz="8" w:space="0"/>
              <w:left w:val="nil"/>
              <w:bottom w:val="single" w:color="auto" w:sz="8" w:space="0"/>
              <w:right w:val="single" w:color="auto" w:sz="8" w:space="0"/>
            </w:tcBorders>
            <w:noWrap w:val="0"/>
            <w:vAlign w:val="center"/>
          </w:tcPr>
          <w:p>
            <w:pPr>
              <w:widowControl/>
              <w:autoSpaceDE w:val="0"/>
              <w:autoSpaceDN w:val="0"/>
              <w:adjustRightInd w:val="0"/>
              <w:spacing w:beforeLines="0" w:afterLines="0"/>
              <w:jc w:val="center"/>
              <w:rPr>
                <w:rFonts w:hint="default" w:ascii="宋体" w:hAnsi="宋体" w:eastAsia="宋体" w:cs="宋体"/>
                <w:color w:val="000000"/>
                <w:sz w:val="24"/>
                <w:szCs w:val="24"/>
                <w:highlight w:val="none"/>
                <w:lang w:val="en-US" w:eastAsia="zh-CN"/>
              </w:rPr>
            </w:pPr>
            <w:r>
              <w:rPr>
                <w:rFonts w:hint="eastAsia" w:ascii="Times New Roman" w:hAnsi="宋体" w:eastAsia="宋体" w:cs="宋体"/>
                <w:color w:val="000000"/>
                <w:sz w:val="24"/>
                <w:szCs w:val="24"/>
                <w:highlight w:val="none"/>
                <w:lang w:val="en-US" w:eastAsia="zh-CN"/>
              </w:rPr>
              <w:t>1顶</w:t>
            </w:r>
          </w:p>
        </w:tc>
        <w:tc>
          <w:tcPr>
            <w:tcW w:w="2425" w:type="dxa"/>
            <w:tcBorders>
              <w:top w:val="single" w:color="auto" w:sz="8" w:space="0"/>
              <w:left w:val="nil"/>
              <w:bottom w:val="single" w:color="auto" w:sz="8" w:space="0"/>
              <w:right w:val="single" w:color="auto" w:sz="8" w:space="0"/>
            </w:tcBorders>
            <w:noWrap w:val="0"/>
            <w:vAlign w:val="center"/>
          </w:tcPr>
          <w:p>
            <w:pPr>
              <w:widowControl/>
              <w:autoSpaceDE w:val="0"/>
              <w:autoSpaceDN w:val="0"/>
              <w:adjustRightInd w:val="0"/>
              <w:spacing w:beforeLines="0" w:afterLines="0"/>
              <w:jc w:val="center"/>
              <w:rPr>
                <w:rFonts w:hint="eastAsia" w:ascii="Times New Roman" w:hAnsi="宋体" w:eastAsia="宋体" w:cs="宋体"/>
                <w:color w:val="000000"/>
                <w:sz w:val="24"/>
                <w:szCs w:val="24"/>
                <w:highlight w:val="none"/>
                <w:lang w:eastAsia="zh-CN"/>
              </w:rPr>
            </w:pPr>
            <w:r>
              <w:rPr>
                <w:rFonts w:hint="eastAsia" w:ascii="Times New Roman" w:hAnsi="宋体" w:eastAsia="宋体" w:cs="宋体"/>
                <w:color w:val="000000"/>
                <w:sz w:val="24"/>
                <w:szCs w:val="24"/>
                <w:highlight w:val="none"/>
                <w:lang w:val="en-US" w:eastAsia="zh-CN"/>
              </w:rPr>
              <w:t>适合57-60cm头围佩戴</w:t>
            </w:r>
          </w:p>
        </w:tc>
        <w:tc>
          <w:tcPr>
            <w:tcW w:w="1573" w:type="dxa"/>
            <w:tcBorders>
              <w:top w:val="single" w:color="auto" w:sz="8" w:space="0"/>
              <w:left w:val="nil"/>
              <w:bottom w:val="single" w:color="auto" w:sz="8" w:space="0"/>
              <w:right w:val="single" w:color="auto" w:sz="8" w:space="0"/>
            </w:tcBorders>
            <w:noWrap w:val="0"/>
            <w:vAlign w:val="center"/>
          </w:tcPr>
          <w:p>
            <w:pPr>
              <w:widowControl/>
              <w:autoSpaceDE w:val="0"/>
              <w:autoSpaceDN w:val="0"/>
              <w:adjustRightInd w:val="0"/>
              <w:spacing w:beforeLines="0" w:afterLines="0"/>
              <w:jc w:val="center"/>
              <w:rPr>
                <w:rFonts w:hint="eastAsia" w:ascii="Times New Roman" w:hAnsi="宋体" w:eastAsia="宋体" w:cs="宋体"/>
                <w:color w:val="000000"/>
                <w:sz w:val="24"/>
                <w:szCs w:val="24"/>
                <w:highlight w:val="none"/>
                <w:lang w:eastAsia="zh-CN"/>
              </w:rPr>
            </w:pPr>
          </w:p>
        </w:tc>
      </w:tr>
    </w:tbl>
    <w:p>
      <w:pPr>
        <w:autoSpaceDE w:val="0"/>
        <w:autoSpaceDN w:val="0"/>
        <w:adjustRightInd w:val="0"/>
        <w:spacing w:beforeLines="0" w:afterLines="0" w:line="360" w:lineRule="auto"/>
        <w:jc w:val="left"/>
        <w:rPr>
          <w:rFonts w:hint="default" w:ascii="宋体" w:hAnsi="宋体" w:eastAsia="宋体" w:cs="宋体"/>
          <w:color w:val="auto"/>
          <w:sz w:val="24"/>
          <w:szCs w:val="20"/>
          <w:highlight w:val="none"/>
        </w:rPr>
      </w:pPr>
      <w:r>
        <w:rPr>
          <w:rFonts w:hint="default" w:ascii="宋体" w:hAnsi="宋体" w:eastAsia="宋体" w:cs="宋体"/>
          <w:color w:val="auto"/>
          <w:sz w:val="24"/>
          <w:szCs w:val="20"/>
          <w:highlight w:val="none"/>
        </w:rPr>
        <w:t>2</w:t>
      </w:r>
      <w:r>
        <w:rPr>
          <w:rFonts w:hint="eastAsia" w:ascii="宋体" w:hAnsi="宋体" w:eastAsia="宋体" w:cs="宋体"/>
          <w:color w:val="auto"/>
          <w:sz w:val="24"/>
          <w:szCs w:val="20"/>
          <w:highlight w:val="none"/>
        </w:rPr>
        <w:t>、</w:t>
      </w:r>
      <w:r>
        <w:rPr>
          <w:rFonts w:hint="eastAsia" w:ascii="宋体" w:hAnsi="宋体" w:eastAsia="宋体" w:cs="宋体"/>
          <w:color w:val="auto"/>
          <w:kern w:val="2"/>
          <w:sz w:val="24"/>
          <w:szCs w:val="24"/>
          <w:highlight w:val="none"/>
          <w:lang w:val="en-US" w:eastAsia="zh-CN"/>
        </w:rPr>
        <w:t>样品递交时间及地点</w:t>
      </w:r>
      <w:r>
        <w:rPr>
          <w:rFonts w:hint="eastAsia" w:ascii="宋体" w:hAnsi="宋体" w:eastAsia="宋体" w:cs="宋体"/>
          <w:color w:val="auto"/>
          <w:kern w:val="2"/>
          <w:sz w:val="24"/>
          <w:szCs w:val="24"/>
          <w:highlight w:val="none"/>
        </w:rPr>
        <w:t>：</w:t>
      </w:r>
      <w:r>
        <w:rPr>
          <w:rFonts w:hint="eastAsia" w:ascii="宋体" w:hAnsi="宋体" w:eastAsia="宋体" w:cs="宋体"/>
          <w:b/>
          <w:kern w:val="2"/>
          <w:sz w:val="24"/>
          <w:szCs w:val="24"/>
          <w:lang w:val="en-US" w:eastAsia="zh-CN"/>
        </w:rPr>
        <w:t>2021年</w:t>
      </w:r>
      <w:r>
        <w:rPr>
          <w:rFonts w:hint="eastAsia" w:hAnsi="宋体" w:eastAsia="宋体" w:cs="宋体"/>
          <w:b/>
          <w:kern w:val="2"/>
          <w:sz w:val="24"/>
          <w:szCs w:val="24"/>
          <w:lang w:val="en-US" w:eastAsia="zh-CN"/>
        </w:rPr>
        <w:t>12</w:t>
      </w:r>
      <w:r>
        <w:rPr>
          <w:rFonts w:hint="eastAsia" w:ascii="宋体" w:hAnsi="宋体" w:eastAsia="宋体" w:cs="宋体"/>
          <w:b/>
          <w:kern w:val="2"/>
          <w:sz w:val="24"/>
          <w:szCs w:val="24"/>
          <w:lang w:val="en-US" w:eastAsia="zh-CN"/>
        </w:rPr>
        <w:t>月</w:t>
      </w:r>
      <w:r>
        <w:rPr>
          <w:rFonts w:hint="eastAsia" w:hAnsi="宋体" w:eastAsia="宋体" w:cs="宋体"/>
          <w:b/>
          <w:kern w:val="2"/>
          <w:sz w:val="24"/>
          <w:szCs w:val="24"/>
          <w:lang w:val="en-US" w:eastAsia="zh-CN"/>
        </w:rPr>
        <w:t>16</w:t>
      </w:r>
      <w:r>
        <w:rPr>
          <w:rFonts w:hint="eastAsia" w:ascii="宋体" w:hAnsi="宋体" w:eastAsia="宋体" w:cs="宋体"/>
          <w:b/>
          <w:kern w:val="2"/>
          <w:sz w:val="24"/>
          <w:szCs w:val="24"/>
          <w:lang w:val="en-US" w:eastAsia="zh-CN"/>
        </w:rPr>
        <w:t>日</w:t>
      </w:r>
      <w:r>
        <w:rPr>
          <w:rFonts w:hint="eastAsia" w:hAnsi="宋体" w:eastAsia="宋体" w:cs="宋体"/>
          <w:b/>
          <w:kern w:val="2"/>
          <w:sz w:val="24"/>
          <w:szCs w:val="24"/>
          <w:lang w:val="en-US" w:eastAsia="zh-CN"/>
        </w:rPr>
        <w:t>09</w:t>
      </w:r>
      <w:r>
        <w:rPr>
          <w:rFonts w:hint="eastAsia" w:ascii="宋体" w:hAnsi="宋体" w:eastAsia="宋体" w:cs="宋体"/>
          <w:b/>
          <w:kern w:val="2"/>
          <w:sz w:val="24"/>
          <w:szCs w:val="24"/>
          <w:lang w:val="en-US" w:eastAsia="zh-CN"/>
        </w:rPr>
        <w:t>：</w:t>
      </w:r>
      <w:r>
        <w:rPr>
          <w:rFonts w:hint="eastAsia" w:hAnsi="宋体" w:eastAsia="宋体" w:cs="宋体"/>
          <w:b/>
          <w:kern w:val="2"/>
          <w:sz w:val="24"/>
          <w:szCs w:val="24"/>
          <w:lang w:val="en-US" w:eastAsia="zh-CN"/>
        </w:rPr>
        <w:t>3</w:t>
      </w:r>
      <w:r>
        <w:rPr>
          <w:rFonts w:hint="eastAsia" w:ascii="宋体" w:hAnsi="宋体" w:eastAsia="宋体" w:cs="宋体"/>
          <w:b/>
          <w:kern w:val="2"/>
          <w:sz w:val="24"/>
          <w:szCs w:val="24"/>
          <w:lang w:val="en-US" w:eastAsia="zh-CN"/>
        </w:rPr>
        <w:t>0—10：</w:t>
      </w:r>
      <w:r>
        <w:rPr>
          <w:rFonts w:hint="eastAsia" w:hAnsi="宋体" w:eastAsia="宋体" w:cs="宋体"/>
          <w:b/>
          <w:kern w:val="2"/>
          <w:sz w:val="24"/>
          <w:szCs w:val="24"/>
          <w:lang w:val="en-US" w:eastAsia="zh-CN"/>
        </w:rPr>
        <w:t>0</w:t>
      </w:r>
      <w:r>
        <w:rPr>
          <w:rFonts w:hint="eastAsia" w:ascii="宋体" w:hAnsi="宋体" w:eastAsia="宋体" w:cs="宋体"/>
          <w:b/>
          <w:kern w:val="2"/>
          <w:sz w:val="24"/>
          <w:szCs w:val="24"/>
          <w:lang w:val="en-US" w:eastAsia="zh-CN"/>
        </w:rPr>
        <w:t>0，地点：</w:t>
      </w:r>
      <w:r>
        <w:rPr>
          <w:rFonts w:hint="eastAsia" w:ascii="Calibri" w:hAnsi="宋体" w:eastAsia="宋体" w:cs="宋体"/>
          <w:color w:val="auto"/>
          <w:kern w:val="2"/>
          <w:sz w:val="24"/>
          <w:szCs w:val="24"/>
          <w:highlight w:val="none"/>
        </w:rPr>
        <w:t>成都市高新区天府大道1700号新世纪环球中心E3门栋6楼2-1-611-615</w:t>
      </w:r>
      <w:r>
        <w:rPr>
          <w:rFonts w:hint="eastAsia" w:ascii="Calibri" w:hAnsi="宋体" w:eastAsia="宋体" w:cs="宋体"/>
          <w:color w:val="auto"/>
          <w:kern w:val="2"/>
          <w:sz w:val="24"/>
          <w:szCs w:val="24"/>
          <w:highlight w:val="none"/>
          <w:lang w:val="zh-CN"/>
        </w:rPr>
        <w:t>四川中意招标有限公司</w:t>
      </w:r>
      <w:r>
        <w:rPr>
          <w:rFonts w:hint="eastAsia" w:ascii="Calibri" w:hAnsi="宋体" w:eastAsia="宋体" w:cs="宋体"/>
          <w:b/>
          <w:color w:val="auto"/>
          <w:kern w:val="2"/>
          <w:sz w:val="24"/>
          <w:szCs w:val="24"/>
          <w:highlight w:val="none"/>
          <w:lang w:val="zh-CN"/>
        </w:rPr>
        <w:t>本项目</w:t>
      </w:r>
      <w:r>
        <w:rPr>
          <w:rFonts w:hint="eastAsia" w:ascii="Calibri" w:hAnsi="宋体" w:eastAsia="宋体" w:cs="宋体"/>
          <w:b/>
          <w:color w:val="auto"/>
          <w:kern w:val="2"/>
          <w:sz w:val="24"/>
          <w:szCs w:val="24"/>
          <w:highlight w:val="none"/>
        </w:rPr>
        <w:t>会议室</w:t>
      </w:r>
      <w:r>
        <w:rPr>
          <w:rFonts w:hint="eastAsia" w:ascii="宋体" w:hAnsi="宋体" w:eastAsia="宋体" w:cs="宋体"/>
          <w:kern w:val="2"/>
          <w:sz w:val="24"/>
          <w:szCs w:val="24"/>
          <w:lang w:eastAsia="zh-CN"/>
        </w:rPr>
        <w:t>，</w:t>
      </w:r>
      <w:r>
        <w:rPr>
          <w:rFonts w:hint="eastAsia" w:ascii="宋体" w:hAnsi="宋体" w:eastAsia="宋体" w:cs="宋体"/>
          <w:kern w:val="2"/>
          <w:sz w:val="24"/>
          <w:szCs w:val="24"/>
        </w:rPr>
        <w:t>联系人：袁老师</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lang w:eastAsia="zh-CN"/>
        </w:rPr>
        <w:t>，</w:t>
      </w:r>
      <w:r>
        <w:rPr>
          <w:rFonts w:hint="eastAsia" w:ascii="宋体" w:hAnsi="宋体" w:eastAsia="宋体" w:cs="宋体"/>
          <w:kern w:val="2"/>
          <w:sz w:val="24"/>
          <w:szCs w:val="24"/>
        </w:rPr>
        <w:t>联系电话：</w:t>
      </w:r>
      <w:r>
        <w:rPr>
          <w:rFonts w:hint="eastAsia" w:ascii="宋体" w:hAnsi="宋体" w:eastAsia="宋体" w:cs="宋体"/>
          <w:color w:val="auto"/>
          <w:kern w:val="2"/>
          <w:sz w:val="24"/>
          <w:szCs w:val="24"/>
          <w:highlight w:val="none"/>
        </w:rPr>
        <w:t>87050033</w:t>
      </w:r>
      <w:r>
        <w:rPr>
          <w:rFonts w:hint="eastAsia" w:ascii="宋体" w:hAnsi="宋体" w:eastAsia="宋体" w:cs="宋体"/>
          <w:kern w:val="2"/>
          <w:sz w:val="24"/>
          <w:szCs w:val="24"/>
          <w:lang w:eastAsia="zh-CN"/>
        </w:rPr>
        <w:t>，</w:t>
      </w:r>
      <w:r>
        <w:rPr>
          <w:rFonts w:hint="eastAsia" w:ascii="宋体" w:hAnsi="宋体" w:eastAsia="宋体" w:cs="宋体"/>
          <w:color w:val="auto"/>
          <w:kern w:val="2"/>
          <w:sz w:val="24"/>
          <w:szCs w:val="24"/>
          <w:highlight w:val="none"/>
        </w:rPr>
        <w:t>超时递交将被拒收。</w:t>
      </w:r>
    </w:p>
    <w:p>
      <w:pPr>
        <w:autoSpaceDE w:val="0"/>
        <w:autoSpaceDN w:val="0"/>
        <w:adjustRightInd w:val="0"/>
        <w:spacing w:beforeLines="0" w:afterLines="0" w:line="360" w:lineRule="auto"/>
        <w:jc w:val="left"/>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样品本身不能有可以识别</w:t>
      </w:r>
      <w:r>
        <w:rPr>
          <w:rFonts w:hint="eastAsia" w:ascii="宋体" w:hAnsi="宋体" w:eastAsia="宋体" w:cs="宋体"/>
          <w:color w:val="000000"/>
          <w:sz w:val="24"/>
          <w:szCs w:val="24"/>
          <w:highlight w:val="none"/>
          <w:lang w:val="en-US" w:eastAsia="zh-CN"/>
        </w:rPr>
        <w:t>投标人</w:t>
      </w:r>
      <w:r>
        <w:rPr>
          <w:rFonts w:hint="eastAsia" w:ascii="宋体" w:hAnsi="宋体" w:eastAsia="宋体" w:cs="宋体"/>
          <w:color w:val="000000"/>
          <w:sz w:val="24"/>
          <w:szCs w:val="24"/>
          <w:highlight w:val="none"/>
        </w:rPr>
        <w:t>的任何标记，否则投标样品将被拒绝</w:t>
      </w:r>
      <w:r>
        <w:rPr>
          <w:rFonts w:hint="eastAsia" w:ascii="宋体" w:hAnsi="宋体" w:eastAsia="宋体" w:cs="宋体"/>
          <w:color w:val="000000"/>
          <w:sz w:val="24"/>
          <w:szCs w:val="24"/>
          <w:highlight w:val="none"/>
          <w:lang w:eastAsia="zh-CN"/>
        </w:rPr>
        <w:t>接收。</w:t>
      </w:r>
    </w:p>
    <w:p>
      <w:pPr>
        <w:autoSpaceDE w:val="0"/>
        <w:autoSpaceDN w:val="0"/>
        <w:adjustRightInd w:val="0"/>
        <w:spacing w:beforeLines="0" w:afterLines="0"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递交样品同时必须单独递交一份样品清单并加盖</w:t>
      </w:r>
      <w:r>
        <w:rPr>
          <w:rFonts w:hint="eastAsia" w:ascii="宋体" w:hAnsi="宋体" w:eastAsia="宋体" w:cs="宋体"/>
          <w:color w:val="000000"/>
          <w:sz w:val="24"/>
          <w:szCs w:val="24"/>
          <w:highlight w:val="none"/>
          <w:lang w:val="en-US" w:eastAsia="zh-CN"/>
        </w:rPr>
        <w:t>投标人</w:t>
      </w:r>
      <w:r>
        <w:rPr>
          <w:rFonts w:hint="eastAsia" w:ascii="宋体" w:hAnsi="宋体" w:eastAsia="宋体" w:cs="宋体"/>
          <w:color w:val="000000"/>
          <w:sz w:val="24"/>
          <w:szCs w:val="24"/>
          <w:highlight w:val="none"/>
        </w:rPr>
        <w:t>鲜章</w:t>
      </w:r>
      <w:r>
        <w:rPr>
          <w:rFonts w:hint="eastAsia" w:ascii="宋体" w:hAnsi="宋体" w:eastAsia="宋体" w:cs="宋体"/>
          <w:color w:val="000000"/>
          <w:sz w:val="24"/>
          <w:szCs w:val="24"/>
          <w:highlight w:val="none"/>
          <w:lang w:eastAsia="zh-CN"/>
        </w:rPr>
        <w:t>或授权代表签字</w:t>
      </w:r>
      <w:r>
        <w:rPr>
          <w:rFonts w:hint="eastAsia" w:ascii="宋体" w:hAnsi="宋体" w:eastAsia="宋体" w:cs="宋体"/>
          <w:color w:val="000000"/>
          <w:sz w:val="24"/>
          <w:szCs w:val="24"/>
          <w:highlight w:val="none"/>
        </w:rPr>
        <w:t>，此清单不得附在样品外包装上。</w:t>
      </w:r>
    </w:p>
    <w:p>
      <w:pPr>
        <w:autoSpaceDE w:val="0"/>
        <w:autoSpaceDN w:val="0"/>
        <w:adjustRightInd w:val="0"/>
        <w:spacing w:beforeLines="0" w:afterLines="0"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5、评审采用盲样，由现场监督在评审前随机编号进入评审</w:t>
      </w:r>
      <w:r>
        <w:rPr>
          <w:rFonts w:hint="eastAsia" w:ascii="宋体" w:hAnsi="宋体" w:eastAsia="宋体" w:cs="宋体"/>
          <w:color w:val="000000"/>
          <w:sz w:val="24"/>
          <w:szCs w:val="24"/>
          <w:highlight w:val="none"/>
        </w:rPr>
        <w:t>。</w:t>
      </w:r>
    </w:p>
    <w:p>
      <w:pPr>
        <w:autoSpaceDE w:val="0"/>
        <w:autoSpaceDN w:val="0"/>
        <w:adjustRightInd w:val="0"/>
        <w:spacing w:beforeLines="0" w:afterLines="0" w:line="360" w:lineRule="auto"/>
        <w:jc w:val="left"/>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6、中标人提交的</w:t>
      </w:r>
      <w:r>
        <w:rPr>
          <w:rFonts w:hint="eastAsia" w:ascii="宋体" w:hAnsi="宋体" w:eastAsia="宋体" w:cs="宋体"/>
          <w:color w:val="000000"/>
          <w:sz w:val="24"/>
          <w:szCs w:val="24"/>
          <w:highlight w:val="none"/>
        </w:rPr>
        <w:t>样品评审后封存并移交采购人，作为验收依据，交货时如货物质量低于样品质量，采购单位有权利拒收</w:t>
      </w:r>
      <w:r>
        <w:rPr>
          <w:rFonts w:hint="eastAsia" w:ascii="宋体" w:hAnsi="宋体" w:eastAsia="宋体" w:cs="宋体"/>
          <w:color w:val="000000"/>
          <w:sz w:val="24"/>
          <w:szCs w:val="24"/>
          <w:highlight w:val="none"/>
          <w:lang w:eastAsia="zh-CN"/>
        </w:rPr>
        <w:t>。</w:t>
      </w:r>
    </w:p>
    <w:p>
      <w:pPr>
        <w:autoSpaceDE w:val="0"/>
        <w:autoSpaceDN w:val="0"/>
        <w:adjustRightInd w:val="0"/>
        <w:spacing w:beforeLines="0" w:afterLines="0" w:line="360" w:lineRule="auto"/>
        <w:jc w:val="left"/>
        <w:rPr>
          <w:rFonts w:hint="eastAsia" w:ascii="Times New Roman" w:hAnsi="宋体" w:eastAsia="宋体" w:cs="宋体"/>
          <w:color w:val="000000"/>
          <w:sz w:val="24"/>
          <w:szCs w:val="24"/>
          <w:highlight w:val="none"/>
          <w:lang w:val="zh-CN"/>
        </w:rPr>
      </w:pPr>
      <w:r>
        <w:rPr>
          <w:rFonts w:hint="eastAsia" w:ascii="Times New Roman" w:hAnsi="宋体" w:eastAsia="宋体" w:cs="宋体"/>
          <w:color w:val="000000"/>
          <w:sz w:val="24"/>
          <w:szCs w:val="24"/>
          <w:highlight w:val="none"/>
          <w:lang w:val="en-US" w:eastAsia="zh-CN"/>
        </w:rPr>
        <w:t>7</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未中标人的样品将由招标代理机构封存，待成交结果公告质疑期限结束后退回</w:t>
      </w:r>
      <w:r>
        <w:rPr>
          <w:rFonts w:hint="eastAsia" w:ascii="宋体" w:hAnsi="宋体" w:eastAsia="宋体" w:cs="宋体"/>
          <w:color w:val="000000"/>
          <w:sz w:val="24"/>
          <w:szCs w:val="24"/>
          <w:highlight w:val="none"/>
          <w:lang w:val="zh-CN"/>
        </w:rPr>
        <w:t>，</w:t>
      </w:r>
      <w:r>
        <w:rPr>
          <w:rFonts w:hint="eastAsia" w:ascii="Times New Roman" w:hAnsi="宋体" w:eastAsia="宋体" w:cs="宋体"/>
          <w:color w:val="000000"/>
          <w:sz w:val="24"/>
          <w:szCs w:val="24"/>
          <w:highlight w:val="none"/>
          <w:lang w:val="en-US" w:eastAsia="zh-CN"/>
        </w:rPr>
        <w:t>投标人</w:t>
      </w:r>
      <w:r>
        <w:rPr>
          <w:rFonts w:hint="eastAsia" w:ascii="宋体" w:hAnsi="宋体" w:eastAsia="宋体" w:cs="宋体"/>
          <w:color w:val="000000"/>
          <w:sz w:val="24"/>
          <w:szCs w:val="24"/>
          <w:highlight w:val="none"/>
          <w:lang w:val="zh-CN"/>
        </w:rPr>
        <w:t>应在接到通知5个工作日内办理样品退还手续，超出规定日期的视为放弃样品退还</w:t>
      </w:r>
      <w:r>
        <w:rPr>
          <w:rFonts w:hint="eastAsia" w:ascii="Times New Roman" w:hAnsi="宋体" w:eastAsia="宋体" w:cs="宋体"/>
          <w:color w:val="000000"/>
          <w:sz w:val="24"/>
          <w:szCs w:val="24"/>
          <w:highlight w:val="none"/>
          <w:lang w:val="zh-CN"/>
        </w:rPr>
        <w:t>。</w:t>
      </w:r>
    </w:p>
    <w:p>
      <w:pPr>
        <w:autoSpaceDE w:val="0"/>
        <w:autoSpaceDN w:val="0"/>
        <w:adjustRightInd w:val="0"/>
        <w:spacing w:beforeLines="0" w:afterLines="0" w:line="360" w:lineRule="auto"/>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8、</w:t>
      </w:r>
      <w:r>
        <w:rPr>
          <w:rFonts w:hint="eastAsia" w:ascii="宋体" w:hAnsi="宋体" w:eastAsia="宋体" w:cs="宋体"/>
          <w:color w:val="000000"/>
          <w:sz w:val="24"/>
          <w:szCs w:val="24"/>
          <w:highlight w:val="none"/>
          <w:lang w:val="zh-CN"/>
        </w:rPr>
        <w:t>样品的生产、安装、运输费、保管费等一切费用由投标人自理。</w:t>
      </w:r>
    </w:p>
    <w:p>
      <w:pPr>
        <w:widowControl w:val="0"/>
        <w:tabs>
          <w:tab w:val="left" w:pos="480"/>
        </w:tabs>
        <w:autoSpaceDE w:val="0"/>
        <w:autoSpaceDN w:val="0"/>
        <w:adjustRightInd w:val="0"/>
        <w:spacing w:beforeLines="0" w:afterLines="0" w:line="560" w:lineRule="exact"/>
        <w:ind w:left="0" w:leftChars="0" w:firstLine="0" w:firstLineChars="0"/>
        <w:jc w:val="left"/>
        <w:rPr>
          <w:rFonts w:hint="default" w:ascii="宋体" w:hAnsi="宋体" w:eastAsia="宋体" w:cs="宋体"/>
          <w:sz w:val="24"/>
          <w:szCs w:val="20"/>
          <w:highlight w:val="none"/>
        </w:rPr>
      </w:pPr>
    </w:p>
    <w:p>
      <w:pPr>
        <w:widowControl w:val="0"/>
        <w:numPr>
          <w:ilvl w:val="0"/>
          <w:numId w:val="0"/>
        </w:numPr>
        <w:autoSpaceDE w:val="0"/>
        <w:autoSpaceDN w:val="0"/>
        <w:adjustRightInd w:val="0"/>
        <w:spacing w:beforeLines="0" w:afterLines="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（二）商务要求（实质性要求，不满足作无效处理）</w:t>
      </w:r>
    </w:p>
    <w:p>
      <w:pPr>
        <w:rPr>
          <w:rFonts w:hint="eastAsia" w:ascii="宋体" w:hAnsi="宋体" w:eastAsia="宋体" w:cs="宋体"/>
          <w:kern w:val="2"/>
          <w:sz w:val="24"/>
          <w:szCs w:val="24"/>
        </w:rPr>
      </w:pPr>
      <w:r>
        <w:rPr>
          <w:rFonts w:hint="eastAsia" w:ascii="宋体" w:hAnsi="宋体" w:eastAsia="宋体" w:cs="宋体"/>
          <w:kern w:val="2"/>
          <w:sz w:val="24"/>
          <w:szCs w:val="24"/>
        </w:rPr>
        <w:t>1、交货时间：签订合同后</w:t>
      </w:r>
      <w:r>
        <w:rPr>
          <w:rFonts w:hint="eastAsia" w:ascii="宋体" w:hAnsi="宋体" w:eastAsia="宋体" w:cs="宋体"/>
          <w:kern w:val="2"/>
          <w:sz w:val="24"/>
          <w:szCs w:val="24"/>
          <w:lang w:val="en-US" w:eastAsia="zh-CN"/>
        </w:rPr>
        <w:t>45</w:t>
      </w:r>
      <w:r>
        <w:rPr>
          <w:rFonts w:hint="eastAsia" w:ascii="宋体" w:hAnsi="宋体" w:eastAsia="宋体" w:cs="宋体"/>
          <w:kern w:val="2"/>
          <w:sz w:val="24"/>
          <w:szCs w:val="24"/>
        </w:rPr>
        <w:t>个工作日内完成交货及验收</w:t>
      </w:r>
    </w:p>
    <w:p>
      <w:pPr>
        <w:rPr>
          <w:rFonts w:hint="eastAsia" w:ascii="宋体" w:hAnsi="宋体" w:eastAsia="宋体" w:cs="宋体"/>
          <w:kern w:val="2"/>
          <w:sz w:val="24"/>
          <w:szCs w:val="24"/>
        </w:rPr>
      </w:pPr>
      <w:r>
        <w:rPr>
          <w:rFonts w:hint="eastAsia" w:ascii="宋体" w:hAnsi="宋体" w:eastAsia="宋体" w:cs="宋体"/>
          <w:kern w:val="2"/>
          <w:sz w:val="24"/>
          <w:szCs w:val="24"/>
        </w:rPr>
        <w:t xml:space="preserve">2、交货地点：成都市公安局特警支队 </w:t>
      </w:r>
    </w:p>
    <w:p>
      <w:pPr>
        <w:rPr>
          <w:rFonts w:hint="eastAsia" w:ascii="宋体" w:hAnsi="宋体" w:eastAsia="宋体" w:cs="宋体"/>
          <w:kern w:val="2"/>
          <w:sz w:val="24"/>
          <w:szCs w:val="24"/>
        </w:rPr>
      </w:pPr>
      <w:r>
        <w:rPr>
          <w:rFonts w:hint="eastAsia" w:ascii="宋体" w:hAnsi="宋体" w:eastAsia="宋体" w:cs="宋体"/>
          <w:kern w:val="2"/>
          <w:sz w:val="24"/>
          <w:szCs w:val="24"/>
        </w:rPr>
        <w:t>3、付款方式：签订合同前，中标人缴纳合同金额10%的履约保证金到成都市公安局账户，验收合格满一年后无息退还。验收合格</w:t>
      </w:r>
      <w:r>
        <w:rPr>
          <w:rFonts w:hint="eastAsia" w:hAnsi="宋体" w:eastAsia="宋体" w:cs="宋体"/>
          <w:kern w:val="2"/>
          <w:sz w:val="24"/>
          <w:szCs w:val="24"/>
          <w:lang w:eastAsia="zh-CN"/>
        </w:rPr>
        <w:t>后，采购人通知中标人开具增值税普通发票以后在</w:t>
      </w:r>
      <w:r>
        <w:rPr>
          <w:rFonts w:hint="eastAsia" w:hAnsi="宋体" w:eastAsia="宋体" w:cs="宋体"/>
          <w:kern w:val="2"/>
          <w:sz w:val="24"/>
          <w:szCs w:val="24"/>
          <w:lang w:val="en-US" w:eastAsia="zh-CN"/>
        </w:rPr>
        <w:t>15日内</w:t>
      </w:r>
      <w:r>
        <w:rPr>
          <w:rFonts w:hint="eastAsia" w:ascii="宋体" w:hAnsi="宋体" w:eastAsia="宋体" w:cs="宋体"/>
          <w:kern w:val="2"/>
          <w:sz w:val="24"/>
          <w:szCs w:val="24"/>
        </w:rPr>
        <w:t>付清货款。</w:t>
      </w:r>
    </w:p>
    <w:p>
      <w:pPr>
        <w:rPr>
          <w:rFonts w:hint="eastAsia" w:ascii="宋体" w:hAnsi="宋体" w:eastAsia="宋体" w:cs="宋体"/>
          <w:kern w:val="2"/>
          <w:sz w:val="24"/>
          <w:szCs w:val="24"/>
        </w:rPr>
      </w:pPr>
      <w:r>
        <w:rPr>
          <w:rFonts w:hint="eastAsia" w:ascii="宋体" w:hAnsi="宋体" w:eastAsia="宋体" w:cs="宋体"/>
          <w:kern w:val="2"/>
          <w:sz w:val="24"/>
          <w:szCs w:val="24"/>
        </w:rPr>
        <w:t>4. 质量要求：中标人提供的货物(包括零部件)必须为在售全新产品，不得为停产型号或翻新</w:t>
      </w:r>
      <w:r>
        <w:rPr>
          <w:rFonts w:hint="eastAsia" w:ascii="宋体" w:hAnsi="宋体" w:eastAsia="宋体" w:cs="宋体"/>
          <w:kern w:val="2"/>
          <w:sz w:val="24"/>
          <w:szCs w:val="24"/>
          <w:lang w:val="en-US" w:eastAsia="zh-CN"/>
        </w:rPr>
        <w:t>产品</w:t>
      </w:r>
      <w:r>
        <w:rPr>
          <w:rFonts w:hint="eastAsia" w:ascii="宋体" w:hAnsi="宋体" w:eastAsia="宋体" w:cs="宋体"/>
          <w:kern w:val="2"/>
          <w:sz w:val="24"/>
          <w:szCs w:val="24"/>
        </w:rPr>
        <w:t>，具有稳定性、可靠性、安全性，并完全符合国家、行业规定的质量、规格和性能要求等技术标准。</w:t>
      </w:r>
    </w:p>
    <w:p>
      <w:pPr>
        <w:rPr>
          <w:rFonts w:hint="eastAsia" w:ascii="宋体" w:hAnsi="宋体" w:eastAsia="宋体" w:cs="宋体"/>
          <w:kern w:val="2"/>
          <w:sz w:val="24"/>
          <w:szCs w:val="24"/>
        </w:rPr>
      </w:pPr>
      <w:r>
        <w:rPr>
          <w:rFonts w:hint="eastAsia" w:ascii="宋体" w:hAnsi="宋体" w:eastAsia="宋体" w:cs="宋体"/>
          <w:kern w:val="2"/>
          <w:sz w:val="24"/>
          <w:szCs w:val="24"/>
        </w:rPr>
        <w:t>5、质保期：验收合格之日起</w:t>
      </w:r>
      <w:r>
        <w:rPr>
          <w:rFonts w:hint="eastAsia" w:ascii="宋体" w:hAnsi="宋体" w:eastAsia="宋体" w:cs="宋体"/>
          <w:kern w:val="2"/>
          <w:sz w:val="24"/>
          <w:szCs w:val="24"/>
          <w:lang w:val="en-US" w:eastAsia="zh-CN"/>
        </w:rPr>
        <w:t>8</w:t>
      </w:r>
      <w:r>
        <w:rPr>
          <w:rFonts w:hint="eastAsia" w:ascii="宋体" w:hAnsi="宋体" w:eastAsia="宋体" w:cs="宋体"/>
          <w:kern w:val="2"/>
          <w:sz w:val="24"/>
          <w:szCs w:val="24"/>
        </w:rPr>
        <w:t>年。（生产厂家质保期长于</w:t>
      </w:r>
      <w:r>
        <w:rPr>
          <w:rFonts w:hint="eastAsia" w:ascii="宋体" w:hAnsi="宋体" w:eastAsia="宋体" w:cs="宋体"/>
          <w:kern w:val="2"/>
          <w:sz w:val="24"/>
          <w:szCs w:val="24"/>
          <w:lang w:val="en-US" w:eastAsia="zh-CN"/>
        </w:rPr>
        <w:t>8</w:t>
      </w:r>
      <w:r>
        <w:rPr>
          <w:rFonts w:hint="eastAsia" w:ascii="宋体" w:hAnsi="宋体" w:eastAsia="宋体" w:cs="宋体"/>
          <w:kern w:val="2"/>
          <w:sz w:val="24"/>
          <w:szCs w:val="24"/>
        </w:rPr>
        <w:t>年的，以生产厂家质保期为准）。</w:t>
      </w:r>
    </w:p>
    <w:p>
      <w:pPr>
        <w:rPr>
          <w:rFonts w:hint="eastAsia" w:ascii="宋体" w:hAnsi="宋体" w:eastAsia="宋体" w:cs="宋体"/>
          <w:kern w:val="2"/>
          <w:sz w:val="24"/>
          <w:szCs w:val="24"/>
        </w:rPr>
      </w:pPr>
      <w:r>
        <w:rPr>
          <w:rFonts w:hint="eastAsia" w:ascii="宋体" w:hAnsi="宋体" w:eastAsia="宋体" w:cs="宋体"/>
          <w:kern w:val="2"/>
          <w:sz w:val="24"/>
          <w:szCs w:val="24"/>
        </w:rPr>
        <w:t xml:space="preserve">6、售后服务 </w:t>
      </w:r>
    </w:p>
    <w:p>
      <w:pPr>
        <w:rPr>
          <w:rFonts w:hint="eastAsia" w:ascii="宋体" w:hAnsi="宋体" w:eastAsia="宋体" w:cs="宋体"/>
          <w:kern w:val="2"/>
          <w:sz w:val="24"/>
          <w:szCs w:val="24"/>
        </w:rPr>
      </w:pPr>
      <w:r>
        <w:rPr>
          <w:rFonts w:hint="eastAsia" w:ascii="宋体" w:hAnsi="宋体" w:eastAsia="宋体" w:cs="宋体"/>
          <w:kern w:val="2"/>
          <w:sz w:val="24"/>
          <w:szCs w:val="24"/>
        </w:rPr>
        <w:t xml:space="preserve">6.1供应商应有完善的技术支持与服务体系，并能提供本地化服务。 </w:t>
      </w:r>
    </w:p>
    <w:p>
      <w:pPr>
        <w:rPr>
          <w:rFonts w:hint="eastAsia" w:ascii="宋体" w:hAnsi="宋体" w:eastAsia="宋体" w:cs="宋体"/>
          <w:kern w:val="2"/>
          <w:sz w:val="24"/>
          <w:szCs w:val="24"/>
        </w:rPr>
      </w:pPr>
      <w:r>
        <w:rPr>
          <w:rFonts w:hint="eastAsia" w:ascii="宋体" w:hAnsi="宋体" w:eastAsia="宋体" w:cs="宋体"/>
          <w:kern w:val="2"/>
          <w:sz w:val="24"/>
          <w:szCs w:val="24"/>
        </w:rPr>
        <w:t>6.2提供 7×24 小时的技术支持服务。接到采购人</w:t>
      </w:r>
      <w:r>
        <w:rPr>
          <w:rFonts w:hint="eastAsia" w:ascii="宋体" w:hAnsi="宋体" w:eastAsia="宋体" w:cs="宋体"/>
          <w:kern w:val="2"/>
          <w:sz w:val="24"/>
          <w:szCs w:val="24"/>
          <w:lang w:val="en-US" w:eastAsia="zh-CN"/>
        </w:rPr>
        <w:t>产品</w:t>
      </w:r>
      <w:r>
        <w:rPr>
          <w:rFonts w:hint="eastAsia" w:ascii="宋体" w:hAnsi="宋体" w:eastAsia="宋体" w:cs="宋体"/>
          <w:kern w:val="2"/>
          <w:sz w:val="24"/>
          <w:szCs w:val="24"/>
        </w:rPr>
        <w:t>故障报修应4小时内响应，6小时内到达现场，12小时内不能排除故障的应提供备用</w:t>
      </w:r>
      <w:r>
        <w:rPr>
          <w:rFonts w:hint="eastAsia" w:ascii="宋体" w:hAnsi="宋体" w:eastAsia="宋体" w:cs="宋体"/>
          <w:kern w:val="2"/>
          <w:sz w:val="24"/>
          <w:szCs w:val="24"/>
          <w:lang w:val="en-US" w:eastAsia="zh-CN"/>
        </w:rPr>
        <w:t>产品</w:t>
      </w:r>
      <w:r>
        <w:rPr>
          <w:rFonts w:hint="eastAsia" w:ascii="宋体" w:hAnsi="宋体" w:eastAsia="宋体" w:cs="宋体"/>
          <w:kern w:val="2"/>
          <w:sz w:val="24"/>
          <w:szCs w:val="24"/>
        </w:rPr>
        <w:t>，以保证</w:t>
      </w:r>
      <w:r>
        <w:rPr>
          <w:rFonts w:hint="eastAsia" w:ascii="宋体" w:hAnsi="宋体" w:eastAsia="宋体" w:cs="宋体"/>
          <w:kern w:val="2"/>
          <w:sz w:val="24"/>
          <w:szCs w:val="24"/>
          <w:lang w:val="en-US" w:eastAsia="zh-CN"/>
        </w:rPr>
        <w:t>采购人工作</w:t>
      </w:r>
      <w:r>
        <w:rPr>
          <w:rFonts w:hint="eastAsia" w:ascii="宋体" w:hAnsi="宋体" w:eastAsia="宋体" w:cs="宋体"/>
          <w:kern w:val="2"/>
          <w:sz w:val="24"/>
          <w:szCs w:val="24"/>
        </w:rPr>
        <w:t xml:space="preserve">的正常运转。 </w:t>
      </w:r>
    </w:p>
    <w:p>
      <w:pPr>
        <w:rPr>
          <w:rFonts w:hint="eastAsia" w:ascii="宋体" w:hAnsi="宋体" w:eastAsia="宋体" w:cs="宋体"/>
          <w:kern w:val="2"/>
          <w:sz w:val="24"/>
          <w:szCs w:val="24"/>
        </w:rPr>
      </w:pPr>
      <w:r>
        <w:rPr>
          <w:rFonts w:hint="eastAsia" w:ascii="宋体" w:hAnsi="宋体" w:eastAsia="宋体" w:cs="宋体"/>
          <w:kern w:val="2"/>
          <w:sz w:val="24"/>
          <w:szCs w:val="24"/>
        </w:rPr>
        <w:t xml:space="preserve">6.3故障问题解决后24 小时内，应向采购人提交问题处理报告，说明问题种类、问题原因、问题解决中使用的方法及造成的损失等情况。 </w:t>
      </w:r>
    </w:p>
    <w:p>
      <w:pPr>
        <w:rPr>
          <w:rFonts w:hint="eastAsia" w:ascii="宋体" w:hAnsi="宋体" w:eastAsia="宋体" w:cs="宋体"/>
          <w:kern w:val="2"/>
          <w:sz w:val="24"/>
          <w:szCs w:val="24"/>
        </w:rPr>
      </w:pPr>
      <w:r>
        <w:rPr>
          <w:rFonts w:hint="eastAsia" w:ascii="宋体" w:hAnsi="宋体" w:eastAsia="宋体" w:cs="宋体"/>
          <w:kern w:val="2"/>
          <w:sz w:val="24"/>
          <w:szCs w:val="24"/>
        </w:rPr>
        <w:t>6.4在质保期内，供应商对所投产品提供每年不少于</w:t>
      </w:r>
      <w:r>
        <w:rPr>
          <w:rFonts w:hint="eastAsia" w:ascii="宋体" w:hAnsi="宋体" w:eastAsia="宋体" w:cs="宋体"/>
          <w:kern w:val="2"/>
          <w:sz w:val="24"/>
          <w:szCs w:val="24"/>
          <w:lang w:val="en-US" w:eastAsia="zh-CN"/>
        </w:rPr>
        <w:t>2</w:t>
      </w:r>
      <w:r>
        <w:rPr>
          <w:rFonts w:hint="eastAsia" w:ascii="宋体" w:hAnsi="宋体" w:eastAsia="宋体" w:cs="宋体"/>
          <w:kern w:val="2"/>
          <w:sz w:val="24"/>
          <w:szCs w:val="24"/>
        </w:rPr>
        <w:t xml:space="preserve">次的巡检和维护保养。当采购人有重要活动时，供应商应当提供现场技术保障服务。 </w:t>
      </w:r>
    </w:p>
    <w:p>
      <w:pPr>
        <w:rPr>
          <w:rFonts w:hint="eastAsia" w:ascii="宋体" w:hAnsi="宋体" w:eastAsia="宋体" w:cs="宋体"/>
          <w:kern w:val="2"/>
          <w:sz w:val="24"/>
          <w:szCs w:val="24"/>
        </w:rPr>
      </w:pPr>
      <w:r>
        <w:rPr>
          <w:rFonts w:hint="eastAsia" w:ascii="宋体" w:hAnsi="宋体" w:eastAsia="宋体" w:cs="宋体"/>
          <w:kern w:val="2"/>
          <w:sz w:val="24"/>
          <w:szCs w:val="24"/>
        </w:rPr>
        <w:t xml:space="preserve">6.5供应商在质保期内，项目全部货物的各种部件均保证齐备、充足供应，若因货物升级更新等原因不能保障供应造成采购人损失的，供应商承担全部赔偿责任。 </w:t>
      </w:r>
    </w:p>
    <w:p>
      <w:pPr>
        <w:rPr>
          <w:rFonts w:hint="eastAsia" w:ascii="宋体" w:hAnsi="宋体" w:eastAsia="宋体" w:cs="宋体"/>
          <w:kern w:val="2"/>
          <w:sz w:val="24"/>
          <w:szCs w:val="24"/>
        </w:rPr>
      </w:pPr>
      <w:r>
        <w:rPr>
          <w:rFonts w:hint="eastAsia" w:ascii="宋体" w:hAnsi="宋体" w:eastAsia="宋体" w:cs="宋体"/>
          <w:kern w:val="2"/>
          <w:sz w:val="24"/>
          <w:szCs w:val="24"/>
        </w:rPr>
        <w:t>6.6为确保本项目采购设备售后服务稳定可靠，投标时供应商承诺中标后与采购人签订合同前，中标人必须提供生产厂家针对该项目售后服务承诺函原件。</w:t>
      </w:r>
    </w:p>
    <w:p>
      <w:pPr>
        <w:rPr>
          <w:rFonts w:hint="eastAsia" w:ascii="宋体" w:hAnsi="宋体" w:eastAsia="宋体" w:cs="宋体"/>
          <w:kern w:val="2"/>
          <w:sz w:val="24"/>
          <w:szCs w:val="24"/>
        </w:rPr>
      </w:pPr>
      <w:r>
        <w:rPr>
          <w:rFonts w:hint="eastAsia" w:ascii="宋体" w:hAnsi="宋体" w:eastAsia="宋体" w:cs="宋体"/>
          <w:kern w:val="2"/>
          <w:sz w:val="24"/>
          <w:szCs w:val="24"/>
        </w:rPr>
        <w:t xml:space="preserve">7、验收标准 </w:t>
      </w:r>
    </w:p>
    <w:p>
      <w:pPr>
        <w:rPr>
          <w:rFonts w:hint="eastAsia" w:ascii="宋体" w:hAnsi="宋体" w:eastAsia="宋体" w:cs="宋体"/>
          <w:kern w:val="2"/>
          <w:sz w:val="24"/>
          <w:szCs w:val="24"/>
          <w:highlight w:val="none"/>
        </w:rPr>
      </w:pPr>
      <w:r>
        <w:rPr>
          <w:rFonts w:hint="eastAsia" w:ascii="宋体" w:hAnsi="宋体" w:eastAsia="宋体" w:cs="宋体"/>
          <w:kern w:val="2"/>
          <w:sz w:val="24"/>
          <w:szCs w:val="24"/>
        </w:rPr>
        <w:t>7.1严格按照《财政部关于进一步加强政府采购需求和履约验收管理的指导意见》（财库〔2016〕205号）的要求进行验收。</w:t>
      </w:r>
    </w:p>
    <w:p>
      <w:pPr>
        <w:rPr>
          <w:rFonts w:hint="eastAsia" w:ascii="宋体" w:hAnsi="宋体" w:eastAsia="宋体" w:cs="宋体"/>
          <w:b w:val="0"/>
          <w:bCs w:val="0"/>
          <w:kern w:val="2"/>
          <w:sz w:val="24"/>
          <w:szCs w:val="24"/>
          <w:highlight w:val="none"/>
        </w:rPr>
      </w:pPr>
      <w:r>
        <w:rPr>
          <w:rFonts w:hint="eastAsia" w:ascii="宋体" w:hAnsi="宋体" w:eastAsia="宋体" w:cs="宋体"/>
          <w:b w:val="0"/>
          <w:bCs w:val="0"/>
          <w:kern w:val="2"/>
          <w:sz w:val="24"/>
          <w:szCs w:val="24"/>
          <w:highlight w:val="none"/>
        </w:rPr>
        <w:t>7.2中标人交货后，采购人自行组织产品验收。</w:t>
      </w:r>
      <w:r>
        <w:rPr>
          <w:rFonts w:hint="eastAsia" w:ascii="宋体" w:hAnsi="宋体" w:eastAsia="宋体" w:cs="宋体"/>
          <w:b/>
          <w:bCs/>
          <w:kern w:val="2"/>
          <w:sz w:val="24"/>
          <w:szCs w:val="24"/>
          <w:highlight w:val="none"/>
        </w:rPr>
        <w:t>中标人应当多提供</w:t>
      </w:r>
      <w:r>
        <w:rPr>
          <w:rFonts w:hint="eastAsia" w:ascii="宋体" w:hAnsi="宋体" w:eastAsia="宋体" w:cs="宋体"/>
          <w:b/>
          <w:bCs/>
          <w:kern w:val="2"/>
          <w:sz w:val="24"/>
          <w:szCs w:val="24"/>
          <w:highlight w:val="none"/>
          <w:lang w:val="en-US" w:eastAsia="zh-CN"/>
        </w:rPr>
        <w:t>3</w:t>
      </w:r>
      <w:r>
        <w:rPr>
          <w:rFonts w:hint="eastAsia" w:ascii="宋体" w:hAnsi="宋体" w:eastAsia="宋体" w:cs="宋体"/>
          <w:b/>
          <w:bCs/>
          <w:kern w:val="2"/>
          <w:sz w:val="24"/>
          <w:szCs w:val="24"/>
          <w:highlight w:val="none"/>
        </w:rPr>
        <w:t>顶 模组式防弹头盔供采购人用于验收。验收内容如下：从所有模组式防弹头盔中随机抽取</w:t>
      </w:r>
      <w:r>
        <w:rPr>
          <w:rFonts w:hint="eastAsia" w:ascii="宋体" w:hAnsi="宋体" w:eastAsia="宋体" w:cs="宋体"/>
          <w:b/>
          <w:bCs/>
          <w:kern w:val="2"/>
          <w:sz w:val="24"/>
          <w:szCs w:val="24"/>
          <w:highlight w:val="none"/>
          <w:lang w:val="en-US" w:eastAsia="zh-CN"/>
        </w:rPr>
        <w:t>3</w:t>
      </w:r>
      <w:r>
        <w:rPr>
          <w:rFonts w:hint="eastAsia" w:ascii="宋体" w:hAnsi="宋体" w:eastAsia="宋体" w:cs="宋体"/>
          <w:b/>
          <w:bCs/>
          <w:kern w:val="2"/>
          <w:sz w:val="24"/>
          <w:szCs w:val="24"/>
          <w:highlight w:val="none"/>
        </w:rPr>
        <w:t>顶作为验收产品，进行实弹测试</w:t>
      </w:r>
      <w:r>
        <w:rPr>
          <w:rFonts w:hint="eastAsia" w:ascii="宋体" w:hAnsi="宋体" w:eastAsia="宋体" w:cs="宋体"/>
          <w:b w:val="0"/>
          <w:bCs w:val="0"/>
          <w:kern w:val="2"/>
          <w:sz w:val="24"/>
          <w:szCs w:val="24"/>
          <w:highlight w:val="none"/>
        </w:rPr>
        <w:t>，采用《GA293-2012警用防弹头盔及面罩》标准要求，参考《GA141-2010警用防弹衣》标准中GA3级及以上要求进行测试。若出现任何数量或质量问题，由投标人承担所有责任，同时采购人有权追究投标人的经济和法律责任。</w:t>
      </w:r>
    </w:p>
    <w:p>
      <w:pPr>
        <w:widowControl/>
        <w:spacing w:after="148"/>
        <w:ind w:firstLine="241" w:firstLineChars="100"/>
        <w:jc w:val="left"/>
        <w:rPr>
          <w:rFonts w:hint="eastAsia" w:hAnsi="宋体" w:cs="宋体"/>
          <w:b/>
          <w:bCs/>
          <w:color w:val="auto"/>
          <w:sz w:val="24"/>
          <w:szCs w:val="24"/>
          <w:highlight w:val="none"/>
        </w:rPr>
      </w:pPr>
      <w:r>
        <w:rPr>
          <w:rFonts w:hint="eastAsia" w:ascii="宋体" w:hAnsi="宋体" w:eastAsia="宋体" w:cs="宋体"/>
          <w:b/>
          <w:bCs/>
          <w:kern w:val="2"/>
          <w:sz w:val="24"/>
          <w:szCs w:val="24"/>
          <w:highlight w:val="none"/>
        </w:rPr>
        <w:t>7.3供货时须多提供</w:t>
      </w:r>
      <w:r>
        <w:rPr>
          <w:rFonts w:hint="eastAsia" w:ascii="宋体" w:hAnsi="宋体" w:eastAsia="宋体" w:cs="宋体"/>
          <w:b/>
          <w:bCs/>
          <w:kern w:val="2"/>
          <w:sz w:val="24"/>
          <w:szCs w:val="24"/>
          <w:highlight w:val="none"/>
          <w:lang w:val="en-US" w:eastAsia="zh-CN"/>
        </w:rPr>
        <w:t>3</w:t>
      </w:r>
      <w:r>
        <w:rPr>
          <w:rFonts w:hint="eastAsia" w:ascii="宋体" w:hAnsi="宋体" w:eastAsia="宋体" w:cs="宋体"/>
          <w:b/>
          <w:bCs/>
          <w:kern w:val="2"/>
          <w:sz w:val="24"/>
          <w:szCs w:val="24"/>
          <w:highlight w:val="none"/>
        </w:rPr>
        <w:t>顶模组式防弹头盔进行随机抽样实弹检测，报价时须包含该随机抽样样品费用。</w:t>
      </w:r>
    </w:p>
    <w:p>
      <w:pPr>
        <w:widowControl/>
        <w:spacing w:after="148"/>
        <w:ind w:firstLine="562" w:firstLineChars="200"/>
        <w:jc w:val="left"/>
        <w:rPr>
          <w:rFonts w:hint="eastAsia" w:hAnsi="宋体" w:cs="宋体"/>
          <w:b/>
          <w:bCs/>
          <w:color w:val="auto"/>
          <w:sz w:val="28"/>
          <w:szCs w:val="28"/>
          <w:highlight w:val="none"/>
        </w:rPr>
      </w:pPr>
    </w:p>
    <w:p>
      <w:r>
        <w:rPr>
          <w:rFonts w:hint="eastAsia" w:hAnsi="宋体" w:cs="宋体"/>
          <w:b/>
          <w:bCs/>
          <w:color w:val="auto"/>
          <w:sz w:val="28"/>
          <w:szCs w:val="28"/>
          <w:highlight w:val="none"/>
        </w:rPr>
        <w:t>注：1、若技术要求中指定或变相指定品牌、型号、产地等均不作为招标要求。</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E2D1C8"/>
    <w:multiLevelType w:val="singleLevel"/>
    <w:tmpl w:val="4DE2D1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FE67EB"/>
    <w:rsid w:val="18FE6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szCs w:val="22"/>
      <w:lang w:val="en-US" w:eastAsia="zh-CN" w:bidi="ar-SA"/>
    </w:rPr>
  </w:style>
  <w:style w:type="paragraph" w:styleId="2">
    <w:name w:val="heading 2"/>
    <w:basedOn w:val="1"/>
    <w:next w:val="1"/>
    <w:qFormat/>
    <w:uiPriority w:val="0"/>
    <w:pPr>
      <w:keepNext/>
      <w:keepLines/>
      <w:widowControl w:val="0"/>
      <w:spacing w:before="260" w:after="260" w:line="415" w:lineRule="auto"/>
      <w:outlineLvl w:val="1"/>
    </w:pPr>
    <w:rPr>
      <w:rFonts w:ascii="Times New Roman" w:eastAsia="Times New Roman"/>
      <w:bCs/>
      <w:kern w:val="2"/>
      <w:sz w:val="24"/>
      <w:szCs w:val="32"/>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首行缩进"/>
    <w:basedOn w:val="1"/>
    <w:qFormat/>
    <w:uiPriority w:val="0"/>
    <w:pPr>
      <w:spacing w:after="50" w:afterLines="50" w:line="300" w:lineRule="auto"/>
      <w:ind w:firstLine="20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2021-11-25T02:16:00Z</dcterms:created>
  <dc:creator>ZYZB</dc:creator>
  <cp:lastModifiedBy>ZYZB</cp:lastModifiedBy>
  <dcterms:modified xsi:type="dcterms:W3CDTF">2021-11-25T02:17:22Z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68C2D2EFBF784313BD858B51B3B69210</vt:lpwstr>
  </property>
</Properties>
</file>