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E4" w:rsidRDefault="007008E4" w:rsidP="007008E4">
      <w:pPr>
        <w:pStyle w:val="aa"/>
        <w:rPr>
          <w:rFonts w:ascii="仿宋" w:eastAsia="仿宋" w:hAnsi="仿宋"/>
        </w:rPr>
      </w:pPr>
      <w:bookmarkStart w:id="0" w:name="_Toc511206479"/>
      <w:r>
        <w:rPr>
          <w:rFonts w:ascii="仿宋" w:eastAsia="仿宋" w:hAnsi="仿宋" w:hint="eastAsia"/>
        </w:rPr>
        <w:t>第五章  采购项目技术、服务、政府采购合同内容条款及其他商务要求</w:t>
      </w:r>
      <w:bookmarkEnd w:id="0"/>
    </w:p>
    <w:p w:rsidR="007008E4" w:rsidRDefault="007008E4" w:rsidP="007008E4">
      <w:pPr>
        <w:spacing w:line="400" w:lineRule="exact"/>
        <w:ind w:firstLineChars="49" w:firstLine="118"/>
        <w:jc w:val="left"/>
        <w:rPr>
          <w:rFonts w:ascii="仿宋" w:eastAsia="仿宋" w:hAnsi="仿宋"/>
          <w:sz w:val="24"/>
        </w:rPr>
      </w:pPr>
    </w:p>
    <w:p w:rsidR="007008E4" w:rsidRDefault="007008E4" w:rsidP="007008E4">
      <w:pPr>
        <w:spacing w:line="400" w:lineRule="exact"/>
        <w:ind w:firstLineChars="49" w:firstLine="118"/>
        <w:jc w:val="left"/>
        <w:rPr>
          <w:rFonts w:ascii="仿宋" w:eastAsia="仿宋" w:hAnsi="仿宋"/>
          <w:sz w:val="24"/>
        </w:rPr>
      </w:pPr>
      <w:bookmarkStart w:id="1" w:name="PO_默认文件内容_27"/>
      <w:r>
        <w:rPr>
          <w:rFonts w:ascii="仿宋" w:eastAsia="仿宋" w:hAnsi="仿宋" w:hint="eastAsia"/>
          <w:sz w:val="24"/>
        </w:rPr>
        <w:t>前提：</w:t>
      </w:r>
      <w:r>
        <w:rPr>
          <w:rFonts w:ascii="仿宋" w:eastAsia="仿宋" w:hAnsi="仿宋"/>
          <w:sz w:val="24"/>
        </w:rPr>
        <w:t>本章采购需求中标注“*”号的条款为本次磋商采购项目的实质性要求，供应商应全部满足。</w:t>
      </w:r>
    </w:p>
    <w:p w:rsidR="007008E4" w:rsidRDefault="007008E4" w:rsidP="007008E4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一、项目概述</w:t>
      </w:r>
    </w:p>
    <w:p w:rsidR="007008E4" w:rsidRDefault="007008E4" w:rsidP="007008E4">
      <w:pPr>
        <w:spacing w:line="360" w:lineRule="auto"/>
        <w:ind w:firstLineChars="200" w:firstLine="464"/>
        <w:rPr>
          <w:rFonts w:ascii="仿宋" w:eastAsia="仿宋" w:hAnsi="仿宋"/>
          <w:spacing w:val="-4"/>
          <w:sz w:val="24"/>
        </w:rPr>
      </w:pPr>
      <w:r w:rsidRPr="00E336AE">
        <w:rPr>
          <w:rFonts w:ascii="仿宋" w:eastAsia="仿宋" w:hAnsi="仿宋" w:hint="eastAsia"/>
          <w:spacing w:val="-4"/>
          <w:sz w:val="24"/>
        </w:rPr>
        <w:t>根据《四川省林业和草原局关于开展2021年森林督查暨森林资源管理“一张图”年度更新工作的通知》（</w:t>
      </w:r>
      <w:proofErr w:type="gramStart"/>
      <w:r w:rsidRPr="00E336AE">
        <w:rPr>
          <w:rFonts w:ascii="仿宋" w:eastAsia="仿宋" w:hAnsi="仿宋" w:hint="eastAsia"/>
          <w:spacing w:val="-4"/>
          <w:sz w:val="24"/>
        </w:rPr>
        <w:t>川林资函</w:t>
      </w:r>
      <w:proofErr w:type="gramEnd"/>
      <w:r w:rsidRPr="00E336AE">
        <w:rPr>
          <w:rFonts w:ascii="仿宋" w:eastAsia="仿宋" w:hAnsi="仿宋" w:hint="eastAsia"/>
          <w:spacing w:val="-4"/>
          <w:sz w:val="24"/>
        </w:rPr>
        <w:t>〔2021〕375号）和《四川省林业和草原局办公室关于监测统计2021年度森林资源变化情况的通知》（</w:t>
      </w:r>
      <w:proofErr w:type="gramStart"/>
      <w:r w:rsidRPr="00E336AE">
        <w:rPr>
          <w:rFonts w:ascii="仿宋" w:eastAsia="仿宋" w:hAnsi="仿宋" w:hint="eastAsia"/>
          <w:spacing w:val="-4"/>
          <w:sz w:val="24"/>
        </w:rPr>
        <w:t>川林办</w:t>
      </w:r>
      <w:proofErr w:type="gramEnd"/>
      <w:r w:rsidRPr="00E336AE">
        <w:rPr>
          <w:rFonts w:ascii="仿宋" w:eastAsia="仿宋" w:hAnsi="仿宋" w:hint="eastAsia"/>
          <w:spacing w:val="-4"/>
          <w:sz w:val="24"/>
        </w:rPr>
        <w:t>〔2021〕90号）文件内容，按照省政府对市（州）人民政府目标管理及省委办公厅、省政府办公厅《关于＜四川省县域经济发展先进县考评办法＞的通知》（川委办〔2021〕14号）要求，为及时掌握全市范围内森林、林地数量、质量变化情况，提升全市森林、林地资源保护及管理水平，需每年对全市范围内森林、林地变化情况，森林督查图斑，国家、省级林业主管部门督查案件，各区（市）县上报的森林资源增长目标任务进行现地核查，并编制相关核查报告和监测报告。</w:t>
      </w:r>
    </w:p>
    <w:p w:rsidR="007008E4" w:rsidRPr="00B25A1F" w:rsidRDefault="007008E4" w:rsidP="007008E4">
      <w:pPr>
        <w:spacing w:line="360" w:lineRule="auto"/>
        <w:ind w:firstLineChars="200" w:firstLine="464"/>
        <w:rPr>
          <w:rFonts w:ascii="仿宋" w:eastAsia="仿宋" w:hAnsi="仿宋"/>
          <w:spacing w:val="-4"/>
          <w:sz w:val="24"/>
        </w:rPr>
      </w:pPr>
      <w:r w:rsidRPr="00E336AE">
        <w:rPr>
          <w:rFonts w:ascii="仿宋" w:eastAsia="仿宋" w:hAnsi="仿宋" w:hint="eastAsia"/>
          <w:spacing w:val="-4"/>
          <w:sz w:val="24"/>
        </w:rPr>
        <w:t>对全市范围内森林、林地、林木资源变化情况进行现地核查，及时掌握全市范围内森林、林地、林木变化情况，及时发现和处置违法违规使用林地林木行为，从而提升全市森林、林地资源保护及管理水平，夯实成都生态本底，建设美丽宜居公园城市。</w:t>
      </w:r>
    </w:p>
    <w:p w:rsidR="007008E4" w:rsidRDefault="007008E4" w:rsidP="007008E4">
      <w:pPr>
        <w:spacing w:after="120" w:line="440" w:lineRule="exact"/>
        <w:ind w:firstLineChars="200" w:firstLine="464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>本项目</w:t>
      </w:r>
      <w:r>
        <w:rPr>
          <w:rFonts w:ascii="仿宋" w:eastAsia="仿宋" w:hAnsi="仿宋"/>
          <w:spacing w:val="-4"/>
          <w:sz w:val="24"/>
        </w:rPr>
        <w:t>共</w:t>
      </w:r>
      <w:r>
        <w:rPr>
          <w:rFonts w:ascii="仿宋" w:eastAsia="仿宋" w:hAnsi="仿宋" w:hint="eastAsia"/>
          <w:spacing w:val="-4"/>
          <w:sz w:val="24"/>
        </w:rPr>
        <w:t>1个</w:t>
      </w:r>
      <w:r>
        <w:rPr>
          <w:rFonts w:ascii="仿宋" w:eastAsia="仿宋" w:hAnsi="仿宋"/>
          <w:spacing w:val="-4"/>
          <w:sz w:val="24"/>
        </w:rPr>
        <w:t>包,具体情况如下:</w:t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726"/>
        <w:gridCol w:w="6112"/>
        <w:gridCol w:w="1684"/>
      </w:tblGrid>
      <w:tr w:rsidR="007008E4" w:rsidTr="00881FDF">
        <w:tc>
          <w:tcPr>
            <w:tcW w:w="426" w:type="pct"/>
            <w:vAlign w:val="center"/>
          </w:tcPr>
          <w:p w:rsidR="007008E4" w:rsidRDefault="007008E4" w:rsidP="00881FD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包号</w:t>
            </w:r>
            <w:proofErr w:type="gramEnd"/>
          </w:p>
        </w:tc>
        <w:tc>
          <w:tcPr>
            <w:tcW w:w="3586" w:type="pct"/>
            <w:vAlign w:val="center"/>
          </w:tcPr>
          <w:p w:rsidR="007008E4" w:rsidRDefault="007008E4" w:rsidP="00881F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标的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988" w:type="pct"/>
            <w:vAlign w:val="center"/>
          </w:tcPr>
          <w:p w:rsidR="007008E4" w:rsidRDefault="007008E4" w:rsidP="00881F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</w:tr>
      <w:tr w:rsidR="007008E4" w:rsidTr="00881FDF">
        <w:tc>
          <w:tcPr>
            <w:tcW w:w="426" w:type="pct"/>
            <w:vAlign w:val="center"/>
          </w:tcPr>
          <w:p w:rsidR="007008E4" w:rsidRDefault="007008E4" w:rsidP="00881F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586" w:type="pct"/>
            <w:vAlign w:val="center"/>
          </w:tcPr>
          <w:p w:rsidR="007008E4" w:rsidRDefault="007008E4" w:rsidP="00881FDF">
            <w:pPr>
              <w:jc w:val="center"/>
              <w:rPr>
                <w:rFonts w:ascii="仿宋" w:eastAsia="仿宋" w:hAnsi="仿宋"/>
                <w:sz w:val="24"/>
              </w:rPr>
            </w:pPr>
            <w:bookmarkStart w:id="2" w:name="_GoBack"/>
            <w:r>
              <w:rPr>
                <w:rFonts w:ascii="仿宋" w:eastAsia="仿宋" w:hAnsi="仿宋" w:hint="eastAsia"/>
                <w:sz w:val="24"/>
              </w:rPr>
              <w:t>森林资源监测与现地核查技术服务</w:t>
            </w:r>
            <w:bookmarkEnd w:id="2"/>
          </w:p>
        </w:tc>
        <w:tc>
          <w:tcPr>
            <w:tcW w:w="988" w:type="pct"/>
            <w:vAlign w:val="center"/>
          </w:tcPr>
          <w:p w:rsidR="007008E4" w:rsidRDefault="007008E4" w:rsidP="00881F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农、林、牧、渔业</w:t>
            </w:r>
          </w:p>
        </w:tc>
      </w:tr>
    </w:tbl>
    <w:p w:rsidR="007008E4" w:rsidRDefault="007008E4" w:rsidP="007008E4">
      <w:pPr>
        <w:keepNext/>
        <w:keepLines/>
        <w:spacing w:before="260" w:after="260" w:line="400" w:lineRule="exact"/>
        <w:ind w:firstLineChars="98" w:firstLine="235"/>
        <w:outlineLvl w:val="1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sz w:val="24"/>
        </w:rPr>
        <w:t>*</w:t>
      </w:r>
      <w:r>
        <w:rPr>
          <w:rFonts w:ascii="仿宋" w:eastAsia="仿宋" w:hAnsi="仿宋" w:hint="eastAsia"/>
          <w:b/>
          <w:bCs/>
          <w:sz w:val="24"/>
        </w:rPr>
        <w:t>二、</w:t>
      </w:r>
      <w:r>
        <w:rPr>
          <w:rFonts w:ascii="仿宋" w:eastAsia="仿宋" w:hAnsi="仿宋"/>
          <w:b/>
          <w:bCs/>
          <w:sz w:val="24"/>
        </w:rPr>
        <w:t>商务要求</w:t>
      </w:r>
    </w:p>
    <w:p w:rsidR="007008E4" w:rsidRDefault="007008E4" w:rsidP="007008E4">
      <w:pPr>
        <w:spacing w:line="400" w:lineRule="exact"/>
        <w:ind w:firstLineChars="130" w:firstLine="31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（一）服务期限：</w:t>
      </w:r>
      <w:r w:rsidRPr="00E336AE">
        <w:rPr>
          <w:rFonts w:ascii="仿宋" w:eastAsia="仿宋" w:hAnsi="仿宋" w:hint="eastAsia"/>
          <w:sz w:val="24"/>
        </w:rPr>
        <w:t>合同签订之日起至2021年12月20日前。</w:t>
      </w:r>
    </w:p>
    <w:p w:rsidR="007008E4" w:rsidRDefault="007008E4" w:rsidP="007008E4">
      <w:pPr>
        <w:spacing w:line="400" w:lineRule="exact"/>
        <w:ind w:leftChars="148" w:left="2111" w:hangingChars="750" w:hanging="18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（二）进度安排：</w:t>
      </w:r>
    </w:p>
    <w:p w:rsidR="007008E4" w:rsidRPr="00D51693" w:rsidRDefault="007008E4" w:rsidP="007008E4">
      <w:pPr>
        <w:spacing w:line="400" w:lineRule="exact"/>
        <w:ind w:left="840" w:hangingChars="350" w:hanging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</w:t>
      </w:r>
      <w:r w:rsidRPr="00D51693">
        <w:rPr>
          <w:rFonts w:ascii="仿宋" w:eastAsia="仿宋" w:hAnsi="仿宋" w:hint="eastAsia"/>
          <w:sz w:val="24"/>
        </w:rPr>
        <w:t>1、2021年1</w:t>
      </w:r>
      <w:r>
        <w:rPr>
          <w:rFonts w:ascii="仿宋" w:eastAsia="仿宋" w:hAnsi="仿宋"/>
          <w:sz w:val="24"/>
        </w:rPr>
        <w:t>2</w:t>
      </w:r>
      <w:r w:rsidRPr="00D51693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1</w:t>
      </w:r>
      <w:r w:rsidRPr="00D51693">
        <w:rPr>
          <w:rFonts w:ascii="仿宋" w:eastAsia="仿宋" w:hAnsi="仿宋" w:hint="eastAsia"/>
          <w:sz w:val="24"/>
        </w:rPr>
        <w:t>0日前，完成全市森林督查</w:t>
      </w:r>
      <w:proofErr w:type="gramStart"/>
      <w:r w:rsidRPr="00D51693">
        <w:rPr>
          <w:rFonts w:ascii="仿宋" w:eastAsia="仿宋" w:hAnsi="仿宋" w:hint="eastAsia"/>
          <w:sz w:val="24"/>
        </w:rPr>
        <w:t>疑似图斑</w:t>
      </w:r>
      <w:proofErr w:type="gramEnd"/>
      <w:r w:rsidRPr="00D51693">
        <w:rPr>
          <w:rFonts w:ascii="仿宋" w:eastAsia="仿宋" w:hAnsi="仿宋" w:hint="eastAsia"/>
          <w:sz w:val="24"/>
        </w:rPr>
        <w:t>现地核查和森林资源变化情况现地核查。</w:t>
      </w:r>
    </w:p>
    <w:p w:rsidR="007008E4" w:rsidRDefault="007008E4" w:rsidP="007008E4">
      <w:pPr>
        <w:spacing w:line="400" w:lineRule="exact"/>
        <w:ind w:leftChars="399" w:left="838"/>
        <w:rPr>
          <w:rFonts w:ascii="仿宋" w:eastAsia="仿宋" w:hAnsi="仿宋"/>
          <w:sz w:val="24"/>
        </w:rPr>
      </w:pPr>
      <w:r w:rsidRPr="00D51693">
        <w:rPr>
          <w:rFonts w:ascii="仿宋" w:eastAsia="仿宋" w:hAnsi="仿宋" w:hint="eastAsia"/>
          <w:sz w:val="24"/>
        </w:rPr>
        <w:lastRenderedPageBreak/>
        <w:t>2、2021年12月20日前，完成上一年度市级森林资源监测报告，完成中央环保督查、国家、省市林业主管部门下发的重点督办涉林案件现地核查，完成市级各类建设项目使用林地的审查。</w:t>
      </w:r>
    </w:p>
    <w:p w:rsidR="007008E4" w:rsidRDefault="007008E4" w:rsidP="007008E4">
      <w:pPr>
        <w:spacing w:line="400" w:lineRule="exact"/>
        <w:ind w:firstLineChars="130" w:firstLine="31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（三）后续服务期：完成验收后一年，至少配置一名后期服务人员。</w:t>
      </w:r>
    </w:p>
    <w:p w:rsidR="007008E4" w:rsidRDefault="007008E4" w:rsidP="007008E4">
      <w:pPr>
        <w:spacing w:line="400" w:lineRule="exact"/>
        <w:ind w:firstLineChars="130" w:firstLine="31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（四）服务地点：成都市。</w:t>
      </w:r>
    </w:p>
    <w:p w:rsidR="007008E4" w:rsidRDefault="007008E4" w:rsidP="007008E4">
      <w:pPr>
        <w:spacing w:line="400" w:lineRule="exact"/>
        <w:ind w:firstLineChars="130" w:firstLine="31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（五）付款方式及条件</w:t>
      </w:r>
      <w:r w:rsidRPr="00E336AE">
        <w:rPr>
          <w:rFonts w:ascii="仿宋" w:eastAsia="仿宋" w:hAnsi="仿宋" w:hint="eastAsia"/>
          <w:color w:val="000000" w:themeColor="text1"/>
          <w:sz w:val="24"/>
        </w:rPr>
        <w:t>：协议签订后5个工作日内支付合同总金额的50%，完成全部内容、验收合格后5个工作日内支付合同总金额的</w:t>
      </w:r>
      <w:r w:rsidRPr="00E336AE">
        <w:rPr>
          <w:rFonts w:ascii="仿宋" w:eastAsia="仿宋" w:hAnsi="仿宋"/>
          <w:color w:val="000000" w:themeColor="text1"/>
          <w:sz w:val="24"/>
        </w:rPr>
        <w:t>5</w:t>
      </w:r>
      <w:r w:rsidRPr="00E336AE">
        <w:rPr>
          <w:rFonts w:ascii="仿宋" w:eastAsia="仿宋" w:hAnsi="仿宋" w:hint="eastAsia"/>
          <w:color w:val="000000" w:themeColor="text1"/>
          <w:sz w:val="24"/>
        </w:rPr>
        <w:t>0%。</w:t>
      </w:r>
      <w:r>
        <w:rPr>
          <w:rFonts w:ascii="仿宋" w:eastAsia="仿宋" w:hAnsi="仿宋" w:hint="eastAsia"/>
          <w:sz w:val="24"/>
        </w:rPr>
        <w:t>（</w:t>
      </w:r>
      <w:r w:rsidRPr="00E336AE">
        <w:rPr>
          <w:rFonts w:ascii="仿宋" w:eastAsia="仿宋" w:hAnsi="仿宋" w:hint="eastAsia"/>
          <w:sz w:val="24"/>
        </w:rPr>
        <w:t>具体以实际合同约定为准。</w:t>
      </w:r>
      <w:r>
        <w:rPr>
          <w:rFonts w:ascii="仿宋" w:eastAsia="仿宋" w:hAnsi="仿宋" w:hint="eastAsia"/>
          <w:sz w:val="24"/>
        </w:rPr>
        <w:t>）</w:t>
      </w:r>
    </w:p>
    <w:p w:rsidR="007008E4" w:rsidRDefault="007008E4" w:rsidP="007008E4">
      <w:pPr>
        <w:spacing w:line="400" w:lineRule="exact"/>
        <w:ind w:leftChars="114" w:left="839" w:hangingChars="250" w:hanging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六）履约验收标准、时间及方式：供应商履约完成后，由采购人组织，严格按照政府采购相关法律法规和《财政部关于进一步加强政府采购需求和履约验收管理的指导意见》（财库〔2016〕205号）的要求及政府采购合同规定的技术、服务、安全标准进行验收。</w:t>
      </w:r>
    </w:p>
    <w:p w:rsidR="007008E4" w:rsidRDefault="007008E4" w:rsidP="007008E4">
      <w:pPr>
        <w:keepNext/>
        <w:keepLines/>
        <w:spacing w:before="260" w:after="260" w:line="400" w:lineRule="exact"/>
        <w:ind w:firstLineChars="98" w:firstLine="236"/>
        <w:outlineLvl w:val="1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</w:t>
      </w:r>
      <w:r>
        <w:rPr>
          <w:rFonts w:ascii="仿宋" w:eastAsia="仿宋" w:hAnsi="仿宋"/>
          <w:b/>
          <w:bCs/>
          <w:sz w:val="24"/>
        </w:rPr>
        <w:t>、技术、服务要求</w:t>
      </w:r>
    </w:p>
    <w:bookmarkEnd w:id="1"/>
    <w:p w:rsidR="007008E4" w:rsidRDefault="007008E4" w:rsidP="007008E4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（一）</w:t>
      </w:r>
      <w:r>
        <w:rPr>
          <w:rFonts w:ascii="仿宋" w:eastAsia="仿宋" w:hAnsi="仿宋" w:hint="eastAsia"/>
          <w:color w:val="000000"/>
          <w:sz w:val="24"/>
        </w:rPr>
        <w:t>具体技术、服务要求</w:t>
      </w:r>
    </w:p>
    <w:p w:rsidR="007008E4" w:rsidRPr="00053FEA" w:rsidRDefault="007008E4" w:rsidP="007008E4">
      <w:pPr>
        <w:spacing w:line="360" w:lineRule="auto"/>
        <w:ind w:firstLine="640"/>
        <w:rPr>
          <w:rFonts w:ascii="仿宋" w:eastAsia="仿宋" w:hAnsi="仿宋"/>
          <w:sz w:val="24"/>
        </w:rPr>
      </w:pPr>
      <w:r w:rsidRPr="00053FEA">
        <w:rPr>
          <w:rFonts w:ascii="仿宋" w:eastAsia="仿宋" w:hAnsi="仿宋" w:hint="eastAsia"/>
          <w:sz w:val="24"/>
        </w:rPr>
        <w:t>1、</w:t>
      </w:r>
      <w:r w:rsidRPr="00AF38DE">
        <w:rPr>
          <w:rFonts w:ascii="仿宋" w:eastAsia="仿宋" w:hAnsi="仿宋" w:hint="eastAsia"/>
          <w:sz w:val="24"/>
        </w:rPr>
        <w:t>森林督查</w:t>
      </w:r>
      <w:proofErr w:type="gramStart"/>
      <w:r w:rsidRPr="00AF38DE">
        <w:rPr>
          <w:rFonts w:ascii="仿宋" w:eastAsia="仿宋" w:hAnsi="仿宋" w:hint="eastAsia"/>
          <w:sz w:val="24"/>
        </w:rPr>
        <w:t>疑似图斑</w:t>
      </w:r>
      <w:proofErr w:type="gramEnd"/>
      <w:r w:rsidRPr="00AF38DE">
        <w:rPr>
          <w:rFonts w:ascii="仿宋" w:eastAsia="仿宋" w:hAnsi="仿宋" w:hint="eastAsia"/>
          <w:sz w:val="24"/>
        </w:rPr>
        <w:t>现地核查</w:t>
      </w:r>
    </w:p>
    <w:p w:rsidR="007008E4" w:rsidRPr="00053FEA" w:rsidRDefault="007008E4" w:rsidP="007008E4">
      <w:pPr>
        <w:spacing w:line="360" w:lineRule="auto"/>
        <w:ind w:firstLine="480"/>
        <w:rPr>
          <w:rFonts w:ascii="仿宋" w:eastAsia="仿宋" w:hAnsi="仿宋"/>
          <w:color w:val="000000"/>
          <w:sz w:val="24"/>
        </w:rPr>
      </w:pPr>
      <w:r w:rsidRPr="00AF38DE">
        <w:rPr>
          <w:rFonts w:ascii="仿宋" w:eastAsia="仿宋" w:hAnsi="仿宋" w:hint="eastAsia"/>
          <w:color w:val="000000"/>
          <w:sz w:val="24"/>
        </w:rPr>
        <w:t>从2018年开始，国家已连续三年开展森林督查工作， 2021年下发我市森林督查遥感</w:t>
      </w:r>
      <w:proofErr w:type="gramStart"/>
      <w:r w:rsidRPr="00AF38DE">
        <w:rPr>
          <w:rFonts w:ascii="仿宋" w:eastAsia="仿宋" w:hAnsi="仿宋" w:hint="eastAsia"/>
          <w:color w:val="000000"/>
          <w:sz w:val="24"/>
        </w:rPr>
        <w:t>判读图斑</w:t>
      </w:r>
      <w:proofErr w:type="gramEnd"/>
      <w:r w:rsidRPr="00AF38DE">
        <w:rPr>
          <w:rFonts w:ascii="仿宋" w:eastAsia="仿宋" w:hAnsi="仿宋" w:hint="eastAsia"/>
          <w:color w:val="000000"/>
          <w:sz w:val="24"/>
        </w:rPr>
        <w:t>1677个，涉及18个区（市）县，根据国家、省级林业主管部门要求，需辖区（市）县级单位自查进度督促、质量审核和问题查处整改督办，</w:t>
      </w:r>
      <w:proofErr w:type="gramStart"/>
      <w:r w:rsidRPr="00AF38DE">
        <w:rPr>
          <w:rFonts w:ascii="仿宋" w:eastAsia="仿宋" w:hAnsi="仿宋" w:hint="eastAsia"/>
          <w:color w:val="000000"/>
          <w:sz w:val="24"/>
        </w:rPr>
        <w:t>疑似图斑</w:t>
      </w:r>
      <w:proofErr w:type="gramEnd"/>
      <w:r w:rsidRPr="00AF38DE">
        <w:rPr>
          <w:rFonts w:ascii="仿宋" w:eastAsia="仿宋" w:hAnsi="仿宋" w:hint="eastAsia"/>
          <w:color w:val="000000"/>
          <w:sz w:val="24"/>
        </w:rPr>
        <w:t>市级抽查等工作；需完成各区（市）县上报2021年度国家森林督查变化图斑中涉及违法的图斑进行全部现地核查，对上报涉及不违法的图斑进行不低于3%现地抽查，编制核查报告，从而全面反映成都2021年森林督查质量情况。</w:t>
      </w:r>
    </w:p>
    <w:p w:rsidR="007008E4" w:rsidRPr="00053FEA" w:rsidRDefault="007008E4" w:rsidP="007008E4">
      <w:pPr>
        <w:spacing w:line="360" w:lineRule="auto"/>
        <w:ind w:firstLine="640"/>
        <w:rPr>
          <w:rFonts w:ascii="仿宋" w:eastAsia="仿宋" w:hAnsi="仿宋"/>
          <w:sz w:val="24"/>
        </w:rPr>
      </w:pPr>
      <w:r w:rsidRPr="00053FEA">
        <w:rPr>
          <w:rFonts w:ascii="仿宋" w:eastAsia="仿宋" w:hAnsi="仿宋" w:hint="eastAsia"/>
          <w:sz w:val="24"/>
        </w:rPr>
        <w:t>2、</w:t>
      </w:r>
      <w:r w:rsidRPr="00AF38DE">
        <w:rPr>
          <w:rFonts w:ascii="仿宋" w:eastAsia="仿宋" w:hAnsi="仿宋" w:hint="eastAsia"/>
          <w:sz w:val="24"/>
        </w:rPr>
        <w:t>森林资源变化情况现地核查</w:t>
      </w:r>
    </w:p>
    <w:p w:rsidR="007008E4" w:rsidRPr="00053FEA" w:rsidRDefault="007008E4" w:rsidP="007008E4">
      <w:pPr>
        <w:spacing w:line="360" w:lineRule="auto"/>
        <w:ind w:firstLine="480"/>
        <w:rPr>
          <w:rFonts w:ascii="仿宋" w:eastAsia="仿宋" w:hAnsi="仿宋"/>
          <w:color w:val="000000"/>
          <w:sz w:val="24"/>
        </w:rPr>
      </w:pPr>
      <w:r w:rsidRPr="00AF38DE">
        <w:rPr>
          <w:rFonts w:ascii="仿宋" w:eastAsia="仿宋" w:hAnsi="仿宋" w:hint="eastAsia"/>
          <w:color w:val="000000"/>
          <w:sz w:val="24"/>
        </w:rPr>
        <w:t>需完成核定省政府下达我市2021年度森林覆盖率、森林蓄积量目标任务完成情况，对各区（市）县上报的新增森林面积地块，新增森林蓄积量等进行现地核查，反映我市2021年森林覆盖率、森林蓄积量指标数据。</w:t>
      </w:r>
    </w:p>
    <w:p w:rsidR="007008E4" w:rsidRPr="00053FEA" w:rsidRDefault="007008E4" w:rsidP="007008E4">
      <w:pPr>
        <w:spacing w:line="360" w:lineRule="auto"/>
        <w:ind w:firstLine="640"/>
        <w:rPr>
          <w:rFonts w:ascii="仿宋" w:eastAsia="仿宋" w:hAnsi="仿宋"/>
          <w:sz w:val="24"/>
        </w:rPr>
      </w:pPr>
      <w:r w:rsidRPr="00053FEA">
        <w:rPr>
          <w:rFonts w:ascii="仿宋" w:eastAsia="仿宋" w:hAnsi="仿宋" w:hint="eastAsia"/>
          <w:sz w:val="24"/>
        </w:rPr>
        <w:t>3、</w:t>
      </w:r>
      <w:r w:rsidRPr="00AF38DE">
        <w:rPr>
          <w:rFonts w:ascii="仿宋" w:eastAsia="仿宋" w:hAnsi="仿宋" w:hint="eastAsia"/>
          <w:sz w:val="24"/>
        </w:rPr>
        <w:t>征收占用林地项目数据审查</w:t>
      </w:r>
    </w:p>
    <w:p w:rsidR="007008E4" w:rsidRPr="00053FEA" w:rsidRDefault="007008E4" w:rsidP="007008E4">
      <w:pPr>
        <w:spacing w:line="360" w:lineRule="auto"/>
        <w:ind w:firstLine="480"/>
        <w:rPr>
          <w:rFonts w:ascii="仿宋" w:eastAsia="仿宋" w:hAnsi="仿宋"/>
          <w:color w:val="000000"/>
          <w:sz w:val="24"/>
        </w:rPr>
      </w:pPr>
      <w:r w:rsidRPr="00AF38DE">
        <w:rPr>
          <w:rFonts w:ascii="仿宋" w:eastAsia="仿宋" w:hAnsi="仿宋" w:hint="eastAsia"/>
          <w:color w:val="000000"/>
          <w:sz w:val="24"/>
        </w:rPr>
        <w:t>根据《建设项目使用林地审核审批管理办法》《四川省建设项目使用林地评审办法》相关要求，需完成市级林业主管部门组织的长期使用林地建设项目的审查，反映建设项目涉</w:t>
      </w:r>
      <w:proofErr w:type="gramStart"/>
      <w:r w:rsidRPr="00AF38DE">
        <w:rPr>
          <w:rFonts w:ascii="仿宋" w:eastAsia="仿宋" w:hAnsi="仿宋" w:hint="eastAsia"/>
          <w:color w:val="000000"/>
          <w:sz w:val="24"/>
        </w:rPr>
        <w:t>林数量</w:t>
      </w:r>
      <w:proofErr w:type="gramEnd"/>
      <w:r w:rsidRPr="00AF38DE">
        <w:rPr>
          <w:rFonts w:ascii="仿宋" w:eastAsia="仿宋" w:hAnsi="仿宋" w:hint="eastAsia"/>
          <w:color w:val="000000"/>
          <w:sz w:val="24"/>
        </w:rPr>
        <w:t>和质量情况，</w:t>
      </w:r>
      <w:proofErr w:type="gramStart"/>
      <w:r w:rsidRPr="00AF38DE">
        <w:rPr>
          <w:rFonts w:ascii="仿宋" w:eastAsia="仿宋" w:hAnsi="仿宋" w:hint="eastAsia"/>
          <w:color w:val="000000"/>
          <w:sz w:val="24"/>
        </w:rPr>
        <w:t>矢量图层坐标系</w:t>
      </w:r>
      <w:proofErr w:type="gramEnd"/>
      <w:r w:rsidRPr="00AF38DE">
        <w:rPr>
          <w:rFonts w:ascii="仿宋" w:eastAsia="仿宋" w:hAnsi="仿宋" w:hint="eastAsia"/>
          <w:color w:val="000000"/>
          <w:sz w:val="24"/>
        </w:rPr>
        <w:t>是否正确，项目立项合理性，项目是否存在违法使用林地、采伐林木等情况。同时，完成市级林业主管</w:t>
      </w:r>
      <w:r w:rsidRPr="00AF38DE">
        <w:rPr>
          <w:rFonts w:ascii="仿宋" w:eastAsia="仿宋" w:hAnsi="仿宋" w:hint="eastAsia"/>
          <w:color w:val="000000"/>
          <w:sz w:val="24"/>
        </w:rPr>
        <w:lastRenderedPageBreak/>
        <w:t>部门交办的建设项目使用林地等预审查。</w:t>
      </w:r>
    </w:p>
    <w:p w:rsidR="007008E4" w:rsidRPr="00053FEA" w:rsidRDefault="007008E4" w:rsidP="007008E4">
      <w:pPr>
        <w:spacing w:line="360" w:lineRule="auto"/>
        <w:ind w:firstLine="640"/>
        <w:rPr>
          <w:rFonts w:ascii="仿宋" w:eastAsia="仿宋" w:hAnsi="仿宋"/>
          <w:sz w:val="24"/>
        </w:rPr>
      </w:pPr>
      <w:r w:rsidRPr="00053FEA">
        <w:rPr>
          <w:rFonts w:ascii="仿宋" w:eastAsia="仿宋" w:hAnsi="仿宋" w:hint="eastAsia"/>
          <w:sz w:val="24"/>
        </w:rPr>
        <w:t>4、</w:t>
      </w:r>
      <w:r w:rsidRPr="00AF38DE">
        <w:rPr>
          <w:rFonts w:ascii="仿宋" w:eastAsia="仿宋" w:hAnsi="仿宋" w:hint="eastAsia"/>
          <w:sz w:val="24"/>
        </w:rPr>
        <w:t>中央环保督查及国家、省市重点督办涉林案件现地核查</w:t>
      </w:r>
    </w:p>
    <w:p w:rsidR="007008E4" w:rsidRPr="00053FEA" w:rsidRDefault="007008E4" w:rsidP="007008E4">
      <w:pPr>
        <w:spacing w:line="360" w:lineRule="auto"/>
        <w:ind w:firstLine="480"/>
        <w:rPr>
          <w:rFonts w:ascii="仿宋" w:eastAsia="仿宋" w:hAnsi="仿宋"/>
          <w:color w:val="000000"/>
          <w:sz w:val="24"/>
        </w:rPr>
      </w:pPr>
      <w:r w:rsidRPr="00AF38DE">
        <w:rPr>
          <w:rFonts w:ascii="仿宋" w:eastAsia="仿宋" w:hAnsi="仿宋" w:hint="eastAsia"/>
          <w:color w:val="000000"/>
          <w:sz w:val="24"/>
        </w:rPr>
        <w:t>需完成中央环保督查交办的涉林案件现地核查报告，完成国家林草局驻成都专员办、省林草局、市公园城市局交办的重点督办涉林案件的现地核查工作，反映林地面积、林木数量和质量、是否涉及重点生态敏感区等内容。</w:t>
      </w:r>
    </w:p>
    <w:p w:rsidR="007008E4" w:rsidRPr="00053FEA" w:rsidRDefault="007008E4" w:rsidP="007008E4">
      <w:pPr>
        <w:spacing w:line="360" w:lineRule="auto"/>
        <w:ind w:firstLine="640"/>
        <w:rPr>
          <w:rFonts w:ascii="仿宋" w:eastAsia="仿宋" w:hAnsi="仿宋"/>
          <w:sz w:val="24"/>
        </w:rPr>
      </w:pPr>
      <w:r w:rsidRPr="00053FEA">
        <w:rPr>
          <w:rFonts w:ascii="仿宋" w:eastAsia="仿宋" w:hAnsi="仿宋" w:hint="eastAsia"/>
          <w:sz w:val="24"/>
        </w:rPr>
        <w:t>5、</w:t>
      </w:r>
      <w:r w:rsidRPr="00AF38DE">
        <w:rPr>
          <w:rFonts w:ascii="仿宋" w:eastAsia="仿宋" w:hAnsi="仿宋" w:hint="eastAsia"/>
          <w:sz w:val="24"/>
        </w:rPr>
        <w:t>森林资源监测报告</w:t>
      </w:r>
    </w:p>
    <w:p w:rsidR="007008E4" w:rsidRDefault="007008E4" w:rsidP="007008E4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AF38DE">
        <w:rPr>
          <w:rFonts w:ascii="仿宋" w:eastAsia="仿宋" w:hAnsi="仿宋" w:hint="eastAsia"/>
          <w:color w:val="000000"/>
          <w:sz w:val="24"/>
        </w:rPr>
        <w:t>按照《森林法》《成都市生态环境监测网络建设及责任分工工作方案》相关要求，监测全市森林、林木、林木情况，统计分析对各区（市）县森林面积、林地面积、森林蓄积量、森林覆盖率、林木绿化率现状及变化情况等，测算全市森林生态系统服务功能价值，反映全市全域增绿成果。</w:t>
      </w:r>
    </w:p>
    <w:p w:rsidR="007008E4" w:rsidRDefault="007008E4" w:rsidP="007008E4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（三）</w:t>
      </w:r>
      <w:r>
        <w:rPr>
          <w:rFonts w:ascii="仿宋" w:eastAsia="仿宋" w:hAnsi="仿宋" w:hint="eastAsia"/>
          <w:color w:val="000000"/>
          <w:sz w:val="24"/>
        </w:rPr>
        <w:t>成果文件要求</w:t>
      </w:r>
    </w:p>
    <w:p w:rsidR="007008E4" w:rsidRPr="007D4C7C" w:rsidRDefault="007008E4" w:rsidP="007008E4">
      <w:pPr>
        <w:spacing w:line="360" w:lineRule="auto"/>
        <w:ind w:firstLineChars="150" w:firstLine="360"/>
        <w:rPr>
          <w:rFonts w:ascii="仿宋" w:eastAsia="仿宋" w:hAnsi="仿宋" w:cs="等线"/>
          <w:color w:val="000000"/>
          <w:sz w:val="24"/>
        </w:rPr>
      </w:pPr>
      <w:r w:rsidRPr="007D4C7C">
        <w:rPr>
          <w:rFonts w:ascii="仿宋" w:eastAsia="仿宋" w:hAnsi="仿宋" w:cs="等线" w:hint="eastAsia"/>
          <w:color w:val="000000"/>
          <w:sz w:val="24"/>
        </w:rPr>
        <w:t>1、成都市2021年森林督查图斑市级核查报告，核查报告含文字、图、表、照片、航迹等；</w:t>
      </w:r>
    </w:p>
    <w:p w:rsidR="007008E4" w:rsidRPr="007D4C7C" w:rsidRDefault="007008E4" w:rsidP="007008E4">
      <w:pPr>
        <w:spacing w:line="360" w:lineRule="auto"/>
        <w:ind w:firstLineChars="150" w:firstLine="360"/>
        <w:rPr>
          <w:rFonts w:ascii="仿宋" w:eastAsia="仿宋" w:hAnsi="仿宋" w:cs="等线"/>
          <w:color w:val="000000"/>
          <w:sz w:val="24"/>
        </w:rPr>
      </w:pPr>
      <w:r w:rsidRPr="007D4C7C">
        <w:rPr>
          <w:rFonts w:ascii="仿宋" w:eastAsia="仿宋" w:hAnsi="仿宋" w:cs="等线" w:hint="eastAsia"/>
          <w:color w:val="000000"/>
          <w:sz w:val="24"/>
        </w:rPr>
        <w:t>2、成都市2021年森林资源变化情况市级核查报告，核查报告含文字、图、表、照片、航迹等；编制成都市森林资源监测报告；</w:t>
      </w:r>
    </w:p>
    <w:p w:rsidR="007008E4" w:rsidRPr="007D4C7C" w:rsidRDefault="007008E4" w:rsidP="007008E4">
      <w:pPr>
        <w:spacing w:line="360" w:lineRule="auto"/>
        <w:ind w:firstLineChars="150" w:firstLine="360"/>
        <w:rPr>
          <w:rFonts w:ascii="仿宋" w:eastAsia="仿宋" w:hAnsi="仿宋" w:cs="等线"/>
          <w:color w:val="000000"/>
          <w:sz w:val="24"/>
        </w:rPr>
      </w:pPr>
      <w:r w:rsidRPr="007D4C7C">
        <w:rPr>
          <w:rFonts w:ascii="仿宋" w:eastAsia="仿宋" w:hAnsi="仿宋" w:cs="等线" w:hint="eastAsia"/>
          <w:color w:val="000000"/>
          <w:sz w:val="24"/>
        </w:rPr>
        <w:t>3、成都市2021年各类林地征收占用项目和审批林地占用项目的审查报告；</w:t>
      </w:r>
    </w:p>
    <w:p w:rsidR="007008E4" w:rsidRPr="007D4C7C" w:rsidRDefault="007008E4" w:rsidP="007008E4">
      <w:pPr>
        <w:spacing w:line="360" w:lineRule="auto"/>
        <w:ind w:firstLineChars="150" w:firstLine="360"/>
        <w:rPr>
          <w:rFonts w:ascii="仿宋" w:eastAsia="仿宋" w:hAnsi="仿宋" w:cs="等线"/>
          <w:color w:val="000000"/>
          <w:sz w:val="24"/>
        </w:rPr>
      </w:pPr>
      <w:r w:rsidRPr="007D4C7C">
        <w:rPr>
          <w:rFonts w:ascii="仿宋" w:eastAsia="仿宋" w:hAnsi="仿宋" w:cs="等线" w:hint="eastAsia"/>
          <w:color w:val="000000"/>
          <w:sz w:val="24"/>
        </w:rPr>
        <w:t>4、成都市2021年环保督查及国家、省、市林业主管部门重点督办的林业案件外业核查工作的核查报告，核查报告含文字、图、表、照片等；</w:t>
      </w:r>
    </w:p>
    <w:p w:rsidR="007008E4" w:rsidRDefault="007008E4" w:rsidP="007008E4">
      <w:pPr>
        <w:spacing w:line="360" w:lineRule="auto"/>
        <w:ind w:firstLineChars="150" w:firstLine="360"/>
        <w:rPr>
          <w:rFonts w:ascii="仿宋" w:eastAsia="仿宋" w:hAnsi="仿宋"/>
          <w:b/>
          <w:sz w:val="24"/>
        </w:rPr>
      </w:pPr>
      <w:r w:rsidRPr="007D4C7C">
        <w:rPr>
          <w:rFonts w:ascii="仿宋" w:eastAsia="仿宋" w:hAnsi="仿宋" w:cs="等线" w:hint="eastAsia"/>
          <w:color w:val="000000"/>
          <w:sz w:val="24"/>
        </w:rPr>
        <w:t>5、成果文件形式：A4格式纸质报告各3套及电子版文件（U盘或光盘，文件格式PDF）各2套。</w:t>
      </w:r>
    </w:p>
    <w:p w:rsidR="007008E4" w:rsidRDefault="007008E4" w:rsidP="007008E4">
      <w:pPr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（四）</w:t>
      </w:r>
      <w:r>
        <w:rPr>
          <w:rFonts w:ascii="仿宋" w:eastAsia="仿宋" w:hAnsi="仿宋" w:hint="eastAsia"/>
          <w:color w:val="000000"/>
          <w:sz w:val="24"/>
        </w:rPr>
        <w:t>其他要求</w:t>
      </w:r>
    </w:p>
    <w:p w:rsidR="007008E4" w:rsidRPr="007D4C7C" w:rsidRDefault="007008E4" w:rsidP="007008E4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7D4C7C">
        <w:rPr>
          <w:rFonts w:ascii="仿宋" w:eastAsia="仿宋" w:hAnsi="仿宋" w:hint="eastAsia"/>
          <w:color w:val="000000"/>
          <w:sz w:val="24"/>
        </w:rPr>
        <w:t>1、供应商应具有针对本项目的服务方案，内容包括：项目实施方案、项目管理制度、进度控制措施、质量保证措施；</w:t>
      </w:r>
    </w:p>
    <w:p w:rsidR="007008E4" w:rsidRPr="007D4C7C" w:rsidRDefault="007008E4" w:rsidP="007008E4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7D4C7C">
        <w:rPr>
          <w:rFonts w:ascii="仿宋" w:eastAsia="仿宋" w:hAnsi="仿宋" w:hint="eastAsia"/>
          <w:color w:val="000000"/>
          <w:sz w:val="24"/>
        </w:rPr>
        <w:t>2、供应商应具有专业的服务人员和从事类似项目的业绩等履约能力；服务人员未经采购人同意不得随意调换；</w:t>
      </w:r>
    </w:p>
    <w:p w:rsidR="007008E4" w:rsidRPr="007D4C7C" w:rsidRDefault="007008E4" w:rsidP="007008E4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7D4C7C">
        <w:rPr>
          <w:rFonts w:ascii="仿宋" w:eastAsia="仿宋" w:hAnsi="仿宋" w:hint="eastAsia"/>
          <w:color w:val="000000"/>
          <w:sz w:val="24"/>
        </w:rPr>
        <w:t>3、供应商应提供1年（</w:t>
      </w:r>
      <w:proofErr w:type="gramStart"/>
      <w:r w:rsidRPr="007D4C7C">
        <w:rPr>
          <w:rFonts w:ascii="仿宋" w:eastAsia="仿宋" w:hAnsi="仿宋" w:hint="eastAsia"/>
          <w:color w:val="000000"/>
          <w:sz w:val="24"/>
        </w:rPr>
        <w:t>自成果</w:t>
      </w:r>
      <w:proofErr w:type="gramEnd"/>
      <w:r w:rsidRPr="007D4C7C">
        <w:rPr>
          <w:rFonts w:ascii="仿宋" w:eastAsia="仿宋" w:hAnsi="仿宋" w:hint="eastAsia"/>
          <w:color w:val="000000"/>
          <w:sz w:val="24"/>
        </w:rPr>
        <w:t>文件通过成都市公园城市建设管理局审查验收合格之日起开始计算）的后续服务。</w:t>
      </w:r>
    </w:p>
    <w:p w:rsidR="007008E4" w:rsidRDefault="007008E4" w:rsidP="007008E4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7D4C7C">
        <w:rPr>
          <w:rFonts w:ascii="仿宋" w:eastAsia="仿宋" w:hAnsi="仿宋" w:hint="eastAsia"/>
          <w:color w:val="000000"/>
          <w:sz w:val="24"/>
        </w:rPr>
        <w:t>4、供应商为本项目提供的所有服务应符合现行的国家相关标准、行业标准、地方标准或者其他标准、规范。</w:t>
      </w:r>
    </w:p>
    <w:p w:rsidR="007008E4" w:rsidRDefault="007008E4" w:rsidP="007008E4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（五）实施对象</w:t>
      </w:r>
    </w:p>
    <w:p w:rsidR="00611B9C" w:rsidRDefault="007008E4" w:rsidP="007008E4">
      <w:r>
        <w:rPr>
          <w:rFonts w:ascii="仿宋" w:eastAsia="仿宋" w:hAnsi="仿宋" w:hint="eastAsia"/>
          <w:color w:val="000000"/>
          <w:sz w:val="24"/>
        </w:rPr>
        <w:lastRenderedPageBreak/>
        <w:t>成都市范围内森林、林地、林木资源。</w:t>
      </w:r>
    </w:p>
    <w:sectPr w:rsidR="0061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E4"/>
    <w:rsid w:val="0024719C"/>
    <w:rsid w:val="004B5096"/>
    <w:rsid w:val="00611B9C"/>
    <w:rsid w:val="007008E4"/>
    <w:rsid w:val="0085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0" w:qFormat="1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E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008E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50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4B5096"/>
    <w:rPr>
      <w:kern w:val="2"/>
      <w:sz w:val="18"/>
      <w:szCs w:val="24"/>
    </w:rPr>
  </w:style>
  <w:style w:type="paragraph" w:styleId="a4">
    <w:name w:val="footer"/>
    <w:basedOn w:val="a"/>
    <w:link w:val="Char0"/>
    <w:rsid w:val="004B50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B5096"/>
    <w:rPr>
      <w:kern w:val="2"/>
      <w:sz w:val="18"/>
      <w:szCs w:val="24"/>
    </w:rPr>
  </w:style>
  <w:style w:type="paragraph" w:customStyle="1" w:styleId="GW-">
    <w:name w:val="GW-正文"/>
    <w:basedOn w:val="a"/>
    <w:link w:val="GW-Char"/>
    <w:qFormat/>
    <w:rsid w:val="00855E9A"/>
    <w:pPr>
      <w:spacing w:line="360" w:lineRule="auto"/>
      <w:ind w:firstLineChars="200" w:firstLine="200"/>
    </w:pPr>
    <w:rPr>
      <w:rFonts w:eastAsia="仿宋_GB2312"/>
      <w:kern w:val="0"/>
      <w:sz w:val="24"/>
    </w:rPr>
  </w:style>
  <w:style w:type="character" w:customStyle="1" w:styleId="GW-Char">
    <w:name w:val="GW-正文 Char"/>
    <w:link w:val="GW-"/>
    <w:qFormat/>
    <w:rsid w:val="00855E9A"/>
    <w:rPr>
      <w:rFonts w:eastAsia="仿宋_GB2312"/>
      <w:sz w:val="24"/>
      <w:szCs w:val="24"/>
    </w:rPr>
  </w:style>
  <w:style w:type="paragraph" w:customStyle="1" w:styleId="a5">
    <w:name w:val="表格"/>
    <w:basedOn w:val="a"/>
    <w:qFormat/>
    <w:rsid w:val="00855E9A"/>
    <w:pPr>
      <w:spacing w:line="400" w:lineRule="exact"/>
    </w:pPr>
    <w:rPr>
      <w:rFonts w:ascii="Calibri" w:hAnsi="Calibri"/>
      <w:sz w:val="24"/>
    </w:rPr>
  </w:style>
  <w:style w:type="paragraph" w:customStyle="1" w:styleId="a6">
    <w:name w:val="样式"/>
    <w:qFormat/>
    <w:rsid w:val="00855E9A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">
    <w:name w:val="修订1"/>
    <w:qFormat/>
    <w:rsid w:val="00855E9A"/>
    <w:rPr>
      <w:kern w:val="2"/>
      <w:sz w:val="21"/>
      <w:szCs w:val="24"/>
    </w:rPr>
  </w:style>
  <w:style w:type="paragraph" w:customStyle="1" w:styleId="10">
    <w:name w:val="正文1"/>
    <w:qFormat/>
    <w:rsid w:val="00855E9A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11">
    <w:name w:val="列出段落1"/>
    <w:basedOn w:val="a"/>
    <w:link w:val="Char1"/>
    <w:qFormat/>
    <w:rsid w:val="00855E9A"/>
    <w:pPr>
      <w:ind w:firstLineChars="200" w:firstLine="420"/>
    </w:pPr>
    <w:rPr>
      <w:kern w:val="0"/>
      <w:sz w:val="20"/>
    </w:rPr>
  </w:style>
  <w:style w:type="character" w:customStyle="1" w:styleId="Char1">
    <w:name w:val="列出段落 Char"/>
    <w:link w:val="11"/>
    <w:qFormat/>
    <w:rsid w:val="00855E9A"/>
    <w:rPr>
      <w:szCs w:val="24"/>
    </w:rPr>
  </w:style>
  <w:style w:type="character" w:customStyle="1" w:styleId="CharChar9">
    <w:name w:val="Char Char9"/>
    <w:qFormat/>
    <w:rsid w:val="00855E9A"/>
    <w:rPr>
      <w:rFonts w:ascii="Calibri" w:eastAsia="宋体" w:hAnsi="Calibri" w:cs="Times New Roman"/>
      <w:kern w:val="2"/>
      <w:sz w:val="21"/>
    </w:rPr>
  </w:style>
  <w:style w:type="character" w:customStyle="1" w:styleId="Char2">
    <w:name w:val="纯文本 Char"/>
    <w:qFormat/>
    <w:rsid w:val="00855E9A"/>
    <w:rPr>
      <w:rFonts w:ascii="宋体" w:eastAsia="宋体" w:hAnsi="Tms Rmn" w:cs="Times New Roman"/>
    </w:rPr>
  </w:style>
  <w:style w:type="character" w:customStyle="1" w:styleId="font11">
    <w:name w:val="font11"/>
    <w:basedOn w:val="a0"/>
    <w:qFormat/>
    <w:rsid w:val="00855E9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855E9A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7">
    <w:name w:val="（符号）邀请函中一、"/>
    <w:qFormat/>
    <w:rsid w:val="00855E9A"/>
    <w:rPr>
      <w:rFonts w:ascii="黑体" w:eastAsia="黑体" w:hAnsi="黑体" w:cs="Times New Roman"/>
      <w:b/>
      <w:bCs/>
      <w:sz w:val="24"/>
    </w:rPr>
  </w:style>
  <w:style w:type="paragraph" w:styleId="3">
    <w:name w:val="toc 3"/>
    <w:basedOn w:val="a"/>
    <w:next w:val="a"/>
    <w:qFormat/>
    <w:rsid w:val="00855E9A"/>
    <w:pPr>
      <w:ind w:leftChars="400" w:left="840"/>
    </w:pPr>
    <w:rPr>
      <w:rFonts w:ascii="Calibri" w:hAnsi="Calibri"/>
    </w:rPr>
  </w:style>
  <w:style w:type="paragraph" w:styleId="7">
    <w:name w:val="toc 7"/>
    <w:basedOn w:val="a"/>
    <w:next w:val="a"/>
    <w:qFormat/>
    <w:rsid w:val="00855E9A"/>
    <w:pPr>
      <w:ind w:leftChars="1200" w:left="2520"/>
    </w:pPr>
    <w:rPr>
      <w:rFonts w:ascii="Calibri" w:hAnsi="Calibri"/>
      <w:szCs w:val="22"/>
    </w:rPr>
  </w:style>
  <w:style w:type="character" w:styleId="a8">
    <w:name w:val="Hyperlink"/>
    <w:qFormat/>
    <w:rsid w:val="00855E9A"/>
    <w:rPr>
      <w:rFonts w:ascii="Calibri" w:eastAsia="宋体" w:hAnsi="Calibri"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855E9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qFormat/>
    <w:rsid w:val="007008E4"/>
    <w:rPr>
      <w:rFonts w:ascii="Arial" w:eastAsia="黑体" w:hAnsi="Arial"/>
      <w:b/>
      <w:bCs/>
      <w:kern w:val="2"/>
      <w:sz w:val="32"/>
      <w:szCs w:val="32"/>
    </w:rPr>
  </w:style>
  <w:style w:type="paragraph" w:styleId="aa">
    <w:name w:val="Title"/>
    <w:basedOn w:val="a"/>
    <w:next w:val="a"/>
    <w:link w:val="Char3"/>
    <w:uiPriority w:val="10"/>
    <w:qFormat/>
    <w:rsid w:val="007008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qFormat/>
    <w:rsid w:val="007008E4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20">
    <w:name w:val="网格型2"/>
    <w:basedOn w:val="a1"/>
    <w:qFormat/>
    <w:rsid w:val="00700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0" w:qFormat="1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E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008E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50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4B5096"/>
    <w:rPr>
      <w:kern w:val="2"/>
      <w:sz w:val="18"/>
      <w:szCs w:val="24"/>
    </w:rPr>
  </w:style>
  <w:style w:type="paragraph" w:styleId="a4">
    <w:name w:val="footer"/>
    <w:basedOn w:val="a"/>
    <w:link w:val="Char0"/>
    <w:rsid w:val="004B50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B5096"/>
    <w:rPr>
      <w:kern w:val="2"/>
      <w:sz w:val="18"/>
      <w:szCs w:val="24"/>
    </w:rPr>
  </w:style>
  <w:style w:type="paragraph" w:customStyle="1" w:styleId="GW-">
    <w:name w:val="GW-正文"/>
    <w:basedOn w:val="a"/>
    <w:link w:val="GW-Char"/>
    <w:qFormat/>
    <w:rsid w:val="00855E9A"/>
    <w:pPr>
      <w:spacing w:line="360" w:lineRule="auto"/>
      <w:ind w:firstLineChars="200" w:firstLine="200"/>
    </w:pPr>
    <w:rPr>
      <w:rFonts w:eastAsia="仿宋_GB2312"/>
      <w:kern w:val="0"/>
      <w:sz w:val="24"/>
    </w:rPr>
  </w:style>
  <w:style w:type="character" w:customStyle="1" w:styleId="GW-Char">
    <w:name w:val="GW-正文 Char"/>
    <w:link w:val="GW-"/>
    <w:qFormat/>
    <w:rsid w:val="00855E9A"/>
    <w:rPr>
      <w:rFonts w:eastAsia="仿宋_GB2312"/>
      <w:sz w:val="24"/>
      <w:szCs w:val="24"/>
    </w:rPr>
  </w:style>
  <w:style w:type="paragraph" w:customStyle="1" w:styleId="a5">
    <w:name w:val="表格"/>
    <w:basedOn w:val="a"/>
    <w:qFormat/>
    <w:rsid w:val="00855E9A"/>
    <w:pPr>
      <w:spacing w:line="400" w:lineRule="exact"/>
    </w:pPr>
    <w:rPr>
      <w:rFonts w:ascii="Calibri" w:hAnsi="Calibri"/>
      <w:sz w:val="24"/>
    </w:rPr>
  </w:style>
  <w:style w:type="paragraph" w:customStyle="1" w:styleId="a6">
    <w:name w:val="样式"/>
    <w:qFormat/>
    <w:rsid w:val="00855E9A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">
    <w:name w:val="修订1"/>
    <w:qFormat/>
    <w:rsid w:val="00855E9A"/>
    <w:rPr>
      <w:kern w:val="2"/>
      <w:sz w:val="21"/>
      <w:szCs w:val="24"/>
    </w:rPr>
  </w:style>
  <w:style w:type="paragraph" w:customStyle="1" w:styleId="10">
    <w:name w:val="正文1"/>
    <w:qFormat/>
    <w:rsid w:val="00855E9A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11">
    <w:name w:val="列出段落1"/>
    <w:basedOn w:val="a"/>
    <w:link w:val="Char1"/>
    <w:qFormat/>
    <w:rsid w:val="00855E9A"/>
    <w:pPr>
      <w:ind w:firstLineChars="200" w:firstLine="420"/>
    </w:pPr>
    <w:rPr>
      <w:kern w:val="0"/>
      <w:sz w:val="20"/>
    </w:rPr>
  </w:style>
  <w:style w:type="character" w:customStyle="1" w:styleId="Char1">
    <w:name w:val="列出段落 Char"/>
    <w:link w:val="11"/>
    <w:qFormat/>
    <w:rsid w:val="00855E9A"/>
    <w:rPr>
      <w:szCs w:val="24"/>
    </w:rPr>
  </w:style>
  <w:style w:type="character" w:customStyle="1" w:styleId="CharChar9">
    <w:name w:val="Char Char9"/>
    <w:qFormat/>
    <w:rsid w:val="00855E9A"/>
    <w:rPr>
      <w:rFonts w:ascii="Calibri" w:eastAsia="宋体" w:hAnsi="Calibri" w:cs="Times New Roman"/>
      <w:kern w:val="2"/>
      <w:sz w:val="21"/>
    </w:rPr>
  </w:style>
  <w:style w:type="character" w:customStyle="1" w:styleId="Char2">
    <w:name w:val="纯文本 Char"/>
    <w:qFormat/>
    <w:rsid w:val="00855E9A"/>
    <w:rPr>
      <w:rFonts w:ascii="宋体" w:eastAsia="宋体" w:hAnsi="Tms Rmn" w:cs="Times New Roman"/>
    </w:rPr>
  </w:style>
  <w:style w:type="character" w:customStyle="1" w:styleId="font11">
    <w:name w:val="font11"/>
    <w:basedOn w:val="a0"/>
    <w:qFormat/>
    <w:rsid w:val="00855E9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855E9A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7">
    <w:name w:val="（符号）邀请函中一、"/>
    <w:qFormat/>
    <w:rsid w:val="00855E9A"/>
    <w:rPr>
      <w:rFonts w:ascii="黑体" w:eastAsia="黑体" w:hAnsi="黑体" w:cs="Times New Roman"/>
      <w:b/>
      <w:bCs/>
      <w:sz w:val="24"/>
    </w:rPr>
  </w:style>
  <w:style w:type="paragraph" w:styleId="3">
    <w:name w:val="toc 3"/>
    <w:basedOn w:val="a"/>
    <w:next w:val="a"/>
    <w:qFormat/>
    <w:rsid w:val="00855E9A"/>
    <w:pPr>
      <w:ind w:leftChars="400" w:left="840"/>
    </w:pPr>
    <w:rPr>
      <w:rFonts w:ascii="Calibri" w:hAnsi="Calibri"/>
    </w:rPr>
  </w:style>
  <w:style w:type="paragraph" w:styleId="7">
    <w:name w:val="toc 7"/>
    <w:basedOn w:val="a"/>
    <w:next w:val="a"/>
    <w:qFormat/>
    <w:rsid w:val="00855E9A"/>
    <w:pPr>
      <w:ind w:leftChars="1200" w:left="2520"/>
    </w:pPr>
    <w:rPr>
      <w:rFonts w:ascii="Calibri" w:hAnsi="Calibri"/>
      <w:szCs w:val="22"/>
    </w:rPr>
  </w:style>
  <w:style w:type="character" w:styleId="a8">
    <w:name w:val="Hyperlink"/>
    <w:qFormat/>
    <w:rsid w:val="00855E9A"/>
    <w:rPr>
      <w:rFonts w:ascii="Calibri" w:eastAsia="宋体" w:hAnsi="Calibri"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855E9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qFormat/>
    <w:rsid w:val="007008E4"/>
    <w:rPr>
      <w:rFonts w:ascii="Arial" w:eastAsia="黑体" w:hAnsi="Arial"/>
      <w:b/>
      <w:bCs/>
      <w:kern w:val="2"/>
      <w:sz w:val="32"/>
      <w:szCs w:val="32"/>
    </w:rPr>
  </w:style>
  <w:style w:type="paragraph" w:styleId="aa">
    <w:name w:val="Title"/>
    <w:basedOn w:val="a"/>
    <w:next w:val="a"/>
    <w:link w:val="Char3"/>
    <w:uiPriority w:val="10"/>
    <w:qFormat/>
    <w:rsid w:val="007008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qFormat/>
    <w:rsid w:val="007008E4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20">
    <w:name w:val="网格型2"/>
    <w:basedOn w:val="a1"/>
    <w:qFormat/>
    <w:rsid w:val="00700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1177</Characters>
  <Application>Microsoft Office Word</Application>
  <DocSecurity>0</DocSecurity>
  <Lines>78</Lines>
  <Paragraphs>67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</dc:creator>
  <cp:lastModifiedBy>匿名</cp:lastModifiedBy>
  <cp:revision>1</cp:revision>
  <dcterms:created xsi:type="dcterms:W3CDTF">2021-11-16T03:23:00Z</dcterms:created>
  <dcterms:modified xsi:type="dcterms:W3CDTF">2021-11-16T03:23:00Z</dcterms:modified>
</cp:coreProperties>
</file>